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pPr>
      <w:r>
        <w:t>STATEMENT OF WORK — APEX CFMP Pack Enterprise (T2C)</w:t>
      </w:r>
    </w:p>
    <w:p>
      <w:r>
        <w:rPr>
          <w:b w:val="0"/>
          <w:i/>
          <w:sz w:val="22"/>
        </w:rPr>
        <w:t>Engagement: CFMP Pack Enterprise (T2C) on Deloitte's APEX delivery framework</w:t>
      </w:r>
    </w:p>
    <w:p>
      <w:r>
        <w:rPr>
          <w:b w:val="0"/>
          <w:i w:val="0"/>
          <w:sz w:val="22"/>
        </w:rPr>
      </w:r>
    </w:p>
    <w:tbl>
      <w:tblPr>
        <w:tblW w:type="auto" w:w="0"/>
        <w:jc w:val="left"/>
        <w:tblLook w:firstColumn="1" w:firstRow="1" w:lastColumn="0" w:lastRow="0" w:noHBand="0" w:noVBand="1" w:val="04A0"/>
      </w:tblPr>
      <w:tblGrid>
        <w:gridCol w:w="2880"/>
        <w:gridCol w:w="6480"/>
      </w:tblGrid>
      <w:tr>
        <w:tc>
          <w:tcPr>
            <w:tcW w:type="dxa" w:w="4320"/>
            <w:shd w:fill="F5F5F5" w:val="clear"/>
          </w:tcPr>
          <w:p>
            <w:r>
              <w:rPr>
                <w:b/>
              </w:rPr>
              <w:t>SOW Number</w:t>
            </w:r>
          </w:p>
        </w:tc>
        <w:tc>
          <w:tcPr>
            <w:tcW w:type="dxa" w:w="4320"/>
          </w:tcPr>
          <w:p>
            <w:r>
              <w:t>[SOW_NUMBER]</w:t>
            </w:r>
          </w:p>
        </w:tc>
      </w:tr>
      <w:tr>
        <w:tc>
          <w:tcPr>
            <w:tcW w:type="dxa" w:w="4320"/>
            <w:shd w:fill="F5F5F5" w:val="clear"/>
          </w:tcPr>
          <w:p>
            <w:r>
              <w:rPr>
                <w:b/>
              </w:rPr>
              <w:t>Client</w:t>
            </w:r>
          </w:p>
        </w:tc>
        <w:tc>
          <w:tcPr>
            <w:tcW w:type="dxa" w:w="4320"/>
          </w:tcPr>
          <w:p>
            <w:r>
              <w:t>[CLIENT_NAME]</w:t>
            </w:r>
          </w:p>
        </w:tc>
      </w:tr>
      <w:tr>
        <w:tc>
          <w:tcPr>
            <w:tcW w:type="dxa" w:w="4320"/>
            <w:shd w:fill="F5F5F5" w:val="clear"/>
          </w:tcPr>
          <w:p>
            <w:r>
              <w:rPr>
                <w:b/>
              </w:rPr>
              <w:t>Engagement variant</w:t>
            </w:r>
          </w:p>
        </w:tc>
        <w:tc>
          <w:tcPr>
            <w:tcW w:type="dxa" w:w="4320"/>
          </w:tcPr>
          <w:p>
            <w:r>
              <w:t>[Variant A — B2B2C  /  Variant B — B2C]</w:t>
            </w:r>
          </w:p>
        </w:tc>
      </w:tr>
      <w:tr>
        <w:tc>
          <w:tcPr>
            <w:tcW w:type="dxa" w:w="4320"/>
            <w:shd w:fill="F5F5F5" w:val="clear"/>
          </w:tcPr>
          <w:p>
            <w:r>
              <w:rPr>
                <w:b/>
              </w:rPr>
              <w:t>Estimated value</w:t>
            </w:r>
          </w:p>
        </w:tc>
        <w:tc>
          <w:tcPr>
            <w:tcW w:type="dxa" w:w="4320"/>
          </w:tcPr>
          <w:p>
            <w:r>
              <w:t>$1,500,000 – $3,500,000 USD</w:t>
            </w:r>
          </w:p>
        </w:tc>
      </w:tr>
      <w:tr>
        <w:tc>
          <w:tcPr>
            <w:tcW w:type="dxa" w:w="4320"/>
            <w:shd w:fill="F5F5F5" w:val="clear"/>
          </w:tcPr>
          <w:p>
            <w:r>
              <w:rPr>
                <w:b/>
              </w:rPr>
              <w:t>Estimated duration</w:t>
            </w:r>
          </w:p>
        </w:tc>
        <w:tc>
          <w:tcPr>
            <w:tcW w:type="dxa" w:w="4320"/>
          </w:tcPr>
          <w:p>
            <w:r>
              <w:t>6 to 9 months</w:t>
            </w:r>
          </w:p>
        </w:tc>
      </w:tr>
      <w:tr>
        <w:tc>
          <w:tcPr>
            <w:tcW w:type="dxa" w:w="4320"/>
            <w:shd w:fill="F5F5F5" w:val="clear"/>
          </w:tcPr>
          <w:p>
            <w:r>
              <w:rPr>
                <w:b/>
              </w:rPr>
              <w:t>Effective date</w:t>
            </w:r>
          </w:p>
        </w:tc>
        <w:tc>
          <w:tcPr>
            <w:tcW w:type="dxa" w:w="4320"/>
          </w:tcPr>
          <w:p>
            <w:r>
              <w:t>[START_DATE]</w:t>
            </w:r>
          </w:p>
        </w:tc>
      </w:tr>
    </w:tbl>
    <w:p>
      <w:r>
        <w:rPr>
          <w:b w:val="0"/>
          <w:i w:val="0"/>
          <w:sz w:val="22"/>
        </w:rPr>
      </w:r>
    </w:p>
    <w:tbl>
      <w:tblPr>
        <w:tblW w:type="auto" w:w="0"/>
        <w:jc w:val="left"/>
        <w:tblLook w:firstColumn="1" w:firstRow="1" w:lastColumn="0" w:lastRow="0" w:noHBand="0" w:noVBand="1" w:val="04A0"/>
      </w:tblPr>
      <w:tblGrid>
        <w:gridCol w:w="8640"/>
      </w:tblGrid>
      <w:tr>
        <w:tc>
          <w:tcPr>
            <w:tcW w:type="dxa" w:w="8640"/>
            <w:shd w:fill="E8F5E9" w:val="clear"/>
          </w:tcPr>
          <w:p>
            <w:r/>
            <w:r>
              <w:rPr>
                <w:i/>
                <w:color w:val="0E1423"/>
                <w:sz w:val="20"/>
              </w:rPr>
              <w:t>This Statement of Work is issued under the Master Services Agreement between [CLIENT_NAME] and Deloitte Consulting LLP dated [MSA_DATE]. All terms of the MSA apply. This SOW supersedes any prior estimates, proposals, or correspondence between the parties relating to the services described herein.</w:t>
            </w:r>
          </w:p>
        </w:tc>
      </w:tr>
    </w:tbl>
    <w:p>
      <w:r>
        <w:rPr>
          <w:b w:val="0"/>
          <w:i w:val="0"/>
          <w:sz w:val="22"/>
        </w:rPr>
      </w:r>
    </w:p>
    <w:p>
      <w:r>
        <w:rPr>
          <w:b w:val="0"/>
          <w:i/>
          <w:sz w:val="22"/>
        </w:rPr>
        <w:t>Prepared by: [LCSP_NAME], Deloitte's Microsoft Practice (DMTSP)</w:t>
      </w:r>
    </w:p>
    <w:p>
      <w:r>
        <w:rPr>
          <w:b w:val="0"/>
          <w:i/>
          <w:sz w:val="22"/>
        </w:rPr>
        <w:t>Internal · Deloitte's Microsoft Technology &amp; Services Practice</w:t>
      </w:r>
    </w:p>
    <w:p>
      <w:pPr>
        <w:pStyle w:val="Heading2"/>
        <w:spacing w:before="240"/>
      </w:pPr>
      <w:r>
        <w:t>1. Background and engagement context</w:t>
      </w:r>
    </w:p>
    <w:p>
      <w:r>
        <w:rPr>
          <w:b w:val="0"/>
          <w:i w:val="0"/>
          <w:sz w:val="22"/>
        </w:rPr>
        <w:t>[CLIENT_NAME] ("Client") has engaged Deloitte Consulting LLP ("Deloitte") to deliver a scoped agentic-AI engagement on the APEX framework. This SOW describes the Pack Enterprise engagement, the first of a potential multi-wave program of work that may grow into a full Pack rollout and ongoing Operate services.</w:t>
      </w:r>
    </w:p>
    <w:p>
      <w:r>
        <w:rPr>
          <w:b w:val="0"/>
          <w:i w:val="0"/>
          <w:sz w:val="22"/>
        </w:rPr>
        <w:t>Deloitte's APEX framework is a cloud-neutral delivery framework comprising: a 14-interface Cloud Profile contract; a 6-Agent Fleet pattern; a 14-field WORM hash-chain audit ledger ("LEDGER"); Industry Solution Packs (10-asset bundles) including the Customer-Focused Merchandise Pack ("CFMP"); and standard Service Envelope tiers under which engagements are scoped and priced.</w:t>
      </w:r>
    </w:p>
    <w:p>
      <w:r>
        <w:rPr>
          <w:b w:val="0"/>
          <w:i w:val="0"/>
          <w:sz w:val="22"/>
        </w:rPr>
        <w:t>This engagement runs on the APEX-M (Microsoft) cloud profile.</w:t>
      </w:r>
    </w:p>
    <w:p>
      <w:pPr>
        <w:pStyle w:val="Heading2"/>
        <w:spacing w:before="240"/>
      </w:pPr>
      <w:r>
        <w:t>2. Scope of services</w:t>
      </w:r>
    </w:p>
    <w:p>
      <w:r>
        <w:rPr>
          <w:b w:val="0"/>
          <w:i w:val="0"/>
          <w:sz w:val="22"/>
        </w:rPr>
        <w:t>Deloitte will deliver the APEX CFMP Pack Enterprise engagement, comprising the full CFMP catalog (all 18 scenarios from CFMP v0.2 §3, optionally extended with CHC overlay scenarios) in production across Client's multi-banner footprint, with full Operate-tier handoff and optional cross-pack scenario chains (Variant A only).</w:t>
      </w:r>
    </w:p>
    <w:p>
      <w:pPr>
        <w:pStyle w:val="Heading3"/>
        <w:spacing w:before="160"/>
      </w:pPr>
      <w:r>
        <w:t>2.1 Scenarios in scope (all 18 CFMP + optional CHC overlay)</w:t>
      </w:r>
    </w:p>
    <w:p>
      <w:pPr>
        <w:pStyle w:val="ListBullet"/>
      </w:pPr>
      <w:r>
        <w:t>All 5 CHOOSE scenarios: personalized offers · review summary · search relevance · in-store advertising · sampling table</w:t>
      </w:r>
    </w:p>
    <w:p>
      <w:pPr>
        <w:pStyle w:val="ListBullet"/>
      </w:pPr>
      <w:r>
        <w:t>All 6 SELECT scenarios: wayfinding · OSA · shelf gap · aisle engagement · end-cap ROI · SPL audit</w:t>
      </w:r>
    </w:p>
    <w:p>
      <w:pPr>
        <w:pStyle w:val="ListBullet"/>
      </w:pPr>
      <w:r>
        <w:t>All 4 BUY scenarios: queue prediction · cart-dwell · SCO shrink · BOPIS pickup</w:t>
      </w:r>
    </w:p>
    <w:p>
      <w:pPr>
        <w:pStyle w:val="ListBullet"/>
      </w:pPr>
      <w:r>
        <w:t>All 3 SERVICES scenarios: loyalty churn winback (Featured) · tier migration · complaint triage</w:t>
      </w:r>
    </w:p>
    <w:p>
      <w:pPr>
        <w:pStyle w:val="ListBullet"/>
      </w:pPr>
      <w:r>
        <w:t>CHC overlay (Variant B): 12 in-home scenarios across NEED → SERVICES</w:t>
      </w:r>
    </w:p>
    <w:p>
      <w:pPr>
        <w:pStyle w:val="ListBullet"/>
      </w:pPr>
      <w:r>
        <w:t>Cross-pack scenario chain (Variant A only): chc-replenishment-cycle bridging TCP and CFMP per CHC v0.2 §8</w:t>
      </w:r>
    </w:p>
    <w:p>
      <w:pPr>
        <w:pStyle w:val="Heading3"/>
        <w:spacing w:before="160"/>
      </w:pPr>
      <w:r>
        <w:t>2.2 Deliverables (Enterprise full set)</w:t>
      </w:r>
    </w:p>
    <w:p>
      <w:pPr>
        <w:pStyle w:val="ListBullet"/>
      </w:pPr>
      <w:r>
        <w:t>All 18 CFMP scenario manifests (plus optional 12 CHC overlay scenarios) in production.</w:t>
      </w:r>
    </w:p>
    <w:p>
      <w:pPr>
        <w:pStyle w:val="ListBullet"/>
      </w:pPr>
      <w:r>
        <w:t>Full Virtual View catalog (25-30 manifests covering MERML + CXML + CFMP.StoreMap).</w:t>
      </w:r>
    </w:p>
    <w:p>
      <w:pPr>
        <w:pStyle w:val="ListBullet"/>
      </w:pPr>
      <w:r>
        <w:t>Complete Adaptive Card library (60+ card variants across customer phone, kiosk, operator Teams).</w:t>
      </w:r>
    </w:p>
    <w:p>
      <w:pPr>
        <w:pStyle w:val="ListBullet"/>
      </w:pPr>
      <w:r>
        <w:t>Five production-grade source adapters (POS · planogram · loyalty CRM · beacon · vision device).</w:t>
      </w:r>
    </w:p>
    <w:p>
      <w:pPr>
        <w:pStyle w:val="ListBullet"/>
      </w:pPr>
      <w:r>
        <w:t>Multi-banner rollout: 5-50 banners with phased cutover plan, change-management, and per-banner threshold tuning.</w:t>
      </w:r>
    </w:p>
    <w:p>
      <w:pPr>
        <w:pStyle w:val="ListBullet"/>
      </w:pPr>
      <w:r>
        <w:t>Cross-channel attribution scenario (chc-loyalty-fusion-attribution) lighting up in-store + in-home + online into one LEDGER.</w:t>
      </w:r>
    </w:p>
    <w:p>
      <w:pPr>
        <w:pStyle w:val="ListBullet"/>
      </w:pPr>
      <w:r>
        <w:t>Operate-tier runbook with multi-tenant operations, FinOps metering, threshold-tuning loop, and DataOps for upstream sources.</w:t>
      </w:r>
    </w:p>
    <w:p>
      <w:pPr>
        <w:pStyle w:val="ListBullet"/>
      </w:pPr>
      <w:r>
        <w:t>Pack acceptance test suite at 150+ tests including cross-scenario interaction, multi-banner correctness, and apex-replay forensic correctness.</w:t>
      </w:r>
    </w:p>
    <w:p>
      <w:pPr>
        <w:pStyle w:val="ListBullet"/>
      </w:pPr>
      <w:r>
        <w:t>Training program for Client's operations team: classroom + hands-on + certification.</w:t>
      </w:r>
    </w:p>
    <w:p>
      <w:pPr>
        <w:pStyle w:val="ListBullet"/>
      </w:pPr>
      <w:r>
        <w:t>Live demonstration of full Pack at three banners with cross-channel LEDGER trace.</w:t>
      </w:r>
    </w:p>
    <w:p>
      <w:pPr>
        <w:pStyle w:val="ListBullet"/>
      </w:pPr>
      <w:r>
        <w:t>Operate-tier handoff with first 90 days of co-operation included.</w:t>
      </w:r>
    </w:p>
    <w:p>
      <w:pPr>
        <w:pStyle w:val="Heading2"/>
        <w:spacing w:before="240"/>
      </w:pPr>
      <w:r>
        <w:t>Acceptance criteria</w:t>
      </w:r>
    </w:p>
    <w:p>
      <w:r>
        <w:rPr>
          <w:b w:val="0"/>
          <w:i w:val="0"/>
          <w:sz w:val="22"/>
        </w:rPr>
        <w:t>The deliverables under this SOW are accepted when the following are demonstrated:</w:t>
      </w:r>
    </w:p>
    <w:p>
      <w:pPr>
        <w:pStyle w:val="ListBullet"/>
      </w:pPr>
      <w:r>
        <w:t>All 18 CFMP scenarios in production at minimum 3 banners; LEDGER hash chain verifiable via apex-replay.</w:t>
      </w:r>
    </w:p>
    <w:p>
      <w:pPr>
        <w:pStyle w:val="ListBullet"/>
      </w:pPr>
      <w:r>
        <w:t>Pack CI suite (150+ tests) at ≥99% green across all banners.</w:t>
      </w:r>
    </w:p>
    <w:p>
      <w:pPr>
        <w:pStyle w:val="ListBullet"/>
      </w:pPr>
      <w:r>
        <w:t>Multi-banner threshold tuning loop in operation: Telemetry VVs observe band distribution and Pack maintainer reviews monthly.</w:t>
      </w:r>
    </w:p>
    <w:p>
      <w:pPr>
        <w:pStyle w:val="ListBullet"/>
      </w:pPr>
      <w:r>
        <w:t>Operations team completes certification program and assumes Pack ownership in the Operate-tier subscription.</w:t>
      </w:r>
    </w:p>
    <w:p>
      <w:pPr>
        <w:pStyle w:val="ListBullet"/>
      </w:pPr>
      <w:r>
        <w:t>Pack-Enterprise ROI realized at minimum 2.5× engagement cost in first 12 months at deployed banners.</w:t>
      </w:r>
    </w:p>
    <w:p>
      <w:pPr>
        <w:pStyle w:val="ListBullet"/>
      </w:pPr>
      <w:r>
        <w:t>Cross-channel attribution (chc-loyalty-fusion-attribution) verifiable: a single household interaction is traceable across in-store + in-home + online in one LEDGER query.</w:t>
      </w:r>
    </w:p>
    <w:p>
      <w:r>
        <w:rPr>
          <w:b w:val="0"/>
          <w:i w:val="0"/>
          <w:sz w:val="22"/>
        </w:rPr>
        <w:t>Client has ten (10) business days from delivery of each acceptance demonstration to provide written acceptance or a written description of any deficiency. Absent written response within this window, deliverables are deemed accepted.</w:t>
      </w:r>
    </w:p>
    <w:p>
      <w:pPr>
        <w:pStyle w:val="Heading2"/>
        <w:spacing w:before="240"/>
      </w:pPr>
      <w:r>
        <w:t>3. Engagement approach</w:t>
      </w:r>
    </w:p>
    <w:p>
      <w:pPr>
        <w:pStyle w:val="Heading3"/>
        <w:spacing w:before="160"/>
      </w:pPr>
      <w:r>
        <w:t>3.1 Phases</w:t>
      </w:r>
    </w:p>
    <w:p>
      <w:r>
        <w:rPr>
          <w:b/>
        </w:rPr>
        <w:t xml:space="preserve">Phase 1 — Mobilization (Month 1).  </w:t>
      </w:r>
      <w:r>
        <w:t>Engagement kickoff; team assembly; rollout sequencing across banners.</w:t>
      </w:r>
    </w:p>
    <w:p>
      <w:r>
        <w:rPr>
          <w:b/>
        </w:rPr>
        <w:t xml:space="preserve">Phase 2 — Full Pack authoring (Months 1-3).  </w:t>
      </w:r>
      <w:r>
        <w:t>All 18 scenarios + supporting VVs + complete card library.</w:t>
      </w:r>
    </w:p>
    <w:p>
      <w:r>
        <w:rPr>
          <w:b/>
        </w:rPr>
        <w:t xml:space="preserve">Phase 3 — Adapter build (Months 1-4).  </w:t>
      </w:r>
      <w:r>
        <w:t>Five production-grade adapters; integration with Client's full SOR footprint.</w:t>
      </w:r>
    </w:p>
    <w:p>
      <w:r>
        <w:rPr>
          <w:b/>
        </w:rPr>
        <w:t xml:space="preserve">Phase 4 — Multi-banner pilot rollout (Months 4-5).  </w:t>
      </w:r>
      <w:r>
        <w:t>Three banners live; full Pack running; threshold tuning.</w:t>
      </w:r>
    </w:p>
    <w:p>
      <w:r>
        <w:rPr>
          <w:b/>
        </w:rPr>
        <w:t xml:space="preserve">Phase 5 — Cross-channel attribution build (Months 4-6).  </w:t>
      </w:r>
      <w:r>
        <w:t>Loyalty-fusion scenario; in-store + in-home + online LEDGER unification.</w:t>
      </w:r>
    </w:p>
    <w:p>
      <w:r>
        <w:rPr>
          <w:b/>
        </w:rPr>
        <w:t xml:space="preserve">Phase 6 — Production rollout to remaining banners (Months 6-8).  </w:t>
      </w:r>
      <w:r>
        <w:t>Phased cutover banner-by-banner; per-banner threshold tuning and acceptance.</w:t>
      </w:r>
    </w:p>
    <w:p>
      <w:r>
        <w:rPr>
          <w:b/>
        </w:rPr>
        <w:t xml:space="preserve">Phase 7 — Operate handoff (Month 9).  </w:t>
      </w:r>
      <w:r>
        <w:t>Operations team certification; Operate-tier subscription begins; 90-day co-operation.</w:t>
      </w:r>
    </w:p>
    <w:p>
      <w:pPr>
        <w:pStyle w:val="Heading2"/>
        <w:spacing w:before="240"/>
      </w:pPr>
      <w:r>
        <w:t>4. Engagement team</w:t>
      </w:r>
    </w:p>
    <w:p>
      <w:r>
        <w:rPr>
          <w:b w:val="0"/>
          <w:i w:val="0"/>
          <w:sz w:val="22"/>
        </w:rPr>
        <w:t>Deloitte delivery team (typical Enterprise composition):</w:t>
      </w:r>
    </w:p>
    <w:p>
      <w:pPr>
        <w:pStyle w:val="ListBullet"/>
      </w:pPr>
      <w:r>
        <w:t>Engagement Partner (25%) — executive sponsorship and Client C-suite engagement</w:t>
      </w:r>
    </w:p>
    <w:p>
      <w:pPr>
        <w:pStyle w:val="ListBullet"/>
      </w:pPr>
      <w:r>
        <w:t>Engagement Manager (100%)</w:t>
      </w:r>
    </w:p>
    <w:p>
      <w:pPr>
        <w:pStyle w:val="ListBullet"/>
      </w:pPr>
      <w:r>
        <w:t>APEX Solution Architect (100%)</w:t>
      </w:r>
    </w:p>
    <w:p>
      <w:pPr>
        <w:pStyle w:val="ListBullet"/>
      </w:pPr>
      <w:r>
        <w:t>Pack Manifest Engineer × 3 (100% each)</w:t>
      </w:r>
    </w:p>
    <w:p>
      <w:pPr>
        <w:pStyle w:val="ListBullet"/>
      </w:pPr>
      <w:r>
        <w:t>Adapter Engineer × 3 (100% each)</w:t>
      </w:r>
    </w:p>
    <w:p>
      <w:pPr>
        <w:pStyle w:val="ListBullet"/>
      </w:pPr>
      <w:r>
        <w:t>Privacy Engineer (75%)</w:t>
      </w:r>
    </w:p>
    <w:p>
      <w:pPr>
        <w:pStyle w:val="ListBullet"/>
      </w:pPr>
      <w:r>
        <w:t>DataOps Engineer (100%)</w:t>
      </w:r>
    </w:p>
    <w:p>
      <w:pPr>
        <w:pStyle w:val="ListBullet"/>
      </w:pPr>
      <w:r>
        <w:t>Operate Lead (75%) — embedded throughout; transitions to Operate tier</w:t>
      </w:r>
    </w:p>
    <w:p>
      <w:pPr>
        <w:pStyle w:val="ListBullet"/>
      </w:pPr>
      <w:r>
        <w:t>Change Management Lead (75%) — Client-facing rollout and training</w:t>
      </w:r>
    </w:p>
    <w:p>
      <w:pPr>
        <w:pStyle w:val="ListBullet"/>
      </w:pPr>
      <w:r>
        <w:t>Independence Compliance Reviewer (10%) — Deloitte-internal Independence checkpoint at each phase gate</w:t>
      </w:r>
    </w:p>
    <w:p>
      <w:pPr>
        <w:pStyle w:val="Heading2"/>
        <w:spacing w:before="240"/>
      </w:pPr>
      <w:r>
        <w:t>5. Schedule</w:t>
      </w:r>
    </w:p>
    <w:p>
      <w:r>
        <w:rPr>
          <w:b w:val="0"/>
          <w:i w:val="0"/>
          <w:sz w:val="22"/>
        </w:rPr>
        <w:t>Total elapsed: 6-9 months. Phasing per §3.1 with monthly steering committee reviews and quarterly Engagement Partner check-ins.</w:t>
      </w:r>
    </w:p>
    <w:p>
      <w:pPr>
        <w:pStyle w:val="Heading2"/>
        <w:spacing w:before="240"/>
      </w:pPr>
      <w:r>
        <w:t>6. Fees and payment</w:t>
      </w:r>
    </w:p>
    <w:p>
      <w:r>
        <w:rPr>
          <w:b w:val="0"/>
          <w:i w:val="0"/>
          <w:sz w:val="22"/>
        </w:rPr>
        <w:t>Total engagement fee: USD 1,500,000 – 3,500,000, fixed fee, finalized at mobilization based on scenario count (CFMP only vs CFMP+CHC), adapter count, banner rollout footprint, and selected cross-channel attribution scope.</w:t>
      </w:r>
    </w:p>
    <w:p>
      <w:r>
        <w:rPr>
          <w:b w:val="0"/>
          <w:i w:val="0"/>
          <w:sz w:val="22"/>
        </w:rPr>
        <w:t>Payment schedule (milestone-driven):</w:t>
      </w:r>
    </w:p>
    <w:p>
      <w:pPr>
        <w:pStyle w:val="ListBullet"/>
      </w:pPr>
      <w:r>
        <w:t>15% at SOW countersignature</w:t>
      </w:r>
    </w:p>
    <w:p>
      <w:pPr>
        <w:pStyle w:val="ListBullet"/>
      </w:pPr>
      <w:r>
        <w:t>15% at end of Phase 2 (Full Pack authoring)</w:t>
      </w:r>
    </w:p>
    <w:p>
      <w:pPr>
        <w:pStyle w:val="ListBullet"/>
      </w:pPr>
      <w:r>
        <w:t>15% at end of Phase 3 (Adapter build)</w:t>
      </w:r>
    </w:p>
    <w:p>
      <w:pPr>
        <w:pStyle w:val="ListBullet"/>
      </w:pPr>
      <w:r>
        <w:t>20% at end of Phase 4 (Multi-banner pilot live)</w:t>
      </w:r>
    </w:p>
    <w:p>
      <w:pPr>
        <w:pStyle w:val="ListBullet"/>
      </w:pPr>
      <w:r>
        <w:t>15% at end of Phase 5 (Cross-channel attribution live)</w:t>
      </w:r>
    </w:p>
    <w:p>
      <w:pPr>
        <w:pStyle w:val="ListBullet"/>
      </w:pPr>
      <w:r>
        <w:t>15% at end of Phase 6 (Production rollout to all banners)</w:t>
      </w:r>
    </w:p>
    <w:p>
      <w:pPr>
        <w:pStyle w:val="ListBullet"/>
      </w:pPr>
      <w:r>
        <w:t>5% upon Acceptance per §2.2 (Operate handoff complete)</w:t>
      </w:r>
    </w:p>
    <w:p>
      <w:r>
        <w:rPr>
          <w:b w:val="0"/>
          <w:i w:val="0"/>
          <w:sz w:val="22"/>
        </w:rPr>
      </w:r>
    </w:p>
    <w:p>
      <w:r>
        <w:rPr>
          <w:b w:val="0"/>
          <w:i w:val="0"/>
          <w:sz w:val="22"/>
        </w:rPr>
        <w:t>Operate-tier subscription pricing is separate from this SOW and is governed by a follow-on MSA amendment to be signed at end of Phase 6. Typical Operate fee for Enterprise deployment: USD 60,000 – 110,000 per month.</w:t>
      </w:r>
    </w:p>
    <w:p>
      <w:pPr>
        <w:pStyle w:val="Heading2"/>
        <w:spacing w:before="240"/>
      </w:pPr>
      <w:r>
        <w:t>Assumptions and dependencies</w:t>
      </w:r>
    </w:p>
    <w:p>
      <w:pPr>
        <w:pStyle w:val="ListBullet"/>
      </w:pPr>
      <w:r>
        <w:t>Client provides timely access to subject-matter experts, business stakeholders, and decision-makers as agreed in the engagement governance plan.</w:t>
      </w:r>
    </w:p>
    <w:p>
      <w:pPr>
        <w:pStyle w:val="ListBullet"/>
      </w:pPr>
      <w:r>
        <w:t>Client provides access to systems, data, and credentials required for in-scope work; production-system access is requested at least two business days in advance.</w:t>
      </w:r>
    </w:p>
    <w:p>
      <w:pPr>
        <w:pStyle w:val="ListBullet"/>
      </w:pPr>
      <w:r>
        <w:t>Client provides one or more Microsoft Azure subscriptions sufficient for the APEX-M cloud profile, including but not limited to: Foundry, Azure OpenAI, OneLake / Fabric, Entra ID, Purview, Key Vault, and Container Apps capacity.</w:t>
      </w:r>
    </w:p>
    <w:p>
      <w:pPr>
        <w:pStyle w:val="ListBullet"/>
      </w:pPr>
      <w:r>
        <w:t>Client owns and operates all source systems referenced by the deployed Pack manifests; Deloitte develops adapters but does not assume operational responsibility for source systems.</w:t>
      </w:r>
    </w:p>
    <w:p>
      <w:pPr>
        <w:pStyle w:val="ListBullet"/>
      </w:pPr>
      <w:r>
        <w:t>Client's existing identity infrastructure (Entra) is operational and capable of supporting the persona model deployed by the Pack.</w:t>
      </w:r>
    </w:p>
    <w:p>
      <w:pPr>
        <w:pStyle w:val="ListBullet"/>
      </w:pPr>
      <w:r>
        <w:t>Client is responsible for legal review of the deployed Constitution.yaml (privacy hard rules), the Adaptive Card library, and customer-facing surfaces prior to production go-live.</w:t>
      </w:r>
    </w:p>
    <w:p>
      <w:pPr>
        <w:pStyle w:val="ListBullet"/>
      </w:pPr>
      <w:r>
        <w:t>Client is responsible for any data-protection-impact assessments (DPIA), regulator notifications, or consumer-disclosure obligations triggered by the deployed services.</w:t>
      </w:r>
    </w:p>
    <w:p>
      <w:pPr>
        <w:pStyle w:val="ListBullet"/>
      </w:pPr>
      <w:r>
        <w:t>Deloitte's services are advisory and engineering; Deloitte does not assume any role of 'data controller' under GDPR/CCPA or analogous regulations.</w:t>
      </w:r>
    </w:p>
    <w:p>
      <w:pPr>
        <w:pStyle w:val="ListBullet"/>
      </w:pPr>
      <w:r>
        <w:t>Pricing in this SOW does not include third-party software, Azure consumption, Sonos hardware, edge devices, or other infrastructure costs.</w:t>
      </w:r>
    </w:p>
    <w:p>
      <w:pPr>
        <w:pStyle w:val="ListBullet"/>
      </w:pPr>
      <w:r>
        <w:t>Schedule shown in §5 assumes no more than two-week aggregate delay from Client-side dependencies; greater delays require change control.</w:t>
      </w:r>
    </w:p>
    <w:p>
      <w:pPr>
        <w:pStyle w:val="ListBullet"/>
      </w:pPr>
      <w:r>
        <w:t>Enterprise tier assumes Client commits to a full-banner rollout footprint with named banners specified in the mobilization addendum.</w:t>
      </w:r>
    </w:p>
    <w:p>
      <w:pPr>
        <w:pStyle w:val="ListBullet"/>
      </w:pPr>
      <w:r>
        <w:t>Enterprise tier includes the full CFMP catalog (18 scenarios); CHC overlay scenarios are optional and priced as an addendum to this SOW.</w:t>
      </w:r>
    </w:p>
    <w:p>
      <w:pPr>
        <w:pStyle w:val="ListBullet"/>
      </w:pPr>
      <w:r>
        <w:t>Cross-pack scenario chains (Variant A) require a separate engagement with the Telco partner; this SOW covers only the CFMP side.</w:t>
      </w:r>
    </w:p>
    <w:p>
      <w:pPr>
        <w:pStyle w:val="ListBullet"/>
      </w:pPr>
      <w:r>
        <w:t>Multi-banner production rollout assumes that each banner has functional store-side IT infrastructure (network, edge compute, vision hardware where applicable) ready prior to that banner's Phase-6 cutover slot.</w:t>
      </w:r>
    </w:p>
    <w:p>
      <w:pPr>
        <w:pStyle w:val="ListBullet"/>
      </w:pPr>
      <w:r>
        <w:t>Operate-tier handoff assumes Client's operations team is staffed and trained per §3.1 Phase 7; if Client elects to outsource Operate to Deloitte permanently, that arrangement is governed by a separate Operate Master Services Agreement.</w:t>
      </w:r>
    </w:p>
    <w:p>
      <w:pPr>
        <w:pStyle w:val="Heading2"/>
        <w:spacing w:before="240"/>
      </w:pPr>
      <w:r>
        <w:t>Change control</w:t>
      </w:r>
    </w:p>
    <w:p>
      <w:r>
        <w:rPr>
          <w:b w:val="0"/>
          <w:i w:val="0"/>
          <w:sz w:val="22"/>
        </w:rPr>
        <w:t>Any change to the scope, schedule, deliverables, fees, or assumptions of this SOW shall be documented in a Change Request signed by both parties prior to commencement of the affected work. Verbal authorizations are not binding. Change Requests may be priced as either a fixed addition to this SOW or as a time-and-materials engagement extension.</w:t>
      </w:r>
    </w:p>
    <w:p>
      <w:pPr>
        <w:pStyle w:val="Heading2"/>
        <w:spacing w:before="240"/>
      </w:pPr>
      <w:r>
        <w:t>Intellectual property</w:t>
      </w:r>
    </w:p>
    <w:p>
      <w:r>
        <w:rPr>
          <w:b w:val="0"/>
          <w:i w:val="0"/>
          <w:sz w:val="22"/>
        </w:rPr>
        <w:t>APEX, including the APEX framework code, the 14-interface Cloud Profile contract specification, the 6-Agent Fleet pattern, the LEDGER schema, the Industry Solution Pack catalog (including CFMP and any CHC overlays), the apex-replay tooling, and all related methodology and pre-existing Deloitte intellectual property (collectively the "APEX IP") remain the sole property of Deloitte and its affiliates. Client receives a non-exclusive, royalty-free, perpetual license to use the deployed Pack manifests, Constitution overlay, and configuration artifacts solely for Client's internal business purposes.</w:t>
      </w:r>
    </w:p>
    <w:p>
      <w:r>
        <w:rPr>
          <w:b w:val="0"/>
          <w:i w:val="0"/>
          <w:sz w:val="22"/>
        </w:rPr>
        <w:t>Client overlays — including Client's CAD-derived Azure Maps Creator datasets, Client's planogram data, Client's identity bindings, Client's threshold tunings, and any client-specific scenario manifests authored under this SOW — are owned by Client.</w:t>
      </w:r>
    </w:p>
    <w:p>
      <w:r>
        <w:rPr>
          <w:b w:val="0"/>
          <w:i w:val="0"/>
          <w:sz w:val="22"/>
        </w:rPr>
        <w:t>Pre-existing IP retains its prior ownership; nothing in this SOW transfers ownership of pre-existing IP between the parties. Newly developed work product is owned per the IP allocation above; ambiguity in any single artifact's classification is resolved in Deloitte's favor for general framework components and in Client's favor for Client-specific configuration.</w:t>
      </w:r>
    </w:p>
    <w:p>
      <w:pPr>
        <w:pStyle w:val="Heading2"/>
        <w:spacing w:before="240"/>
      </w:pPr>
      <w:r>
        <w:t>Independence and funding</w:t>
      </w:r>
    </w:p>
    <w:tbl>
      <w:tblPr>
        <w:tblW w:type="auto" w:w="0"/>
        <w:jc w:val="left"/>
        <w:tblLook w:firstColumn="1" w:firstRow="1" w:lastColumn="0" w:lastRow="0" w:noHBand="0" w:noVBand="1" w:val="04A0"/>
      </w:tblPr>
      <w:tblGrid>
        <w:gridCol w:w="8640"/>
      </w:tblGrid>
      <w:tr>
        <w:tc>
          <w:tcPr>
            <w:tcW w:type="dxa" w:w="8640"/>
            <w:shd w:fill="E8F5E9" w:val="clear"/>
          </w:tcPr>
          <w:p>
            <w:r/>
            <w:r>
              <w:rPr>
                <w:i/>
                <w:color w:val="0E1423"/>
                <w:sz w:val="20"/>
              </w:rPr>
              <w:t>Deloitte serves as Microsoft Corporation's independent auditor. Per SEC and PCAOB rules, Deloitte does not accept Enterprise Customer Investment Funds (ECIF) or similar payments directly from Microsoft. Any Microsoft-sourced funding contemplated under this engagement flows via (i) Azure Marketplace burndown against [CLIENT_NAME]'s existing Microsoft commitments, or (ii) a non-competing Systems Integrator (SI) partner under separate Teaming Agreement. Deloitte's engagement fee is paid by [CLIENT_NAME].</w:t>
            </w:r>
          </w:p>
        </w:tc>
      </w:tr>
    </w:tbl>
    <w:p>
      <w:r>
        <w:rPr>
          <w:b w:val="0"/>
          <w:i w:val="0"/>
          <w:sz w:val="22"/>
        </w:rPr>
      </w:r>
    </w:p>
    <w:p>
      <w:r>
        <w:rPr>
          <w:b w:val="0"/>
          <w:i w:val="0"/>
          <w:sz w:val="22"/>
        </w:rPr>
        <w:t>[CLIENT_NAME] acknowledges that Deloitte's role under this SOW is independent of Microsoft. Deloitte makes no representations on behalf of Microsoft and shall not be characterized as Microsoft's partner, agent, alliance member, or joint-commercial party. Microsoft is referred to throughout this engagement solely as the 'cloud profile' or 'platform'.</w:t>
      </w:r>
    </w:p>
    <w:p>
      <w:pPr>
        <w:pStyle w:val="Heading2"/>
        <w:spacing w:before="240"/>
      </w:pPr>
      <w:r>
        <w:t>Signatures</w:t>
      </w:r>
    </w:p>
    <w:tbl>
      <w:tblPr>
        <w:tblW w:type="auto" w:w="0"/>
        <w:tblLook w:firstColumn="1" w:firstRow="1" w:lastColumn="0" w:lastRow="0" w:noHBand="0" w:noVBand="1" w:val="04A0"/>
      </w:tblPr>
      <w:tblGrid>
        <w:gridCol w:w="4320"/>
        <w:gridCol w:w="4320"/>
      </w:tblGrid>
      <w:tr>
        <w:tc>
          <w:tcPr>
            <w:tcW w:type="dxa" w:w="4320"/>
          </w:tcPr>
          <w:p>
            <w:r>
              <w:rPr>
                <w:b/>
              </w:rPr>
              <w:t>For [CLIENT_NAME]:</w:t>
            </w:r>
          </w:p>
        </w:tc>
        <w:tc>
          <w:tcPr>
            <w:tcW w:type="dxa" w:w="4320"/>
          </w:tcPr>
          <w:p>
            <w:r>
              <w:rPr>
                <w:b/>
              </w:rPr>
              <w:t>For Deloitte Consulting LLP:</w:t>
            </w:r>
          </w:p>
        </w:tc>
      </w:tr>
      <w:tr>
        <w:tc>
          <w:tcPr>
            <w:tcW w:type="dxa" w:w="4320"/>
          </w:tcPr>
          <w:p>
            <w:r>
              <w:t>By: _________________________</w:t>
            </w:r>
          </w:p>
        </w:tc>
        <w:tc>
          <w:tcPr>
            <w:tcW w:type="dxa" w:w="4320"/>
          </w:tcPr>
          <w:p>
            <w:r>
              <w:t>By: _________________________</w:t>
            </w:r>
          </w:p>
        </w:tc>
      </w:tr>
      <w:tr>
        <w:tc>
          <w:tcPr>
            <w:tcW w:type="dxa" w:w="4320"/>
          </w:tcPr>
          <w:p>
            <w:r>
              <w:t>Name: [CLIENT_SIGNATORY]</w:t>
            </w:r>
          </w:p>
        </w:tc>
        <w:tc>
          <w:tcPr>
            <w:tcW w:type="dxa" w:w="4320"/>
          </w:tcPr>
          <w:p>
            <w:r>
              <w:t>Name: [LCSP_NAME]</w:t>
            </w:r>
          </w:p>
        </w:tc>
      </w:tr>
      <w:tr>
        <w:tc>
          <w:tcPr>
            <w:tcW w:type="dxa" w:w="4320"/>
          </w:tcPr>
          <w:p>
            <w:r>
              <w:t>Title: ______________________</w:t>
            </w:r>
          </w:p>
        </w:tc>
        <w:tc>
          <w:tcPr>
            <w:tcW w:type="dxa" w:w="4320"/>
          </w:tcPr>
          <w:p>
            <w:r>
              <w:t>Title: Vice President</w:t>
            </w:r>
          </w:p>
        </w:tc>
      </w:tr>
    </w:tbl>
    <w:p>
      <w:r>
        <w:br w:type="page"/>
      </w:r>
    </w:p>
    <w:p>
      <w:pPr>
        <w:pStyle w:val="Heading1"/>
        <w:spacing w:before="360"/>
      </w:pPr>
      <w:r>
        <w:t>Appendix A — Service Envelope mapping</w:t>
      </w:r>
    </w:p>
    <w:p>
      <w:r>
        <w:rPr>
          <w:b w:val="0"/>
          <w:i w:val="0"/>
          <w:sz w:val="22"/>
        </w:rPr>
        <w:t>This engagement sits within the APEX Service Envelope tier ladder: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Tier</w:t>
            </w:r>
          </w:p>
        </w:tc>
        <w:tc>
          <w:tcPr>
            <w:tcW w:type="dxa" w:w="2160"/>
          </w:tcPr>
          <w:p>
            <w:r>
              <w:t>Description</w:t>
            </w:r>
          </w:p>
        </w:tc>
        <w:tc>
          <w:tcPr>
            <w:tcW w:type="dxa" w:w="2160"/>
          </w:tcPr>
          <w:p>
            <w:r>
              <w:t>Price band</w:t>
            </w:r>
          </w:p>
        </w:tc>
        <w:tc>
          <w:tcPr>
            <w:tcW w:type="dxa" w:w="2160"/>
          </w:tcPr>
          <w:p>
            <w:r>
              <w:t>This SOW</w:t>
            </w:r>
          </w:p>
        </w:tc>
      </w:tr>
      <w:tr>
        <w:tc>
          <w:tcPr>
            <w:tcW w:type="dxa" w:w="2160"/>
          </w:tcPr>
          <w:p>
            <w:r>
              <w:t>T1 Foundation</w:t>
            </w:r>
          </w:p>
        </w:tc>
        <w:tc>
          <w:tcPr>
            <w:tcW w:type="dxa" w:w="2160"/>
          </w:tcPr>
          <w:p>
            <w:r>
              <w:t>VV runtime · LEDGER · MCP · Entra/Purview wiring</w:t>
            </w:r>
          </w:p>
        </w:tc>
        <w:tc>
          <w:tcPr>
            <w:tcW w:type="dxa" w:w="2160"/>
          </w:tcPr>
          <w:p>
            <w:r>
              <w:t>$400-700K</w:t>
            </w:r>
          </w:p>
        </w:tc>
        <w:tc>
          <w:tcPr>
            <w:tcW w:type="dxa" w:w="2160"/>
          </w:tcPr>
          <w:p>
            <w:r/>
          </w:p>
        </w:tc>
      </w:tr>
      <w:tr>
        <w:tc>
          <w:tcPr>
            <w:tcW w:type="dxa" w:w="2160"/>
          </w:tcPr>
          <w:p>
            <w:r>
              <w:t>T2 Pack Lite</w:t>
            </w:r>
          </w:p>
        </w:tc>
        <w:tc>
          <w:tcPr>
            <w:tcW w:type="dxa" w:w="2160"/>
          </w:tcPr>
          <w:p>
            <w:r>
              <w:t>3 scenarios live on client data</w:t>
            </w:r>
          </w:p>
        </w:tc>
        <w:tc>
          <w:tcPr>
            <w:tcW w:type="dxa" w:w="2160"/>
          </w:tcPr>
          <w:p>
            <w:r>
              <w:t>$150-250K</w:t>
            </w:r>
          </w:p>
        </w:tc>
        <w:tc>
          <w:tcPr>
            <w:tcW w:type="dxa" w:w="2160"/>
          </w:tcPr>
          <w:p>
            <w:r/>
          </w:p>
        </w:tc>
      </w:tr>
      <w:tr>
        <w:tc>
          <w:tcPr>
            <w:tcW w:type="dxa" w:w="2160"/>
          </w:tcPr>
          <w:p>
            <w:r>
              <w:t>T2 Pack Standard</w:t>
            </w:r>
          </w:p>
        </w:tc>
        <w:tc>
          <w:tcPr>
            <w:tcW w:type="dxa" w:w="2160"/>
          </w:tcPr>
          <w:p>
            <w:r>
              <w:t>Sub-domain in production · 3-5 scenarios</w:t>
            </w:r>
          </w:p>
        </w:tc>
        <w:tc>
          <w:tcPr>
            <w:tcW w:type="dxa" w:w="2160"/>
          </w:tcPr>
          <w:p>
            <w:r>
              <w:t>$500K-$1.5M</w:t>
            </w:r>
          </w:p>
        </w:tc>
        <w:tc>
          <w:tcPr>
            <w:tcW w:type="dxa" w:w="2160"/>
          </w:tcPr>
          <w:p>
            <w:r/>
          </w:p>
        </w:tc>
      </w:tr>
      <w:tr>
        <w:tc>
          <w:tcPr>
            <w:tcW w:type="dxa" w:w="2160"/>
            <w:shd w:fill="E8F5E9" w:val="clear"/>
          </w:tcPr>
          <w:p>
            <w:r>
              <w:t>T2 Pack Enterprise</w:t>
            </w:r>
          </w:p>
        </w:tc>
        <w:tc>
          <w:tcPr>
            <w:tcW w:type="dxa" w:w="2160"/>
            <w:shd w:fill="E8F5E9" w:val="clear"/>
          </w:tcPr>
          <w:p>
            <w:r>
              <w:t>Full pack + multi-store · Operate-ready</w:t>
            </w:r>
          </w:p>
        </w:tc>
        <w:tc>
          <w:tcPr>
            <w:tcW w:type="dxa" w:w="2160"/>
            <w:shd w:fill="E8F5E9" w:val="clear"/>
          </w:tcPr>
          <w:p>
            <w:r>
              <w:t>$1.5-3.5M</w:t>
            </w:r>
          </w:p>
        </w:tc>
        <w:tc>
          <w:tcPr>
            <w:tcW w:type="dxa" w:w="2160"/>
            <w:shd w:fill="E8F5E9" w:val="clear"/>
          </w:tcPr>
          <w:p>
            <w:r>
              <w:t>✓</w:t>
            </w:r>
          </w:p>
        </w:tc>
      </w:tr>
      <w:tr>
        <w:tc>
          <w:tcPr>
            <w:tcW w:type="dxa" w:w="2160"/>
          </w:tcPr>
          <w:p>
            <w:r>
              <w:t>T5 Operate</w:t>
            </w:r>
          </w:p>
        </w:tc>
        <w:tc>
          <w:tcPr>
            <w:tcW w:type="dxa" w:w="2160"/>
          </w:tcPr>
          <w:p>
            <w:r>
              <w:t>24×7 monitor · tuning · pack version uptake</w:t>
            </w:r>
          </w:p>
        </w:tc>
        <w:tc>
          <w:tcPr>
            <w:tcW w:type="dxa" w:w="2160"/>
          </w:tcPr>
          <w:p>
            <w:r>
              <w:t>$25-110K/mo</w:t>
            </w:r>
          </w:p>
        </w:tc>
        <w:tc>
          <w:tcPr>
            <w:tcW w:type="dxa" w:w="2160"/>
          </w:tcPr>
          <w:p>
            <w:r/>
          </w:p>
        </w:tc>
      </w:tr>
    </w:tbl>
    <w:p>
      <w:r>
        <w:br w:type="page"/>
      </w:r>
    </w:p>
    <w:p>
      <w:pPr>
        <w:pStyle w:val="Heading1"/>
        <w:spacing w:before="360"/>
      </w:pPr>
      <w:r>
        <w:t>Appendix B — Funding paths and independence</w:t>
      </w:r>
    </w:p>
    <w:p>
      <w:r>
        <w:rPr>
          <w:b w:val="0"/>
          <w:i w:val="0"/>
          <w:sz w:val="22"/>
        </w:rPr>
        <w:t>Engagement fees may be sourced from any of the following independence-safe funding vehicles:</w:t>
      </w:r>
    </w:p>
    <w:p>
      <w:r>
        <w:rPr>
          <w:b/>
        </w:rPr>
        <w:t xml:space="preserve">Client direct.  </w:t>
      </w:r>
      <w:r>
        <w:t>Standard Deloitte-on-Deloitte-paper engagement; no special funding routing required.</w:t>
      </w:r>
    </w:p>
    <w:p>
      <w:r>
        <w:rPr>
          <w:b/>
        </w:rPr>
        <w:t xml:space="preserve">BVA (client-funded).  </w:t>
      </w:r>
      <w:r>
        <w:t>Workshop fee absorbed into Client's marketing or innovation budget; produces the scenario shortlist and SOW skeleton that initiates Lite tier.</w:t>
      </w:r>
    </w:p>
    <w:p>
      <w:r>
        <w:rPr>
          <w:b/>
        </w:rPr>
        <w:t xml:space="preserve">DCIF (Deloitte co-invest).  </w:t>
      </w:r>
      <w:r>
        <w:t>Deloitte commits its own balance sheet against a defined client commitment milestone; reduces Client's upfront cost.</w:t>
      </w:r>
    </w:p>
    <w:p>
      <w:r>
        <w:rPr>
          <w:b/>
        </w:rPr>
        <w:t xml:space="preserve">Azure Marketplace burndown.  </w:t>
      </w:r>
      <w:r>
        <w:t>Client's existing Microsoft Azure commitment is burned down against the engagement fee via an Azure Marketplace transaction; Microsoft pays the Marketplace, Marketplace pays Deloitte. Deloitte does not receive ECIF directly from Microsoft.</w:t>
      </w:r>
    </w:p>
    <w:p>
      <w:r>
        <w:rPr>
          <w:b/>
        </w:rPr>
        <w:t xml:space="preserve">SI Teaming (POC funding).  </w:t>
      </w:r>
      <w:r>
        <w:t>Non-competing SI partner under separate Teaming Agreement receives Microsoft POC funding; Deloitte delivers under SI sub-agreement. Used selectively for early-stage proof-of-concept engagements where Client's Azure commitment is insufficient.</w:t>
      </w:r>
    </w:p>
    <w:p>
      <w:r>
        <w:rPr>
          <w:b/>
        </w:rPr>
        <w:t xml:space="preserve">Time &amp; Materials (T&amp;M).  </w:t>
      </w:r>
      <w:r>
        <w:t>For custom build (T4) tiers or scope extensions beyond Lite/Standard/Enterprise.</w:t>
      </w:r>
    </w:p>
    <w:p>
      <w:r>
        <w:br w:type="page"/>
      </w:r>
    </w:p>
    <w:p>
      <w:pPr>
        <w:pStyle w:val="Heading1"/>
        <w:spacing w:before="360"/>
      </w:pPr>
      <w:r>
        <w:t>Appendix C — Pack 10-asset bundle inventory</w:t>
      </w:r>
    </w:p>
    <w:p>
      <w:r>
        <w:rPr>
          <w:b w:val="0"/>
          <w:i w:val="0"/>
          <w:sz w:val="22"/>
        </w:rPr>
        <w:t>Every APEX Industry Solution Pack ships the same 10-asset bundle. Asset coverage varies by engagement tier. Items checked ✓ are delivered under this SOW; items marked – are deferred to a higher tier.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Asset</w:t>
            </w:r>
          </w:p>
        </w:tc>
        <w:tc>
          <w:tcPr>
            <w:tcW w:type="dxa" w:w="2160"/>
          </w:tcPr>
          <w:p>
            <w:r>
              <w:t>Description</w:t>
            </w:r>
          </w:p>
        </w:tc>
        <w:tc>
          <w:tcPr>
            <w:tcW w:type="dxa" w:w="2160"/>
          </w:tcPr>
          <w:p>
            <w:r>
              <w:t>This SOW</w:t>
            </w:r>
          </w:p>
        </w:tc>
      </w:tr>
      <w:tr>
        <w:tc>
          <w:tcPr>
            <w:tcW w:type="dxa" w:w="2160"/>
          </w:tcPr>
          <w:p>
            <w:r>
              <w:t>1</w:t>
            </w:r>
          </w:p>
        </w:tc>
        <w:tc>
          <w:tcPr>
            <w:tcW w:type="dxa" w:w="2160"/>
          </w:tcPr>
          <w:p>
            <w:r>
              <w:t>VV Manifests</w:t>
            </w:r>
          </w:p>
        </w:tc>
        <w:tc>
          <w:tcPr>
            <w:tcW w:type="dxa" w:w="2160"/>
          </w:tcPr>
          <w:p>
            <w:r>
              <w:t>Declarative federated views w/ thresholds + resolution routes.</w:t>
            </w:r>
          </w:p>
        </w:tc>
        <w:tc>
          <w:tcPr>
            <w:tcW w:type="dxa" w:w="2160"/>
          </w:tcPr>
          <w:p>
            <w:r>
              <w:t>✓</w:t>
            </w:r>
          </w:p>
        </w:tc>
      </w:tr>
      <w:tr>
        <w:tc>
          <w:tcPr>
            <w:tcW w:type="dxa" w:w="2160"/>
          </w:tcPr>
          <w:p>
            <w:r>
              <w:t>2</w:t>
            </w:r>
          </w:p>
        </w:tc>
        <w:tc>
          <w:tcPr>
            <w:tcW w:type="dxa" w:w="2160"/>
          </w:tcPr>
          <w:p>
            <w:r>
              <w:t>Scenario Manifests</w:t>
            </w:r>
          </w:p>
        </w:tc>
        <w:tc>
          <w:tcPr>
            <w:tcW w:type="dxa" w:w="2160"/>
          </w:tcPr>
          <w:p>
            <w:r>
              <w:t>Named business-outcome chains composed from VVs.</w:t>
            </w:r>
          </w:p>
        </w:tc>
        <w:tc>
          <w:tcPr>
            <w:tcW w:type="dxa" w:w="2160"/>
          </w:tcPr>
          <w:p>
            <w:r>
              <w:t>✓</w:t>
            </w:r>
          </w:p>
        </w:tc>
      </w:tr>
      <w:tr>
        <w:tc>
          <w:tcPr>
            <w:tcW w:type="dxa" w:w="2160"/>
          </w:tcPr>
          <w:p>
            <w:r>
              <w:t>3</w:t>
            </w:r>
          </w:p>
        </w:tc>
        <w:tc>
          <w:tcPr>
            <w:tcW w:type="dxa" w:w="2160"/>
          </w:tcPr>
          <w:p>
            <w:r>
              <w:t>Source Adapters</w:t>
            </w:r>
          </w:p>
        </w:tc>
        <w:tc>
          <w:tcPr>
            <w:tcW w:type="dxa" w:w="2160"/>
          </w:tcPr>
          <w:p>
            <w:r>
              <w:t>POS · Loyalty CRM · Planogram · Beacon vendor · Vision device · Phone app.</w:t>
            </w:r>
          </w:p>
        </w:tc>
        <w:tc>
          <w:tcPr>
            <w:tcW w:type="dxa" w:w="2160"/>
          </w:tcPr>
          <w:p>
            <w:r>
              <w:t>✓</w:t>
            </w:r>
          </w:p>
        </w:tc>
      </w:tr>
      <w:tr>
        <w:tc>
          <w:tcPr>
            <w:tcW w:type="dxa" w:w="2160"/>
          </w:tcPr>
          <w:p>
            <w:r>
              <w:t>4</w:t>
            </w:r>
          </w:p>
        </w:tc>
        <w:tc>
          <w:tcPr>
            <w:tcW w:type="dxa" w:w="2160"/>
          </w:tcPr>
          <w:p>
            <w:r>
              <w:t>Adaptive Cards</w:t>
            </w:r>
          </w:p>
        </w:tc>
        <w:tc>
          <w:tcPr>
            <w:tcW w:type="dxa" w:w="2160"/>
          </w:tcPr>
          <w:p>
            <w:r>
              <w:t>Customer phone + kiosk JSON; operator Teams cards.</w:t>
            </w:r>
          </w:p>
        </w:tc>
        <w:tc>
          <w:tcPr>
            <w:tcW w:type="dxa" w:w="2160"/>
          </w:tcPr>
          <w:p>
            <w:r>
              <w:t>✓</w:t>
            </w:r>
          </w:p>
        </w:tc>
      </w:tr>
      <w:tr>
        <w:tc>
          <w:tcPr>
            <w:tcW w:type="dxa" w:w="2160"/>
          </w:tcPr>
          <w:p>
            <w:r>
              <w:t>5</w:t>
            </w:r>
          </w:p>
        </w:tc>
        <w:tc>
          <w:tcPr>
            <w:tcW w:type="dxa" w:w="2160"/>
          </w:tcPr>
          <w:p>
            <w:r>
              <w:t>Persona Map</w:t>
            </w:r>
          </w:p>
        </w:tc>
        <w:tc>
          <w:tcPr>
            <w:tcW w:type="dxa" w:w="2160"/>
          </w:tcPr>
          <w:p>
            <w:r>
              <w:t>personas.yaml including the customer persona type.</w:t>
            </w:r>
          </w:p>
        </w:tc>
        <w:tc>
          <w:tcPr>
            <w:tcW w:type="dxa" w:w="2160"/>
          </w:tcPr>
          <w:p>
            <w:r>
              <w:t>✓</w:t>
            </w:r>
          </w:p>
        </w:tc>
      </w:tr>
      <w:tr>
        <w:tc>
          <w:tcPr>
            <w:tcW w:type="dxa" w:w="2160"/>
          </w:tcPr>
          <w:p>
            <w:r>
              <w:t>6</w:t>
            </w:r>
          </w:p>
        </w:tc>
        <w:tc>
          <w:tcPr>
            <w:tcW w:type="dxa" w:w="2160"/>
          </w:tcPr>
          <w:p>
            <w:r>
              <w:t>Demo Data</w:t>
            </w:r>
          </w:p>
        </w:tc>
        <w:tc>
          <w:tcPr>
            <w:tcW w:type="dxa" w:w="2160"/>
          </w:tcPr>
          <w:p>
            <w:r>
              <w:t>Synthetic catalog + planogram + simulated shoppers.</w:t>
            </w:r>
          </w:p>
        </w:tc>
        <w:tc>
          <w:tcPr>
            <w:tcW w:type="dxa" w:w="2160"/>
          </w:tcPr>
          <w:p>
            <w:r>
              <w:t>✓</w:t>
            </w:r>
          </w:p>
        </w:tc>
      </w:tr>
      <w:tr>
        <w:tc>
          <w:tcPr>
            <w:tcW w:type="dxa" w:w="2160"/>
          </w:tcPr>
          <w:p>
            <w:r>
              <w:t>7</w:t>
            </w:r>
          </w:p>
        </w:tc>
        <w:tc>
          <w:tcPr>
            <w:tcW w:type="dxa" w:w="2160"/>
          </w:tcPr>
          <w:p>
            <w:r>
              <w:t>BVA Worksheet</w:t>
            </w:r>
          </w:p>
        </w:tc>
        <w:tc>
          <w:tcPr>
            <w:tcW w:type="dxa" w:w="2160"/>
          </w:tcPr>
          <w:p>
            <w:r>
              <w:t>Pack-level ROI calculator (separate xlsx).</w:t>
            </w:r>
          </w:p>
        </w:tc>
        <w:tc>
          <w:tcPr>
            <w:tcW w:type="dxa" w:w="2160"/>
          </w:tcPr>
          <w:p>
            <w:r>
              <w:t>✓</w:t>
            </w:r>
          </w:p>
        </w:tc>
      </w:tr>
      <w:tr>
        <w:tc>
          <w:tcPr>
            <w:tcW w:type="dxa" w:w="2160"/>
          </w:tcPr>
          <w:p>
            <w:r>
              <w:t>8</w:t>
            </w:r>
          </w:p>
        </w:tc>
        <w:tc>
          <w:tcPr>
            <w:tcW w:type="dxa" w:w="2160"/>
          </w:tcPr>
          <w:p>
            <w:r>
              <w:t>Sample SOW</w:t>
            </w:r>
          </w:p>
        </w:tc>
        <w:tc>
          <w:tcPr>
            <w:tcW w:type="dxa" w:w="2160"/>
          </w:tcPr>
          <w:p>
            <w:r>
              <w:t>Lite / Standard / Enterprise templates (this document).</w:t>
            </w:r>
          </w:p>
        </w:tc>
        <w:tc>
          <w:tcPr>
            <w:tcW w:type="dxa" w:w="2160"/>
          </w:tcPr>
          <w:p>
            <w:r>
              <w:t>✓</w:t>
            </w:r>
          </w:p>
        </w:tc>
      </w:tr>
      <w:tr>
        <w:tc>
          <w:tcPr>
            <w:tcW w:type="dxa" w:w="2160"/>
          </w:tcPr>
          <w:p>
            <w:r>
              <w:t>9</w:t>
            </w:r>
          </w:p>
        </w:tc>
        <w:tc>
          <w:tcPr>
            <w:tcW w:type="dxa" w:w="2160"/>
          </w:tcPr>
          <w:p>
            <w:r>
              <w:t>Acceptance Tests</w:t>
            </w:r>
          </w:p>
        </w:tc>
        <w:tc>
          <w:tcPr>
            <w:tcW w:type="dxa" w:w="2160"/>
          </w:tcPr>
          <w:p>
            <w:r>
              <w:t>60-80+ tests proving Pack health in CI.</w:t>
            </w:r>
          </w:p>
        </w:tc>
        <w:tc>
          <w:tcPr>
            <w:tcW w:type="dxa" w:w="2160"/>
          </w:tcPr>
          <w:p>
            <w:r>
              <w:t>✓</w:t>
            </w:r>
          </w:p>
        </w:tc>
      </w:tr>
      <w:tr>
        <w:tc>
          <w:tcPr>
            <w:tcW w:type="dxa" w:w="2160"/>
          </w:tcPr>
          <w:p>
            <w:r>
              <w:t>10</w:t>
            </w:r>
          </w:p>
        </w:tc>
        <w:tc>
          <w:tcPr>
            <w:tcW w:type="dxa" w:w="2160"/>
          </w:tcPr>
          <w:p>
            <w:r>
              <w:t>Runbook + Training</w:t>
            </w:r>
          </w:p>
        </w:tc>
        <w:tc>
          <w:tcPr>
            <w:tcW w:type="dxa" w:w="2160"/>
          </w:tcPr>
          <w:p>
            <w:r>
              <w:t>Operate procedures and analyst training materials.</w:t>
            </w:r>
          </w:p>
        </w:tc>
        <w:tc>
          <w:tcPr>
            <w:tcW w:type="dxa" w:w="2160"/>
          </w:tcPr>
          <w:p>
            <w:r>
              <w:t>✓</w:t>
            </w:r>
          </w:p>
        </w:tc>
      </w:tr>
    </w:tbl>
    <w:p>
      <w:r>
        <w:br w:type="page"/>
      </w:r>
    </w:p>
    <w:p>
      <w:pPr>
        <w:pStyle w:val="Heading1"/>
        <w:spacing w:before="360"/>
      </w:pPr>
      <w:r>
        <w:t>Appendix D — Working demo reference</w:t>
      </w:r>
    </w:p>
    <w:p>
      <w:r>
        <w:rPr>
          <w:b w:val="0"/>
          <w:i w:val="0"/>
          <w:sz w:val="22"/>
        </w:rPr>
        <w:t>The APEX framework demonstration referenced in §1 is currently operational at the URL below. [CLIENT_NAME] personnel may access the demo as part of pre-engagement validation.</w:t>
      </w:r>
    </w:p>
    <w:p>
      <w:r>
        <w:rPr>
          <w:b/>
        </w:rPr>
        <w:t xml:space="preserve">Demo URL: </w:t>
      </w:r>
      <w:r>
        <w:t>https://ca-visionkit-portal.gentlestone-9b49b099.eastus2.azurecontainerapps.io</w:t>
      </w:r>
    </w:p>
    <w:p>
      <w:r>
        <w:rPr>
          <w:b w:val="0"/>
          <w:i w:val="0"/>
          <w:sz w:val="22"/>
        </w:rPr>
      </w:r>
    </w:p>
    <w:p>
      <w:r>
        <w:rPr>
          <w:b w:val="0"/>
          <w:i w:val="0"/>
          <w:sz w:val="22"/>
        </w:rPr>
        <w:t>The deployed demo covers:</w:t>
      </w:r>
    </w:p>
    <w:p>
      <w:pPr>
        <w:pStyle w:val="ListBullet"/>
      </w:pPr>
      <w:r>
        <w:t>800-product pgvector catalog with semantic search</w:t>
      </w:r>
    </w:p>
    <w:p>
      <w:pPr>
        <w:pStyle w:val="ListBullet"/>
      </w:pPr>
      <w:r>
        <w:t>Microsoft Agent Framework SDK 1.6.0 GA orchestration with gpt-5-mini</w:t>
      </w:r>
    </w:p>
    <w:p>
      <w:pPr>
        <w:pStyle w:val="ListBullet"/>
      </w:pPr>
      <w:r>
        <w:t>Azure Speech (Ava Multilingual) for text-to-speech and speech-to-text</w:t>
      </w:r>
    </w:p>
    <w:p>
      <w:pPr>
        <w:pStyle w:val="ListBullet"/>
      </w:pPr>
      <w:r>
        <w:t>Azure Maps Creator (Indoor Maps + Wayfinding REST API) — local-fallback path until per-tenant Creator dataset provisioned</w:t>
      </w:r>
    </w:p>
    <w:p>
      <w:pPr>
        <w:pStyle w:val="ListBullet"/>
      </w:pPr>
      <w:r>
        <w:t>Customer-facing CFMP journey: CHOOSE → SELECT → BUY → SERVICES</w:t>
      </w:r>
    </w:p>
    <w:p>
      <w:pPr>
        <w:pStyle w:val="ListBullet"/>
      </w:pPr>
      <w:r>
        <w:t>Live LEDGER tail on the architecture page showing hash-chained AuditRow entries with HITL status</w:t>
      </w:r>
    </w:p>
    <w:p>
      <w:pPr>
        <w:pStyle w:val="ListBullet"/>
      </w:pPr>
      <w:r>
        <w:t>APEX Tour flyout with framework guided walkthrough</w:t>
      </w:r>
    </w:p>
    <w:p>
      <w:r>
        <w:br w:type="page"/>
      </w:r>
    </w:p>
    <w:p>
      <w:pPr>
        <w:pStyle w:val="Heading1"/>
        <w:spacing w:before="360"/>
      </w:pPr>
      <w:r>
        <w:t>Appendix E — Multi-banner rollout sequencing</w:t>
      </w:r>
    </w:p>
    <w:p>
      <w:r>
        <w:rPr>
          <w:b w:val="0"/>
          <w:i w:val="0"/>
          <w:sz w:val="22"/>
        </w:rPr>
        <w:t>Enterprise-tier production rollout follows a phased banner-by-banner sequence designed to validate Pack stability at small banner footprints before expanding to high-volume banners. The default sequence is documented below; a Client-specific sequence is finalized at mobilization.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Wave</w:t>
            </w:r>
          </w:p>
        </w:tc>
        <w:tc>
          <w:tcPr>
            <w:tcW w:type="dxa" w:w="2160"/>
          </w:tcPr>
          <w:p>
            <w:r>
              <w:t>Banners</w:t>
            </w:r>
          </w:p>
        </w:tc>
        <w:tc>
          <w:tcPr>
            <w:tcW w:type="dxa" w:w="2160"/>
          </w:tcPr>
          <w:p>
            <w:r>
              <w:t>Timing</w:t>
            </w:r>
          </w:p>
        </w:tc>
        <w:tc>
          <w:tcPr>
            <w:tcW w:type="dxa" w:w="2160"/>
          </w:tcPr>
          <w:p>
            <w:r>
              <w:t>Gate criteria</w:t>
            </w:r>
          </w:p>
        </w:tc>
      </w:tr>
      <w:tr>
        <w:tc>
          <w:tcPr>
            <w:tcW w:type="dxa" w:w="2160"/>
          </w:tcPr>
          <w:p>
            <w:r>
              <w:t>Pilot</w:t>
            </w:r>
          </w:p>
        </w:tc>
        <w:tc>
          <w:tcPr>
            <w:tcW w:type="dxa" w:w="2160"/>
          </w:tcPr>
          <w:p>
            <w:r>
              <w:t>1 banner (smallest footprint by store count)</w:t>
            </w:r>
          </w:p>
        </w:tc>
        <w:tc>
          <w:tcPr>
            <w:tcW w:type="dxa" w:w="2160"/>
          </w:tcPr>
          <w:p>
            <w:r>
              <w:t>Phase 4</w:t>
            </w:r>
          </w:p>
        </w:tc>
        <w:tc>
          <w:tcPr>
            <w:tcW w:type="dxa" w:w="2160"/>
          </w:tcPr>
          <w:p>
            <w:r>
              <w:t>All 18 scenarios live · Pack CI green</w:t>
            </w:r>
          </w:p>
        </w:tc>
      </w:tr>
      <w:tr>
        <w:tc>
          <w:tcPr>
            <w:tcW w:type="dxa" w:w="2160"/>
          </w:tcPr>
          <w:p>
            <w:r>
              <w:t>Wave 1</w:t>
            </w:r>
          </w:p>
        </w:tc>
        <w:tc>
          <w:tcPr>
            <w:tcW w:type="dxa" w:w="2160"/>
          </w:tcPr>
          <w:p>
            <w:r>
              <w:t>2 additional banners (small + medium)</w:t>
            </w:r>
          </w:p>
        </w:tc>
        <w:tc>
          <w:tcPr>
            <w:tcW w:type="dxa" w:w="2160"/>
          </w:tcPr>
          <w:p>
            <w:r>
              <w:t>Phase 6 — M1</w:t>
            </w:r>
          </w:p>
        </w:tc>
        <w:tc>
          <w:tcPr>
            <w:tcW w:type="dxa" w:w="2160"/>
          </w:tcPr>
          <w:p>
            <w:r>
              <w:t>Pilot threshold tuning stable for 14 days</w:t>
            </w:r>
          </w:p>
        </w:tc>
      </w:tr>
      <w:tr>
        <w:tc>
          <w:tcPr>
            <w:tcW w:type="dxa" w:w="2160"/>
          </w:tcPr>
          <w:p>
            <w:r>
              <w:t>Wave 2</w:t>
            </w:r>
          </w:p>
        </w:tc>
        <w:tc>
          <w:tcPr>
            <w:tcW w:type="dxa" w:w="2160"/>
          </w:tcPr>
          <w:p>
            <w:r>
              <w:t>Next 5-10 banners</w:t>
            </w:r>
          </w:p>
        </w:tc>
        <w:tc>
          <w:tcPr>
            <w:tcW w:type="dxa" w:w="2160"/>
          </w:tcPr>
          <w:p>
            <w:r>
              <w:t>Phase 6 — M2-3</w:t>
            </w:r>
          </w:p>
        </w:tc>
        <w:tc>
          <w:tcPr>
            <w:tcW w:type="dxa" w:w="2160"/>
          </w:tcPr>
          <w:p>
            <w:r>
              <w:t>Wave 1 banners stable · Operate runbook validated</w:t>
            </w:r>
          </w:p>
        </w:tc>
      </w:tr>
      <w:tr>
        <w:tc>
          <w:tcPr>
            <w:tcW w:type="dxa" w:w="2160"/>
          </w:tcPr>
          <w:p>
            <w:r>
              <w:t>Wave 3</w:t>
            </w:r>
          </w:p>
        </w:tc>
        <w:tc>
          <w:tcPr>
            <w:tcW w:type="dxa" w:w="2160"/>
          </w:tcPr>
          <w:p>
            <w:r>
              <w:t>Remaining banners</w:t>
            </w:r>
          </w:p>
        </w:tc>
        <w:tc>
          <w:tcPr>
            <w:tcW w:type="dxa" w:w="2160"/>
          </w:tcPr>
          <w:p>
            <w:r>
              <w:t>Phase 6 — M4</w:t>
            </w:r>
          </w:p>
        </w:tc>
        <w:tc>
          <w:tcPr>
            <w:tcW w:type="dxa" w:w="2160"/>
          </w:tcPr>
          <w:p>
            <w:r>
              <w:t>Wave 2 banners stable · Cross-channel attribution live</w:t>
            </w:r>
          </w:p>
        </w:tc>
      </w:tr>
      <w:tr>
        <w:tc>
          <w:tcPr>
            <w:tcW w:type="dxa" w:w="2160"/>
          </w:tcPr>
          <w:p>
            <w:r>
              <w:t>Operate</w:t>
            </w:r>
          </w:p>
        </w:tc>
        <w:tc>
          <w:tcPr>
            <w:tcW w:type="dxa" w:w="2160"/>
          </w:tcPr>
          <w:p>
            <w:r>
              <w:t>All deployed banners</w:t>
            </w:r>
          </w:p>
        </w:tc>
        <w:tc>
          <w:tcPr>
            <w:tcW w:type="dxa" w:w="2160"/>
          </w:tcPr>
          <w:p>
            <w:r>
              <w:t>Phase 7+</w:t>
            </w:r>
          </w:p>
        </w:tc>
        <w:tc>
          <w:tcPr>
            <w:tcW w:type="dxa" w:w="2160"/>
          </w:tcPr>
          <w:p>
            <w:r>
              <w:t>Multi-banner threshold tuning loop active · DataOps mature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E142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E142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E142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