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pPr>
      <w:r>
        <w:t>STATEMENT OF WORK — APEX CFMP Pack Lite (T2A)</w:t>
      </w:r>
    </w:p>
    <w:p>
      <w:r>
        <w:rPr>
          <w:b w:val="0"/>
          <w:i/>
          <w:sz w:val="22"/>
        </w:rPr>
        <w:t>Engagement: CFMP Pack Lite (T2A) on Deloitte's APEX delivery framework</w:t>
      </w:r>
    </w:p>
    <w:p>
      <w:r>
        <w:rPr>
          <w:b w:val="0"/>
          <w:i w:val="0"/>
          <w:sz w:val="22"/>
        </w:rPr>
      </w:r>
    </w:p>
    <w:tbl>
      <w:tblPr>
        <w:tblW w:type="auto" w:w="0"/>
        <w:jc w:val="left"/>
        <w:tblLook w:firstColumn="1" w:firstRow="1" w:lastColumn="0" w:lastRow="0" w:noHBand="0" w:noVBand="1" w:val="04A0"/>
      </w:tblPr>
      <w:tblGrid>
        <w:gridCol w:w="2880"/>
        <w:gridCol w:w="6480"/>
      </w:tblGrid>
      <w:tr>
        <w:tc>
          <w:tcPr>
            <w:tcW w:type="dxa" w:w="4320"/>
            <w:shd w:fill="F5F5F5" w:val="clear"/>
          </w:tcPr>
          <w:p>
            <w:r>
              <w:rPr>
                <w:b/>
              </w:rPr>
              <w:t>SOW Number</w:t>
            </w:r>
          </w:p>
        </w:tc>
        <w:tc>
          <w:tcPr>
            <w:tcW w:type="dxa" w:w="4320"/>
          </w:tcPr>
          <w:p>
            <w:r>
              <w:t>[SOW_NUMBER]</w:t>
            </w:r>
          </w:p>
        </w:tc>
      </w:tr>
      <w:tr>
        <w:tc>
          <w:tcPr>
            <w:tcW w:type="dxa" w:w="4320"/>
            <w:shd w:fill="F5F5F5" w:val="clear"/>
          </w:tcPr>
          <w:p>
            <w:r>
              <w:rPr>
                <w:b/>
              </w:rPr>
              <w:t>Client</w:t>
            </w:r>
          </w:p>
        </w:tc>
        <w:tc>
          <w:tcPr>
            <w:tcW w:type="dxa" w:w="4320"/>
          </w:tcPr>
          <w:p>
            <w:r>
              <w:t>[CLIENT_NAME]</w:t>
            </w:r>
          </w:p>
        </w:tc>
      </w:tr>
      <w:tr>
        <w:tc>
          <w:tcPr>
            <w:tcW w:type="dxa" w:w="4320"/>
            <w:shd w:fill="F5F5F5" w:val="clear"/>
          </w:tcPr>
          <w:p>
            <w:r>
              <w:rPr>
                <w:b/>
              </w:rPr>
              <w:t>Engagement variant</w:t>
            </w:r>
          </w:p>
        </w:tc>
        <w:tc>
          <w:tcPr>
            <w:tcW w:type="dxa" w:w="4320"/>
          </w:tcPr>
          <w:p>
            <w:r>
              <w:t>[Variant A — B2B2C  /  Variant B — B2C]</w:t>
            </w:r>
          </w:p>
        </w:tc>
      </w:tr>
      <w:tr>
        <w:tc>
          <w:tcPr>
            <w:tcW w:type="dxa" w:w="4320"/>
            <w:shd w:fill="F5F5F5" w:val="clear"/>
          </w:tcPr>
          <w:p>
            <w:r>
              <w:rPr>
                <w:b/>
              </w:rPr>
              <w:t>Estimated value</w:t>
            </w:r>
          </w:p>
        </w:tc>
        <w:tc>
          <w:tcPr>
            <w:tcW w:type="dxa" w:w="4320"/>
          </w:tcPr>
          <w:p>
            <w:r>
              <w:t>$150,000 – $250,000 USD</w:t>
            </w:r>
          </w:p>
        </w:tc>
      </w:tr>
      <w:tr>
        <w:tc>
          <w:tcPr>
            <w:tcW w:type="dxa" w:w="4320"/>
            <w:shd w:fill="F5F5F5" w:val="clear"/>
          </w:tcPr>
          <w:p>
            <w:r>
              <w:rPr>
                <w:b/>
              </w:rPr>
              <w:t>Estimated duration</w:t>
            </w:r>
          </w:p>
        </w:tc>
        <w:tc>
          <w:tcPr>
            <w:tcW w:type="dxa" w:w="4320"/>
          </w:tcPr>
          <w:p>
            <w:r>
              <w:t>4 to 6 weeks</w:t>
            </w:r>
          </w:p>
        </w:tc>
      </w:tr>
      <w:tr>
        <w:tc>
          <w:tcPr>
            <w:tcW w:type="dxa" w:w="4320"/>
            <w:shd w:fill="F5F5F5" w:val="clear"/>
          </w:tcPr>
          <w:p>
            <w:r>
              <w:rPr>
                <w:b/>
              </w:rPr>
              <w:t>Effective date</w:t>
            </w:r>
          </w:p>
        </w:tc>
        <w:tc>
          <w:tcPr>
            <w:tcW w:type="dxa" w:w="4320"/>
          </w:tcPr>
          <w:p>
            <w:r>
              <w:t>[START_DATE]</w:t>
            </w:r>
          </w:p>
        </w:tc>
      </w:tr>
    </w:tbl>
    <w:p>
      <w:r>
        <w:rPr>
          <w:b w:val="0"/>
          <w:i w:val="0"/>
          <w:sz w:val="22"/>
        </w:rPr>
      </w:r>
    </w:p>
    <w:tbl>
      <w:tblPr>
        <w:tblW w:type="auto" w:w="0"/>
        <w:jc w:val="left"/>
        <w:tblLook w:firstColumn="1" w:firstRow="1" w:lastColumn="0" w:lastRow="0" w:noHBand="0" w:noVBand="1" w:val="04A0"/>
      </w:tblPr>
      <w:tblGrid>
        <w:gridCol w:w="8640"/>
      </w:tblGrid>
      <w:tr>
        <w:tc>
          <w:tcPr>
            <w:tcW w:type="dxa" w:w="8640"/>
            <w:shd w:fill="E8F5E9" w:val="clear"/>
          </w:tcPr>
          <w:p>
            <w:r/>
            <w:r>
              <w:rPr>
                <w:i/>
                <w:color w:val="0E1423"/>
                <w:sz w:val="20"/>
              </w:rPr>
              <w:t>This Statement of Work is issued under the Master Services Agreement between [CLIENT_NAME] and Deloitte Consulting LLP dated [MSA_DATE]. All terms of the MSA apply. This SOW supersedes any prior estimates, proposals, or correspondence between the parties relating to the services described herein.</w:t>
            </w:r>
          </w:p>
        </w:tc>
      </w:tr>
    </w:tbl>
    <w:p>
      <w:r>
        <w:rPr>
          <w:b w:val="0"/>
          <w:i w:val="0"/>
          <w:sz w:val="22"/>
        </w:rPr>
      </w:r>
    </w:p>
    <w:p>
      <w:r>
        <w:rPr>
          <w:b w:val="0"/>
          <w:i/>
          <w:sz w:val="22"/>
        </w:rPr>
        <w:t>Prepared by: [LCSP_NAME], Deloitte's Microsoft Practice (DMTSP)</w:t>
      </w:r>
    </w:p>
    <w:p>
      <w:r>
        <w:rPr>
          <w:b w:val="0"/>
          <w:i/>
          <w:sz w:val="22"/>
        </w:rPr>
        <w:t>Internal · Deloitte's Microsoft Technology &amp; Services Practice</w:t>
      </w:r>
    </w:p>
    <w:p>
      <w:pPr>
        <w:pStyle w:val="Heading2"/>
        <w:spacing w:before="240"/>
      </w:pPr>
      <w:r>
        <w:t>1. Background and engagement context</w:t>
      </w:r>
    </w:p>
    <w:p>
      <w:r>
        <w:rPr>
          <w:b w:val="0"/>
          <w:i w:val="0"/>
          <w:sz w:val="22"/>
        </w:rPr>
        <w:t>[CLIENT_NAME] ("Client") has engaged Deloitte Consulting LLP ("Deloitte") to deliver a scoped agentic-AI engagement on the APEX framework. This SOW describes the Pack Lite engagement, the first of a potential multi-wave program of work that may grow into a full Pack rollout and ongoing Operate services.</w:t>
      </w:r>
    </w:p>
    <w:p>
      <w:r>
        <w:rPr>
          <w:b w:val="0"/>
          <w:i w:val="0"/>
          <w:sz w:val="22"/>
        </w:rPr>
        <w:t>Deloitte's APEX framework is a cloud-neutral delivery framework comprising: a 14-interface Cloud Profile contract; a 6-Agent Fleet pattern; a 14-field WORM hash-chain audit ledger ("LEDGER"); Industry Solution Packs (10-asset bundles) including the Customer-Focused Merchandise Pack ("CFMP"); and standard Service Envelope tiers under which engagements are scoped and priced.</w:t>
      </w:r>
    </w:p>
    <w:p>
      <w:r>
        <w:rPr>
          <w:b w:val="0"/>
          <w:i w:val="0"/>
          <w:sz w:val="22"/>
        </w:rPr>
        <w:t>This engagement runs on the APEX-M (Microsoft) cloud profile.</w:t>
      </w:r>
    </w:p>
    <w:p>
      <w:pPr>
        <w:pStyle w:val="Heading2"/>
        <w:spacing w:before="240"/>
      </w:pPr>
      <w:r>
        <w:t>2. Scope of services</w:t>
      </w:r>
    </w:p>
    <w:p>
      <w:r>
        <w:rPr>
          <w:b w:val="0"/>
          <w:i w:val="0"/>
          <w:sz w:val="22"/>
        </w:rPr>
        <w:t>Deloitte will deliver the APEX CFMP Pack Lite engagement, comprising three live scenarios on Client's stores or — if Variant B (CHC) is elected — on a pilot household cohort. The engagement produces a working production-grade scenario set on Client data, a Pack-Lite SOW for follow-on Standard tier, and an operate-readiness assessment.</w:t>
      </w:r>
    </w:p>
    <w:p>
      <w:pPr>
        <w:pStyle w:val="Heading3"/>
        <w:spacing w:before="160"/>
      </w:pPr>
      <w:r>
        <w:t>2.1 Scenarios in scope</w:t>
      </w:r>
    </w:p>
    <w:p>
      <w:r>
        <w:rPr>
          <w:b w:val="0"/>
          <w:i w:val="0"/>
          <w:sz w:val="22"/>
        </w:rPr>
        <w:t>Three scenarios from the CFMP / CHC catalog, to be selected during BVA workshop. Typical Lite shortlist:</w:t>
      </w:r>
    </w:p>
    <w:p>
      <w:pPr>
        <w:pStyle w:val="ListBullet"/>
      </w:pPr>
      <w:r>
        <w:t>rc-sampling-table-engagement (CHOOSE phase, in-store)</w:t>
      </w:r>
    </w:p>
    <w:p>
      <w:pPr>
        <w:pStyle w:val="ListBullet"/>
      </w:pPr>
      <w:r>
        <w:t>rc-cart-dwell-abandonment-rescue (BUY phase, in-store)</w:t>
      </w:r>
    </w:p>
    <w:p>
      <w:pPr>
        <w:pStyle w:val="ListBullet"/>
      </w:pPr>
      <w:r>
        <w:t>cfmp-wayfinding-walk-to-product (SELECT phase, in-store, Azure Maps Creator)</w:t>
      </w:r>
    </w:p>
    <w:p>
      <w:pPr>
        <w:pStyle w:val="ListBullet"/>
      </w:pPr>
      <w:r>
        <w:t>— or CHC equivalent triad: chc-pantry-inventory-inference, chc-low-stock-voice-prompt, chc-replenishment-cart-build (NEED phase, in-home)</w:t>
      </w:r>
    </w:p>
    <w:p>
      <w:r>
        <w:rPr>
          <w:b w:val="0"/>
          <w:i w:val="0"/>
          <w:sz w:val="22"/>
        </w:rPr>
        <w:t>Final selection is documented in the post-BVA addendum to this SOW.</w:t>
      </w:r>
    </w:p>
    <w:p>
      <w:pPr>
        <w:pStyle w:val="Heading3"/>
        <w:spacing w:before="160"/>
      </w:pPr>
      <w:r>
        <w:t>2.2 Deliverables</w:t>
      </w:r>
    </w:p>
    <w:p>
      <w:pPr>
        <w:pStyle w:val="ListBullet"/>
      </w:pPr>
      <w:r>
        <w:t>Three scenario manifests (`scenarios/*.yaml`) deployed to the APEX-M runtime.</w:t>
      </w:r>
    </w:p>
    <w:p>
      <w:pPr>
        <w:pStyle w:val="ListBullet"/>
      </w:pPr>
      <w:r>
        <w:t>Six Virtual View manifests (`views/*.yaml`) with thresholds and resolution routes.</w:t>
      </w:r>
    </w:p>
    <w:p>
      <w:pPr>
        <w:pStyle w:val="ListBullet"/>
      </w:pPr>
      <w:r>
        <w:t>Three Adaptive Card templates (`cards/*.json`) — customer-facing and operator-facing variants.</w:t>
      </w:r>
    </w:p>
    <w:p>
      <w:pPr>
        <w:pStyle w:val="ListBullet"/>
      </w:pPr>
      <w:r>
        <w:t>Persona map (`personas.yaml`) with Client's identity binding (Entra group OIDs for store associates; loyalty-ID binding for customer persona).</w:t>
      </w:r>
    </w:p>
    <w:p>
      <w:pPr>
        <w:pStyle w:val="ListBullet"/>
      </w:pPr>
      <w:r>
        <w:t>Source adapter scaffolding for Client's POS, planogram, and loyalty systems (one production-grade adapter; two stubs for follow-on Standard tier).</w:t>
      </w:r>
    </w:p>
    <w:p>
      <w:pPr>
        <w:pStyle w:val="ListBullet"/>
      </w:pPr>
      <w:r>
        <w:t>Constitution overlay (`constitution.yaml`) with six hard rules reviewed and signed off by Client's privacy team.</w:t>
      </w:r>
    </w:p>
    <w:p>
      <w:pPr>
        <w:pStyle w:val="ListBullet"/>
      </w:pPr>
      <w:r>
        <w:t>60+ acceptance tests in the Pack CI suite, passing against Client data.</w:t>
      </w:r>
    </w:p>
    <w:p>
      <w:pPr>
        <w:pStyle w:val="ListBullet"/>
      </w:pPr>
      <w:r>
        <w:t>Pack-level BVA worksheet (xlsx) with ROI calculator populated from Client baseline metrics.</w:t>
      </w:r>
    </w:p>
    <w:p>
      <w:pPr>
        <w:pStyle w:val="ListBullet"/>
      </w:pPr>
      <w:r>
        <w:t>Pack-Lite Standard SOW skeleton (this document, refined post-engagement).</w:t>
      </w:r>
    </w:p>
    <w:p>
      <w:pPr>
        <w:pStyle w:val="ListBullet"/>
      </w:pPr>
      <w:r>
        <w:t>Live demonstration of all three scenarios on Client data, signed off in the acceptance demonstration meeting.</w:t>
      </w:r>
    </w:p>
    <w:p>
      <w:pPr>
        <w:pStyle w:val="Heading2"/>
        <w:spacing w:before="240"/>
      </w:pPr>
      <w:r>
        <w:t>Acceptance criteria</w:t>
      </w:r>
    </w:p>
    <w:p>
      <w:r>
        <w:rPr>
          <w:b w:val="0"/>
          <w:i w:val="0"/>
          <w:sz w:val="22"/>
        </w:rPr>
        <w:t>The deliverables under this SOW are accepted when the following are demonstrated:</w:t>
      </w:r>
    </w:p>
    <w:p>
      <w:pPr>
        <w:pStyle w:val="ListBullet"/>
      </w:pPr>
      <w:r>
        <w:t>All three scenarios fire end-to-end on Client data without manual intervention in a live demonstration witnessed by Client's CMO/CX-VP and DPO.</w:t>
      </w:r>
    </w:p>
    <w:p>
      <w:pPr>
        <w:pStyle w:val="ListBullet"/>
      </w:pPr>
      <w:r>
        <w:t>The Pack CI suite (60+ tests) passes at ≥98% green against Client data.</w:t>
      </w:r>
    </w:p>
    <w:p>
      <w:pPr>
        <w:pStyle w:val="ListBullet"/>
      </w:pPr>
      <w:r>
        <w:t>The LEDGER produces a hash-chained AuditRow for every customer-facing decision, with consent_hash captured at decision moment, verified via apex-replay reproduction.</w:t>
      </w:r>
    </w:p>
    <w:p>
      <w:pPr>
        <w:pStyle w:val="ListBullet"/>
      </w:pPr>
      <w:r>
        <w:t>Pack-level BVA worksheet completed with Client CFO sign-off on baseline assumptions.</w:t>
      </w:r>
    </w:p>
    <w:p>
      <w:pPr>
        <w:pStyle w:val="ListBullet"/>
      </w:pPr>
      <w:r>
        <w:t>Operate-readiness assessment delivered with go/no-go recommendation for Standard tier.</w:t>
      </w:r>
    </w:p>
    <w:p>
      <w:r>
        <w:rPr>
          <w:b w:val="0"/>
          <w:i w:val="0"/>
          <w:sz w:val="22"/>
        </w:rPr>
        <w:t>Client has ten (10) business days from delivery of each acceptance demonstration to provide written acceptance or a written description of any deficiency. Absent written response within this window, deliverables are deemed accepted.</w:t>
      </w:r>
    </w:p>
    <w:p>
      <w:pPr>
        <w:pStyle w:val="Heading2"/>
        <w:spacing w:before="240"/>
      </w:pPr>
      <w:r>
        <w:t>3. Engagement approach</w:t>
      </w:r>
    </w:p>
    <w:p>
      <w:pPr>
        <w:pStyle w:val="Heading3"/>
        <w:spacing w:before="160"/>
      </w:pPr>
      <w:r>
        <w:t>3.1 Phases</w:t>
      </w:r>
    </w:p>
    <w:p>
      <w:r>
        <w:rPr>
          <w:b/>
        </w:rPr>
        <w:t xml:space="preserve">Phase 1 — BVA Workshop (Week 0, 4 hours on-site).  </w:t>
      </w:r>
      <w:r>
        <w:t>Scenario shortlisting, baseline-metric capture, ROI calculator population, SOW addendum.</w:t>
      </w:r>
    </w:p>
    <w:p>
      <w:r>
        <w:rPr>
          <w:b/>
        </w:rPr>
        <w:t xml:space="preserve">Phase 2 — Manifest Authoring (Weeks 1-2).  </w:t>
      </w:r>
      <w:r>
        <w:t>Deloitte authors VV, scenario, persona, and card manifests; Client provides data samples and source-system access.</w:t>
      </w:r>
    </w:p>
    <w:p>
      <w:r>
        <w:rPr>
          <w:b/>
        </w:rPr>
        <w:t xml:space="preserve">Phase 3 — Adapter Build (Weeks 2-4).  </w:t>
      </w:r>
      <w:r>
        <w:t>Production-grade adapter for primary source system; stubs for secondaries.</w:t>
      </w:r>
    </w:p>
    <w:p>
      <w:r>
        <w:rPr>
          <w:b/>
        </w:rPr>
        <w:t xml:space="preserve">Phase 4 — Constitution Review (Week 4).  </w:t>
      </w:r>
      <w:r>
        <w:t>Constitution.yaml drafted; Client privacy team reviews and signs.</w:t>
      </w:r>
    </w:p>
    <w:p>
      <w:r>
        <w:rPr>
          <w:b/>
        </w:rPr>
        <w:t xml:space="preserve">Phase 5 — Integration + Test (Weeks 4-5).  </w:t>
      </w:r>
      <w:r>
        <w:t>End-to-end scenarios deployed to APEX-M runtime; CI suite turned green.</w:t>
      </w:r>
    </w:p>
    <w:p>
      <w:r>
        <w:rPr>
          <w:b/>
        </w:rPr>
        <w:t xml:space="preserve">Phase 6 — Acceptance Demo + Handoff (Week 6).  </w:t>
      </w:r>
      <w:r>
        <w:t>Live demonstration; BVA worksheet finalized; Standard SOW skeleton handed to LCSP.</w:t>
      </w:r>
    </w:p>
    <w:p>
      <w:pPr>
        <w:pStyle w:val="Heading2"/>
        <w:spacing w:before="240"/>
      </w:pPr>
      <w:r>
        <w:t>4. Engagement team</w:t>
      </w:r>
    </w:p>
    <w:p>
      <w:r>
        <w:rPr>
          <w:b w:val="0"/>
          <w:i w:val="0"/>
          <w:sz w:val="22"/>
        </w:rPr>
        <w:t>Deloitte delivery team (typical Lite composition):</w:t>
      </w:r>
    </w:p>
    <w:p>
      <w:pPr>
        <w:pStyle w:val="ListBullet"/>
      </w:pPr>
      <w:r>
        <w:t>Engagement Manager (50%) — overall delivery accountability and Client communications.</w:t>
      </w:r>
    </w:p>
    <w:p>
      <w:pPr>
        <w:pStyle w:val="ListBullet"/>
      </w:pPr>
      <w:r>
        <w:t>APEX Solution Architect (75%) — framework deployment and integration design.</w:t>
      </w:r>
    </w:p>
    <w:p>
      <w:pPr>
        <w:pStyle w:val="ListBullet"/>
      </w:pPr>
      <w:r>
        <w:t>Pack Manifest Engineer (100%) — VV and scenario manifest authoring.</w:t>
      </w:r>
    </w:p>
    <w:p>
      <w:pPr>
        <w:pStyle w:val="ListBullet"/>
      </w:pPr>
      <w:r>
        <w:t>Adapter Engineer (75%) — source-system integration.</w:t>
      </w:r>
    </w:p>
    <w:p>
      <w:pPr>
        <w:pStyle w:val="ListBullet"/>
      </w:pPr>
      <w:r>
        <w:t>Privacy Engineer (25%) — Constitution overlay and consent-flow review.</w:t>
      </w:r>
    </w:p>
    <w:p>
      <w:pPr>
        <w:pStyle w:val="ListBullet"/>
      </w:pPr>
      <w:r>
        <w:t>DataOps Engineer (50%) — Pack CI suite and acceptance tests.</w:t>
      </w:r>
    </w:p>
    <w:p>
      <w:pPr>
        <w:pStyle w:val="Heading2"/>
        <w:spacing w:before="240"/>
      </w:pPr>
      <w:r>
        <w:t>5. Schedule</w:t>
      </w:r>
    </w:p>
    <w:p>
      <w:r>
        <w:rPr>
          <w:b w:val="0"/>
          <w:i w:val="0"/>
          <w:sz w:val="22"/>
        </w:rPr>
        <w:t>Total elapsed: 4-6 weeks from MSA effective date and SOW countersignature.</w:t>
      </w:r>
    </w:p>
    <w:p>
      <w:pPr>
        <w:pStyle w:val="Heading2"/>
        <w:spacing w:before="240"/>
      </w:pPr>
      <w:r>
        <w:t>6. Fees and payment</w:t>
      </w:r>
    </w:p>
    <w:p>
      <w:r>
        <w:rPr>
          <w:b w:val="0"/>
          <w:i w:val="0"/>
          <w:sz w:val="22"/>
        </w:rPr>
        <w:t>Total engagement fee: USD 150,000 – 250,000, fixed fee, to be finalized in the post-BVA addendum based on final scenario selection and source-system complexity.</w:t>
      </w:r>
    </w:p>
    <w:p>
      <w:r>
        <w:rPr>
          <w:b w:val="0"/>
          <w:i w:val="0"/>
          <w:sz w:val="22"/>
        </w:rPr>
        <w:t>Payment schedule:</w:t>
      </w:r>
    </w:p>
    <w:p>
      <w:pPr>
        <w:pStyle w:val="ListBullet"/>
      </w:pPr>
      <w:r>
        <w:t>30% at SOW countersignature.</w:t>
      </w:r>
    </w:p>
    <w:p>
      <w:pPr>
        <w:pStyle w:val="ListBullet"/>
      </w:pPr>
      <w:r>
        <w:t>40% upon completion of Phase 4 (Constitution review).</w:t>
      </w:r>
    </w:p>
    <w:p>
      <w:pPr>
        <w:pStyle w:val="ListBullet"/>
      </w:pPr>
      <w:r>
        <w:t>30% upon Acceptance per §2.2.</w:t>
      </w:r>
    </w:p>
    <w:p>
      <w:r>
        <w:rPr>
          <w:b w:val="0"/>
          <w:i w:val="0"/>
          <w:sz w:val="22"/>
        </w:rPr>
        <w:t>Pricing assumes BVA workshop is bundled into this engagement. If BVA was previously delivered as a standalone engagement, its fee is credited against this SOW.</w:t>
      </w:r>
    </w:p>
    <w:p>
      <w:pPr>
        <w:pStyle w:val="Heading2"/>
        <w:spacing w:before="240"/>
      </w:pPr>
      <w:r>
        <w:t>Assumptions and dependencies</w:t>
      </w:r>
    </w:p>
    <w:p>
      <w:pPr>
        <w:pStyle w:val="ListBullet"/>
      </w:pPr>
      <w:r>
        <w:t>Client provides timely access to subject-matter experts, business stakeholders, and decision-makers as agreed in the engagement governance plan.</w:t>
      </w:r>
    </w:p>
    <w:p>
      <w:pPr>
        <w:pStyle w:val="ListBullet"/>
      </w:pPr>
      <w:r>
        <w:t>Client provides access to systems, data, and credentials required for in-scope work; production-system access is requested at least two business days in advance.</w:t>
      </w:r>
    </w:p>
    <w:p>
      <w:pPr>
        <w:pStyle w:val="ListBullet"/>
      </w:pPr>
      <w:r>
        <w:t>Client provides one or more Microsoft Azure subscriptions sufficient for the APEX-M cloud profile, including but not limited to: Foundry, Azure OpenAI, OneLake / Fabric, Entra ID, Purview, Key Vault, and Container Apps capacity.</w:t>
      </w:r>
    </w:p>
    <w:p>
      <w:pPr>
        <w:pStyle w:val="ListBullet"/>
      </w:pPr>
      <w:r>
        <w:t>Client owns and operates all source systems referenced by the deployed Pack manifests; Deloitte develops adapters but does not assume operational responsibility for source systems.</w:t>
      </w:r>
    </w:p>
    <w:p>
      <w:pPr>
        <w:pStyle w:val="ListBullet"/>
      </w:pPr>
      <w:r>
        <w:t>Client's existing identity infrastructure (Entra) is operational and capable of supporting the persona model deployed by the Pack.</w:t>
      </w:r>
    </w:p>
    <w:p>
      <w:pPr>
        <w:pStyle w:val="ListBullet"/>
      </w:pPr>
      <w:r>
        <w:t>Client is responsible for legal review of the deployed Constitution.yaml (privacy hard rules), the Adaptive Card library, and customer-facing surfaces prior to production go-live.</w:t>
      </w:r>
    </w:p>
    <w:p>
      <w:pPr>
        <w:pStyle w:val="ListBullet"/>
      </w:pPr>
      <w:r>
        <w:t>Client is responsible for any data-protection-impact assessments (DPIA), regulator notifications, or consumer-disclosure obligations triggered by the deployed services.</w:t>
      </w:r>
    </w:p>
    <w:p>
      <w:pPr>
        <w:pStyle w:val="ListBullet"/>
      </w:pPr>
      <w:r>
        <w:t>Deloitte's services are advisory and engineering; Deloitte does not assume any role of 'data controller' under GDPR/CCPA or analogous regulations.</w:t>
      </w:r>
    </w:p>
    <w:p>
      <w:pPr>
        <w:pStyle w:val="ListBullet"/>
      </w:pPr>
      <w:r>
        <w:t>Pricing in this SOW does not include third-party software, Azure consumption, Sonos hardware, edge devices, or other infrastructure costs.</w:t>
      </w:r>
    </w:p>
    <w:p>
      <w:pPr>
        <w:pStyle w:val="ListBullet"/>
      </w:pPr>
      <w:r>
        <w:t>Schedule shown in §5 assumes no more than two-week aggregate delay from Client-side dependencies; greater delays require change control.</w:t>
      </w:r>
    </w:p>
    <w:p>
      <w:pPr>
        <w:pStyle w:val="ListBullet"/>
      </w:pPr>
      <w:r>
        <w:t>Lite engagement assumes Client provides one primary source-system adapter target (POS, planogram, OR loyalty); two additional source systems are stubbed for Standard-tier follow-on.</w:t>
      </w:r>
    </w:p>
    <w:p>
      <w:pPr>
        <w:pStyle w:val="ListBullet"/>
      </w:pPr>
      <w:r>
        <w:t>Lite scope is limited to three scenarios; additional scenarios require Standard-tier scoping.</w:t>
      </w:r>
    </w:p>
    <w:p>
      <w:pPr>
        <w:pStyle w:val="Heading2"/>
        <w:spacing w:before="240"/>
      </w:pPr>
      <w:r>
        <w:t>Change control</w:t>
      </w:r>
    </w:p>
    <w:p>
      <w:r>
        <w:rPr>
          <w:b w:val="0"/>
          <w:i w:val="0"/>
          <w:sz w:val="22"/>
        </w:rPr>
        <w:t>Any change to the scope, schedule, deliverables, fees, or assumptions of this SOW shall be documented in a Change Request signed by both parties prior to commencement of the affected work. Verbal authorizations are not binding. Change Requests may be priced as either a fixed addition to this SOW or as a time-and-materials engagement extension.</w:t>
      </w:r>
    </w:p>
    <w:p>
      <w:pPr>
        <w:pStyle w:val="Heading2"/>
        <w:spacing w:before="240"/>
      </w:pPr>
      <w:r>
        <w:t>Intellectual property</w:t>
      </w:r>
    </w:p>
    <w:p>
      <w:r>
        <w:rPr>
          <w:b w:val="0"/>
          <w:i w:val="0"/>
          <w:sz w:val="22"/>
        </w:rPr>
        <w:t>APEX, including the APEX framework code, the 14-interface Cloud Profile contract specification, the 6-Agent Fleet pattern, the LEDGER schema, the Industry Solution Pack catalog (including CFMP and any CHC overlays), the apex-replay tooling, and all related methodology and pre-existing Deloitte intellectual property (collectively the "APEX IP") remain the sole property of Deloitte and its affiliates. Client receives a non-exclusive, royalty-free, perpetual license to use the deployed Pack manifests, Constitution overlay, and configuration artifacts solely for Client's internal business purposes.</w:t>
      </w:r>
    </w:p>
    <w:p>
      <w:r>
        <w:rPr>
          <w:b w:val="0"/>
          <w:i w:val="0"/>
          <w:sz w:val="22"/>
        </w:rPr>
        <w:t>Client overlays — including Client's CAD-derived Azure Maps Creator datasets, Client's planogram data, Client's identity bindings, Client's threshold tunings, and any client-specific scenario manifests authored under this SOW — are owned by Client.</w:t>
      </w:r>
    </w:p>
    <w:p>
      <w:r>
        <w:rPr>
          <w:b w:val="0"/>
          <w:i w:val="0"/>
          <w:sz w:val="22"/>
        </w:rPr>
        <w:t>Pre-existing IP retains its prior ownership; nothing in this SOW transfers ownership of pre-existing IP between the parties. Newly developed work product is owned per the IP allocation above; ambiguity in any single artifact's classification is resolved in Deloitte's favor for general framework components and in Client's favor for Client-specific configuration.</w:t>
      </w:r>
    </w:p>
    <w:p>
      <w:pPr>
        <w:pStyle w:val="Heading2"/>
        <w:spacing w:before="240"/>
      </w:pPr>
      <w:r>
        <w:t>Independence and funding</w:t>
      </w:r>
    </w:p>
    <w:tbl>
      <w:tblPr>
        <w:tblW w:type="auto" w:w="0"/>
        <w:jc w:val="left"/>
        <w:tblLook w:firstColumn="1" w:firstRow="1" w:lastColumn="0" w:lastRow="0" w:noHBand="0" w:noVBand="1" w:val="04A0"/>
      </w:tblPr>
      <w:tblGrid>
        <w:gridCol w:w="8640"/>
      </w:tblGrid>
      <w:tr>
        <w:tc>
          <w:tcPr>
            <w:tcW w:type="dxa" w:w="8640"/>
            <w:shd w:fill="E8F5E9" w:val="clear"/>
          </w:tcPr>
          <w:p>
            <w:r/>
            <w:r>
              <w:rPr>
                <w:i/>
                <w:color w:val="0E1423"/>
                <w:sz w:val="20"/>
              </w:rPr>
              <w:t>Deloitte serves as Microsoft Corporation's independent auditor. Per SEC and PCAOB rules, Deloitte does not accept Enterprise Customer Investment Funds (ECIF) or similar payments directly from Microsoft. Any Microsoft-sourced funding contemplated under this engagement flows via (i) Azure Marketplace burndown against [CLIENT_NAME]'s existing Microsoft commitments, or (ii) a non-competing Systems Integrator (SI) partner under separate Teaming Agreement. Deloitte's engagement fee is paid by [CLIENT_NAME].</w:t>
            </w:r>
          </w:p>
        </w:tc>
      </w:tr>
    </w:tbl>
    <w:p>
      <w:r>
        <w:rPr>
          <w:b w:val="0"/>
          <w:i w:val="0"/>
          <w:sz w:val="22"/>
        </w:rPr>
      </w:r>
    </w:p>
    <w:p>
      <w:r>
        <w:rPr>
          <w:b w:val="0"/>
          <w:i w:val="0"/>
          <w:sz w:val="22"/>
        </w:rPr>
        <w:t>[CLIENT_NAME] acknowledges that Deloitte's role under this SOW is independent of Microsoft. Deloitte makes no representations on behalf of Microsoft and shall not be characterized as Microsoft's partner, agent, alliance member, or joint-commercial party. Microsoft is referred to throughout this engagement solely as the 'cloud profile' or 'platform'.</w:t>
      </w:r>
    </w:p>
    <w:p>
      <w:pPr>
        <w:pStyle w:val="Heading2"/>
        <w:spacing w:before="240"/>
      </w:pPr>
      <w:r>
        <w:t>Signatures</w:t>
      </w:r>
    </w:p>
    <w:tbl>
      <w:tblPr>
        <w:tblW w:type="auto" w:w="0"/>
        <w:tblLook w:firstColumn="1" w:firstRow="1" w:lastColumn="0" w:lastRow="0" w:noHBand="0" w:noVBand="1" w:val="04A0"/>
      </w:tblPr>
      <w:tblGrid>
        <w:gridCol w:w="4320"/>
        <w:gridCol w:w="4320"/>
      </w:tblGrid>
      <w:tr>
        <w:tc>
          <w:tcPr>
            <w:tcW w:type="dxa" w:w="4320"/>
          </w:tcPr>
          <w:p>
            <w:r>
              <w:rPr>
                <w:b/>
              </w:rPr>
              <w:t>For [CLIENT_NAME]:</w:t>
            </w:r>
          </w:p>
        </w:tc>
        <w:tc>
          <w:tcPr>
            <w:tcW w:type="dxa" w:w="4320"/>
          </w:tcPr>
          <w:p>
            <w:r>
              <w:rPr>
                <w:b/>
              </w:rPr>
              <w:t>For Deloitte Consulting LLP:</w:t>
            </w:r>
          </w:p>
        </w:tc>
      </w:tr>
      <w:tr>
        <w:tc>
          <w:tcPr>
            <w:tcW w:type="dxa" w:w="4320"/>
          </w:tcPr>
          <w:p>
            <w:r>
              <w:t>By: _________________________</w:t>
            </w:r>
          </w:p>
        </w:tc>
        <w:tc>
          <w:tcPr>
            <w:tcW w:type="dxa" w:w="4320"/>
          </w:tcPr>
          <w:p>
            <w:r>
              <w:t>By: _________________________</w:t>
            </w:r>
          </w:p>
        </w:tc>
      </w:tr>
      <w:tr>
        <w:tc>
          <w:tcPr>
            <w:tcW w:type="dxa" w:w="4320"/>
          </w:tcPr>
          <w:p>
            <w:r>
              <w:t>Name: [CLIENT_SIGNATORY]</w:t>
            </w:r>
          </w:p>
        </w:tc>
        <w:tc>
          <w:tcPr>
            <w:tcW w:type="dxa" w:w="4320"/>
          </w:tcPr>
          <w:p>
            <w:r>
              <w:t>Name: [LCSP_NAME]</w:t>
            </w:r>
          </w:p>
        </w:tc>
      </w:tr>
      <w:tr>
        <w:tc>
          <w:tcPr>
            <w:tcW w:type="dxa" w:w="4320"/>
          </w:tcPr>
          <w:p>
            <w:r>
              <w:t>Title: ______________________</w:t>
            </w:r>
          </w:p>
        </w:tc>
        <w:tc>
          <w:tcPr>
            <w:tcW w:type="dxa" w:w="4320"/>
          </w:tcPr>
          <w:p>
            <w:r>
              <w:t>Title: Vice President</w:t>
            </w:r>
          </w:p>
        </w:tc>
      </w:tr>
    </w:tbl>
    <w:p>
      <w:r>
        <w:br w:type="page"/>
      </w:r>
    </w:p>
    <w:p>
      <w:pPr>
        <w:pStyle w:val="Heading1"/>
        <w:spacing w:before="360"/>
      </w:pPr>
      <w:r>
        <w:t>Appendix A — Service Envelope mapping</w:t>
      </w:r>
    </w:p>
    <w:p>
      <w:r>
        <w:rPr>
          <w:b w:val="0"/>
          <w:i w:val="0"/>
          <w:sz w:val="22"/>
        </w:rPr>
        <w:t>This engagement sits within the APEX Service Envelope tier ladder: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Description</w:t>
            </w:r>
          </w:p>
        </w:tc>
        <w:tc>
          <w:tcPr>
            <w:tcW w:type="dxa" w:w="2160"/>
          </w:tcPr>
          <w:p>
            <w:r>
              <w:t>Price band</w:t>
            </w:r>
          </w:p>
        </w:tc>
        <w:tc>
          <w:tcPr>
            <w:tcW w:type="dxa" w:w="2160"/>
          </w:tcPr>
          <w:p>
            <w:r>
              <w:t>This SOW</w:t>
            </w:r>
          </w:p>
        </w:tc>
      </w:tr>
      <w:tr>
        <w:tc>
          <w:tcPr>
            <w:tcW w:type="dxa" w:w="2160"/>
          </w:tcPr>
          <w:p>
            <w:r>
              <w:t>T1 Foundation</w:t>
            </w:r>
          </w:p>
        </w:tc>
        <w:tc>
          <w:tcPr>
            <w:tcW w:type="dxa" w:w="2160"/>
          </w:tcPr>
          <w:p>
            <w:r>
              <w:t>VV runtime · LEDGER · MCP · Entra/Purview wiring</w:t>
            </w:r>
          </w:p>
        </w:tc>
        <w:tc>
          <w:tcPr>
            <w:tcW w:type="dxa" w:w="2160"/>
          </w:tcPr>
          <w:p>
            <w:r>
              <w:t>$400-700K</w:t>
            </w:r>
          </w:p>
        </w:tc>
        <w:tc>
          <w:tcPr>
            <w:tcW w:type="dxa" w:w="2160"/>
          </w:tcPr>
          <w:p>
            <w:r/>
          </w:p>
        </w:tc>
      </w:tr>
      <w:tr>
        <w:tc>
          <w:tcPr>
            <w:tcW w:type="dxa" w:w="2160"/>
            <w:shd w:fill="E8F5E9" w:val="clear"/>
          </w:tcPr>
          <w:p>
            <w:r>
              <w:t>T2 Pack Lite</w:t>
            </w:r>
          </w:p>
        </w:tc>
        <w:tc>
          <w:tcPr>
            <w:tcW w:type="dxa" w:w="2160"/>
            <w:shd w:fill="E8F5E9" w:val="clear"/>
          </w:tcPr>
          <w:p>
            <w:r>
              <w:t>3 scenarios live on client data</w:t>
            </w:r>
          </w:p>
        </w:tc>
        <w:tc>
          <w:tcPr>
            <w:tcW w:type="dxa" w:w="2160"/>
            <w:shd w:fill="E8F5E9" w:val="clear"/>
          </w:tcPr>
          <w:p>
            <w:r>
              <w:t>$150-250K</w:t>
            </w:r>
          </w:p>
        </w:tc>
        <w:tc>
          <w:tcPr>
            <w:tcW w:type="dxa" w:w="2160"/>
            <w:shd w:fill="E8F5E9" w:val="clear"/>
          </w:tcPr>
          <w:p>
            <w:r>
              <w:t>✓</w:t>
            </w:r>
          </w:p>
        </w:tc>
      </w:tr>
      <w:tr>
        <w:tc>
          <w:tcPr>
            <w:tcW w:type="dxa" w:w="2160"/>
          </w:tcPr>
          <w:p>
            <w:r>
              <w:t>T2 Pack Standard</w:t>
            </w:r>
          </w:p>
        </w:tc>
        <w:tc>
          <w:tcPr>
            <w:tcW w:type="dxa" w:w="2160"/>
          </w:tcPr>
          <w:p>
            <w:r>
              <w:t>Sub-domain in production · 3-5 scenarios</w:t>
            </w:r>
          </w:p>
        </w:tc>
        <w:tc>
          <w:tcPr>
            <w:tcW w:type="dxa" w:w="2160"/>
          </w:tcPr>
          <w:p>
            <w:r>
              <w:t>$500K-$1.5M</w:t>
            </w:r>
          </w:p>
        </w:tc>
        <w:tc>
          <w:tcPr>
            <w:tcW w:type="dxa" w:w="2160"/>
          </w:tcPr>
          <w:p>
            <w:r/>
          </w:p>
        </w:tc>
      </w:tr>
      <w:tr>
        <w:tc>
          <w:tcPr>
            <w:tcW w:type="dxa" w:w="2160"/>
          </w:tcPr>
          <w:p>
            <w:r>
              <w:t>T2 Pack Enterprise</w:t>
            </w:r>
          </w:p>
        </w:tc>
        <w:tc>
          <w:tcPr>
            <w:tcW w:type="dxa" w:w="2160"/>
          </w:tcPr>
          <w:p>
            <w:r>
              <w:t>Full pack + multi-store · Operate-ready</w:t>
            </w:r>
          </w:p>
        </w:tc>
        <w:tc>
          <w:tcPr>
            <w:tcW w:type="dxa" w:w="2160"/>
          </w:tcPr>
          <w:p>
            <w:r>
              <w:t>$1.5-3.5M</w:t>
            </w:r>
          </w:p>
        </w:tc>
        <w:tc>
          <w:tcPr>
            <w:tcW w:type="dxa" w:w="2160"/>
          </w:tcPr>
          <w:p>
            <w:r/>
          </w:p>
        </w:tc>
      </w:tr>
      <w:tr>
        <w:tc>
          <w:tcPr>
            <w:tcW w:type="dxa" w:w="2160"/>
          </w:tcPr>
          <w:p>
            <w:r>
              <w:t>T5 Operate</w:t>
            </w:r>
          </w:p>
        </w:tc>
        <w:tc>
          <w:tcPr>
            <w:tcW w:type="dxa" w:w="2160"/>
          </w:tcPr>
          <w:p>
            <w:r>
              <w:t>24×7 monitor · tuning · pack version uptake</w:t>
            </w:r>
          </w:p>
        </w:tc>
        <w:tc>
          <w:tcPr>
            <w:tcW w:type="dxa" w:w="2160"/>
          </w:tcPr>
          <w:p>
            <w:r>
              <w:t>$25-110K/mo</w:t>
            </w:r>
          </w:p>
        </w:tc>
        <w:tc>
          <w:tcPr>
            <w:tcW w:type="dxa" w:w="2160"/>
          </w:tcPr>
          <w:p>
            <w:r/>
          </w:p>
        </w:tc>
      </w:tr>
    </w:tbl>
    <w:p>
      <w:r>
        <w:br w:type="page"/>
      </w:r>
    </w:p>
    <w:p>
      <w:pPr>
        <w:pStyle w:val="Heading1"/>
        <w:spacing w:before="360"/>
      </w:pPr>
      <w:r>
        <w:t>Appendix B — Funding paths and independence</w:t>
      </w:r>
    </w:p>
    <w:p>
      <w:r>
        <w:rPr>
          <w:b w:val="0"/>
          <w:i w:val="0"/>
          <w:sz w:val="22"/>
        </w:rPr>
        <w:t>Engagement fees may be sourced from any of the following independence-safe funding vehicles:</w:t>
      </w:r>
    </w:p>
    <w:p>
      <w:r>
        <w:rPr>
          <w:b/>
        </w:rPr>
        <w:t xml:space="preserve">Client direct.  </w:t>
      </w:r>
      <w:r>
        <w:t>Standard Deloitte-on-Deloitte-paper engagement; no special funding routing required.</w:t>
      </w:r>
    </w:p>
    <w:p>
      <w:r>
        <w:rPr>
          <w:b/>
        </w:rPr>
        <w:t xml:space="preserve">BVA (client-funded).  </w:t>
      </w:r>
      <w:r>
        <w:t>Workshop fee absorbed into Client's marketing or innovation budget; produces the scenario shortlist and SOW skeleton that initiates Lite tier.</w:t>
      </w:r>
    </w:p>
    <w:p>
      <w:r>
        <w:rPr>
          <w:b/>
        </w:rPr>
        <w:t xml:space="preserve">DCIF (Deloitte co-invest).  </w:t>
      </w:r>
      <w:r>
        <w:t>Deloitte commits its own balance sheet against a defined client commitment milestone; reduces Client's upfront cost.</w:t>
      </w:r>
    </w:p>
    <w:p>
      <w:r>
        <w:rPr>
          <w:b/>
        </w:rPr>
        <w:t xml:space="preserve">Azure Marketplace burndown.  </w:t>
      </w:r>
      <w:r>
        <w:t>Client's existing Microsoft Azure commitment is burned down against the engagement fee via an Azure Marketplace transaction; Microsoft pays the Marketplace, Marketplace pays Deloitte. Deloitte does not receive ECIF directly from Microsoft.</w:t>
      </w:r>
    </w:p>
    <w:p>
      <w:r>
        <w:rPr>
          <w:b/>
        </w:rPr>
        <w:t xml:space="preserve">SI Teaming (POC funding).  </w:t>
      </w:r>
      <w:r>
        <w:t>Non-competing SI partner under separate Teaming Agreement receives Microsoft POC funding; Deloitte delivers under SI sub-agreement. Used selectively for early-stage proof-of-concept engagements where Client's Azure commitment is insufficient.</w:t>
      </w:r>
    </w:p>
    <w:p>
      <w:r>
        <w:rPr>
          <w:b/>
        </w:rPr>
        <w:t xml:space="preserve">Time &amp; Materials (T&amp;M).  </w:t>
      </w:r>
      <w:r>
        <w:t>For custom build (T4) tiers or scope extensions beyond Lite/Standard/Enterprise.</w:t>
      </w:r>
    </w:p>
    <w:p>
      <w:r>
        <w:br w:type="page"/>
      </w:r>
    </w:p>
    <w:p>
      <w:pPr>
        <w:pStyle w:val="Heading1"/>
        <w:spacing w:before="360"/>
      </w:pPr>
      <w:r>
        <w:t>Appendix C — Pack 10-asset bundle inventory</w:t>
      </w:r>
    </w:p>
    <w:p>
      <w:r>
        <w:rPr>
          <w:b w:val="0"/>
          <w:i w:val="0"/>
          <w:sz w:val="22"/>
        </w:rPr>
        <w:t>Every APEX Industry Solution Pack ships the same 10-asset bundle. Asset coverage varies by engagement tier. Items checked ✓ are delivered under this SOW; items marked – are deferred to a higher tier.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Asset</w:t>
            </w:r>
          </w:p>
        </w:tc>
        <w:tc>
          <w:tcPr>
            <w:tcW w:type="dxa" w:w="2160"/>
          </w:tcPr>
          <w:p>
            <w:r>
              <w:t>Description</w:t>
            </w:r>
          </w:p>
        </w:tc>
        <w:tc>
          <w:tcPr>
            <w:tcW w:type="dxa" w:w="2160"/>
          </w:tcPr>
          <w:p>
            <w:r>
              <w:t>This SOW</w:t>
            </w:r>
          </w:p>
        </w:tc>
      </w:tr>
      <w:tr>
        <w:tc>
          <w:tcPr>
            <w:tcW w:type="dxa" w:w="2160"/>
          </w:tcPr>
          <w:p>
            <w:r>
              <w:t>1</w:t>
            </w:r>
          </w:p>
        </w:tc>
        <w:tc>
          <w:tcPr>
            <w:tcW w:type="dxa" w:w="2160"/>
          </w:tcPr>
          <w:p>
            <w:r>
              <w:t>VV Manifests</w:t>
            </w:r>
          </w:p>
        </w:tc>
        <w:tc>
          <w:tcPr>
            <w:tcW w:type="dxa" w:w="2160"/>
          </w:tcPr>
          <w:p>
            <w:r>
              <w:t>Declarative federated views w/ thresholds + resolution routes.</w:t>
            </w:r>
          </w:p>
        </w:tc>
        <w:tc>
          <w:tcPr>
            <w:tcW w:type="dxa" w:w="2160"/>
          </w:tcPr>
          <w:p>
            <w:r>
              <w:t>✓</w:t>
            </w:r>
          </w:p>
        </w:tc>
      </w:tr>
      <w:tr>
        <w:tc>
          <w:tcPr>
            <w:tcW w:type="dxa" w:w="2160"/>
          </w:tcPr>
          <w:p>
            <w:r>
              <w:t>2</w:t>
            </w:r>
          </w:p>
        </w:tc>
        <w:tc>
          <w:tcPr>
            <w:tcW w:type="dxa" w:w="2160"/>
          </w:tcPr>
          <w:p>
            <w:r>
              <w:t>Scenario Manifests</w:t>
            </w:r>
          </w:p>
        </w:tc>
        <w:tc>
          <w:tcPr>
            <w:tcW w:type="dxa" w:w="2160"/>
          </w:tcPr>
          <w:p>
            <w:r>
              <w:t>Named business-outcome chains composed from VVs.</w:t>
            </w:r>
          </w:p>
        </w:tc>
        <w:tc>
          <w:tcPr>
            <w:tcW w:type="dxa" w:w="2160"/>
          </w:tcPr>
          <w:p>
            <w:r>
              <w:t>✓</w:t>
            </w:r>
          </w:p>
        </w:tc>
      </w:tr>
      <w:tr>
        <w:tc>
          <w:tcPr>
            <w:tcW w:type="dxa" w:w="2160"/>
          </w:tcPr>
          <w:p>
            <w:r>
              <w:t>3</w:t>
            </w:r>
          </w:p>
        </w:tc>
        <w:tc>
          <w:tcPr>
            <w:tcW w:type="dxa" w:w="2160"/>
          </w:tcPr>
          <w:p>
            <w:r>
              <w:t>Source Adapters</w:t>
            </w:r>
          </w:p>
        </w:tc>
        <w:tc>
          <w:tcPr>
            <w:tcW w:type="dxa" w:w="2160"/>
          </w:tcPr>
          <w:p>
            <w:r>
              <w:t>POS · Loyalty CRM · Planogram · Beacon vendor · Vision device · Phone app.</w:t>
            </w:r>
          </w:p>
        </w:tc>
        <w:tc>
          <w:tcPr>
            <w:tcW w:type="dxa" w:w="2160"/>
          </w:tcPr>
          <w:p>
            <w:r>
              <w:t>✓</w:t>
            </w:r>
          </w:p>
        </w:tc>
      </w:tr>
      <w:tr>
        <w:tc>
          <w:tcPr>
            <w:tcW w:type="dxa" w:w="2160"/>
          </w:tcPr>
          <w:p>
            <w:r>
              <w:t>4</w:t>
            </w:r>
          </w:p>
        </w:tc>
        <w:tc>
          <w:tcPr>
            <w:tcW w:type="dxa" w:w="2160"/>
          </w:tcPr>
          <w:p>
            <w:r>
              <w:t>Adaptive Cards</w:t>
            </w:r>
          </w:p>
        </w:tc>
        <w:tc>
          <w:tcPr>
            <w:tcW w:type="dxa" w:w="2160"/>
          </w:tcPr>
          <w:p>
            <w:r>
              <w:t>Customer phone + kiosk JSON; operator Teams cards.</w:t>
            </w:r>
          </w:p>
        </w:tc>
        <w:tc>
          <w:tcPr>
            <w:tcW w:type="dxa" w:w="2160"/>
          </w:tcPr>
          <w:p>
            <w:r>
              <w:t>✓</w:t>
            </w:r>
          </w:p>
        </w:tc>
      </w:tr>
      <w:tr>
        <w:tc>
          <w:tcPr>
            <w:tcW w:type="dxa" w:w="2160"/>
          </w:tcPr>
          <w:p>
            <w:r>
              <w:t>5</w:t>
            </w:r>
          </w:p>
        </w:tc>
        <w:tc>
          <w:tcPr>
            <w:tcW w:type="dxa" w:w="2160"/>
          </w:tcPr>
          <w:p>
            <w:r>
              <w:t>Persona Map</w:t>
            </w:r>
          </w:p>
        </w:tc>
        <w:tc>
          <w:tcPr>
            <w:tcW w:type="dxa" w:w="2160"/>
          </w:tcPr>
          <w:p>
            <w:r>
              <w:t>personas.yaml including the customer persona type.</w:t>
            </w:r>
          </w:p>
        </w:tc>
        <w:tc>
          <w:tcPr>
            <w:tcW w:type="dxa" w:w="2160"/>
          </w:tcPr>
          <w:p>
            <w:r>
              <w:t>✓</w:t>
            </w:r>
          </w:p>
        </w:tc>
      </w:tr>
      <w:tr>
        <w:tc>
          <w:tcPr>
            <w:tcW w:type="dxa" w:w="2160"/>
          </w:tcPr>
          <w:p>
            <w:r>
              <w:t>6</w:t>
            </w:r>
          </w:p>
        </w:tc>
        <w:tc>
          <w:tcPr>
            <w:tcW w:type="dxa" w:w="2160"/>
          </w:tcPr>
          <w:p>
            <w:r>
              <w:t>Demo Data</w:t>
            </w:r>
          </w:p>
        </w:tc>
        <w:tc>
          <w:tcPr>
            <w:tcW w:type="dxa" w:w="2160"/>
          </w:tcPr>
          <w:p>
            <w:r>
              <w:t>Synthetic catalog + planogram + simulated shoppers.</w:t>
            </w:r>
          </w:p>
        </w:tc>
        <w:tc>
          <w:tcPr>
            <w:tcW w:type="dxa" w:w="2160"/>
          </w:tcPr>
          <w:p>
            <w:r>
              <w:t>✓</w:t>
            </w:r>
          </w:p>
        </w:tc>
      </w:tr>
      <w:tr>
        <w:tc>
          <w:tcPr>
            <w:tcW w:type="dxa" w:w="2160"/>
          </w:tcPr>
          <w:p>
            <w:r>
              <w:t>7</w:t>
            </w:r>
          </w:p>
        </w:tc>
        <w:tc>
          <w:tcPr>
            <w:tcW w:type="dxa" w:w="2160"/>
          </w:tcPr>
          <w:p>
            <w:r>
              <w:t>BVA Worksheet</w:t>
            </w:r>
          </w:p>
        </w:tc>
        <w:tc>
          <w:tcPr>
            <w:tcW w:type="dxa" w:w="2160"/>
          </w:tcPr>
          <w:p>
            <w:r>
              <w:t>Pack-level ROI calculator (separate xlsx).</w:t>
            </w:r>
          </w:p>
        </w:tc>
        <w:tc>
          <w:tcPr>
            <w:tcW w:type="dxa" w:w="2160"/>
          </w:tcPr>
          <w:p>
            <w:r>
              <w:t>✓</w:t>
            </w:r>
          </w:p>
        </w:tc>
      </w:tr>
      <w:tr>
        <w:tc>
          <w:tcPr>
            <w:tcW w:type="dxa" w:w="2160"/>
          </w:tcPr>
          <w:p>
            <w:r>
              <w:t>8</w:t>
            </w:r>
          </w:p>
        </w:tc>
        <w:tc>
          <w:tcPr>
            <w:tcW w:type="dxa" w:w="2160"/>
          </w:tcPr>
          <w:p>
            <w:r>
              <w:t>Sample SOW</w:t>
            </w:r>
          </w:p>
        </w:tc>
        <w:tc>
          <w:tcPr>
            <w:tcW w:type="dxa" w:w="2160"/>
          </w:tcPr>
          <w:p>
            <w:r>
              <w:t>Lite / Standard / Enterprise templates (this document).</w:t>
            </w:r>
          </w:p>
        </w:tc>
        <w:tc>
          <w:tcPr>
            <w:tcW w:type="dxa" w:w="2160"/>
          </w:tcPr>
          <w:p>
            <w:r>
              <w:t>✓</w:t>
            </w:r>
          </w:p>
        </w:tc>
      </w:tr>
      <w:tr>
        <w:tc>
          <w:tcPr>
            <w:tcW w:type="dxa" w:w="2160"/>
          </w:tcPr>
          <w:p>
            <w:r>
              <w:t>9</w:t>
            </w:r>
          </w:p>
        </w:tc>
        <w:tc>
          <w:tcPr>
            <w:tcW w:type="dxa" w:w="2160"/>
          </w:tcPr>
          <w:p>
            <w:r>
              <w:t>Acceptance Tests</w:t>
            </w:r>
          </w:p>
        </w:tc>
        <w:tc>
          <w:tcPr>
            <w:tcW w:type="dxa" w:w="2160"/>
          </w:tcPr>
          <w:p>
            <w:r>
              <w:t>60-80+ tests proving Pack health in CI.</w:t>
            </w:r>
          </w:p>
        </w:tc>
        <w:tc>
          <w:tcPr>
            <w:tcW w:type="dxa" w:w="2160"/>
          </w:tcPr>
          <w:p>
            <w:r>
              <w:t>partial</w:t>
            </w:r>
          </w:p>
        </w:tc>
      </w:tr>
      <w:tr>
        <w:tc>
          <w:tcPr>
            <w:tcW w:type="dxa" w:w="2160"/>
          </w:tcPr>
          <w:p>
            <w:r>
              <w:t>10</w:t>
            </w:r>
          </w:p>
        </w:tc>
        <w:tc>
          <w:tcPr>
            <w:tcW w:type="dxa" w:w="2160"/>
          </w:tcPr>
          <w:p>
            <w:r>
              <w:t>Runbook + Training</w:t>
            </w:r>
          </w:p>
        </w:tc>
        <w:tc>
          <w:tcPr>
            <w:tcW w:type="dxa" w:w="2160"/>
          </w:tcPr>
          <w:p>
            <w:r>
              <w:t>Operate procedures and analyst training materials.</w:t>
            </w:r>
          </w:p>
        </w:tc>
        <w:tc>
          <w:tcPr>
            <w:tcW w:type="dxa" w:w="2160"/>
          </w:tcPr>
          <w:p>
            <w:r>
              <w:t>partial</w:t>
            </w:r>
          </w:p>
        </w:tc>
      </w:tr>
    </w:tbl>
    <w:p>
      <w:r>
        <w:br w:type="page"/>
      </w:r>
    </w:p>
    <w:p>
      <w:pPr>
        <w:pStyle w:val="Heading1"/>
        <w:spacing w:before="360"/>
      </w:pPr>
      <w:r>
        <w:t>Appendix D — Working demo reference</w:t>
      </w:r>
    </w:p>
    <w:p>
      <w:r>
        <w:rPr>
          <w:b w:val="0"/>
          <w:i w:val="0"/>
          <w:sz w:val="22"/>
        </w:rPr>
        <w:t>The APEX framework demonstration referenced in §1 is currently operational at the URL below. [CLIENT_NAME] personnel may access the demo as part of pre-engagement validation.</w:t>
      </w:r>
    </w:p>
    <w:p>
      <w:r>
        <w:rPr>
          <w:b/>
        </w:rPr>
        <w:t xml:space="preserve">Demo URL: </w:t>
      </w:r>
      <w:r>
        <w:t>https://ca-visionkit-portal.gentlestone-9b49b099.eastus2.azurecontainerapps.io</w:t>
      </w:r>
    </w:p>
    <w:p>
      <w:r>
        <w:rPr>
          <w:b w:val="0"/>
          <w:i w:val="0"/>
          <w:sz w:val="22"/>
        </w:rPr>
      </w:r>
    </w:p>
    <w:p>
      <w:r>
        <w:rPr>
          <w:b w:val="0"/>
          <w:i w:val="0"/>
          <w:sz w:val="22"/>
        </w:rPr>
        <w:t>The deployed demo covers:</w:t>
      </w:r>
    </w:p>
    <w:p>
      <w:pPr>
        <w:pStyle w:val="ListBullet"/>
      </w:pPr>
      <w:r>
        <w:t>800-product pgvector catalog with semantic search</w:t>
      </w:r>
    </w:p>
    <w:p>
      <w:pPr>
        <w:pStyle w:val="ListBullet"/>
      </w:pPr>
      <w:r>
        <w:t>Microsoft Agent Framework SDK 1.6.0 GA orchestration with gpt-5-mini</w:t>
      </w:r>
    </w:p>
    <w:p>
      <w:pPr>
        <w:pStyle w:val="ListBullet"/>
      </w:pPr>
      <w:r>
        <w:t>Azure Speech (Ava Multilingual) for text-to-speech and speech-to-text</w:t>
      </w:r>
    </w:p>
    <w:p>
      <w:pPr>
        <w:pStyle w:val="ListBullet"/>
      </w:pPr>
      <w:r>
        <w:t>Azure Maps Creator (Indoor Maps + Wayfinding REST API) — local-fallback path until per-tenant Creator dataset provisioned</w:t>
      </w:r>
    </w:p>
    <w:p>
      <w:pPr>
        <w:pStyle w:val="ListBullet"/>
      </w:pPr>
      <w:r>
        <w:t>Customer-facing CFMP journey: CHOOSE → SELECT → BUY → SERVICES</w:t>
      </w:r>
    </w:p>
    <w:p>
      <w:pPr>
        <w:pStyle w:val="ListBullet"/>
      </w:pPr>
      <w:r>
        <w:t>Live LEDGER tail on the architecture page showing hash-chained AuditRow entries with HITL status</w:t>
      </w:r>
    </w:p>
    <w:p>
      <w:pPr>
        <w:pStyle w:val="ListBullet"/>
      </w:pPr>
      <w:r>
        <w:t>APEX Tour flyout with framework guided walkthrough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14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142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14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