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pPr>
      <w:r>
        <w:t>STATEMENT OF WORK — APEX CFMP Pack Standard (T2B)</w:t>
      </w:r>
    </w:p>
    <w:p>
      <w:r>
        <w:rPr>
          <w:b w:val="0"/>
          <w:i/>
          <w:sz w:val="22"/>
        </w:rPr>
        <w:t>Engagement: CFMP Pack Standard (T2B) on Deloitte's APEX delivery framework</w:t>
      </w:r>
    </w:p>
    <w:p>
      <w:r>
        <w:rPr>
          <w:b w:val="0"/>
          <w:i w:val="0"/>
          <w:sz w:val="22"/>
        </w:rPr>
      </w:r>
    </w:p>
    <w:tbl>
      <w:tblPr>
        <w:tblW w:type="auto" w:w="0"/>
        <w:jc w:val="left"/>
        <w:tblLook w:firstColumn="1" w:firstRow="1" w:lastColumn="0" w:lastRow="0" w:noHBand="0" w:noVBand="1" w:val="04A0"/>
      </w:tblPr>
      <w:tblGrid>
        <w:gridCol w:w="2880"/>
        <w:gridCol w:w="6480"/>
      </w:tblGrid>
      <w:tr>
        <w:tc>
          <w:tcPr>
            <w:tcW w:type="dxa" w:w="4320"/>
            <w:shd w:fill="F5F5F5" w:val="clear"/>
          </w:tcPr>
          <w:p>
            <w:r>
              <w:rPr>
                <w:b/>
              </w:rPr>
              <w:t>SOW Number</w:t>
            </w:r>
          </w:p>
        </w:tc>
        <w:tc>
          <w:tcPr>
            <w:tcW w:type="dxa" w:w="4320"/>
          </w:tcPr>
          <w:p>
            <w:r>
              <w:t>[SOW_NUMBER]</w:t>
            </w:r>
          </w:p>
        </w:tc>
      </w:tr>
      <w:tr>
        <w:tc>
          <w:tcPr>
            <w:tcW w:type="dxa" w:w="4320"/>
            <w:shd w:fill="F5F5F5" w:val="clear"/>
          </w:tcPr>
          <w:p>
            <w:r>
              <w:rPr>
                <w:b/>
              </w:rPr>
              <w:t>Client</w:t>
            </w:r>
          </w:p>
        </w:tc>
        <w:tc>
          <w:tcPr>
            <w:tcW w:type="dxa" w:w="4320"/>
          </w:tcPr>
          <w:p>
            <w:r>
              <w:t>[CLIENT_NAME]</w:t>
            </w:r>
          </w:p>
        </w:tc>
      </w:tr>
      <w:tr>
        <w:tc>
          <w:tcPr>
            <w:tcW w:type="dxa" w:w="4320"/>
            <w:shd w:fill="F5F5F5" w:val="clear"/>
          </w:tcPr>
          <w:p>
            <w:r>
              <w:rPr>
                <w:b/>
              </w:rPr>
              <w:t>Engagement variant</w:t>
            </w:r>
          </w:p>
        </w:tc>
        <w:tc>
          <w:tcPr>
            <w:tcW w:type="dxa" w:w="4320"/>
          </w:tcPr>
          <w:p>
            <w:r>
              <w:t>[Variant A — B2B2C  /  Variant B — B2C]</w:t>
            </w:r>
          </w:p>
        </w:tc>
      </w:tr>
      <w:tr>
        <w:tc>
          <w:tcPr>
            <w:tcW w:type="dxa" w:w="4320"/>
            <w:shd w:fill="F5F5F5" w:val="clear"/>
          </w:tcPr>
          <w:p>
            <w:r>
              <w:rPr>
                <w:b/>
              </w:rPr>
              <w:t>Estimated value</w:t>
            </w:r>
          </w:p>
        </w:tc>
        <w:tc>
          <w:tcPr>
            <w:tcW w:type="dxa" w:w="4320"/>
          </w:tcPr>
          <w:p>
            <w:r>
              <w:t>$750,000 – $1,500,000 USD</w:t>
            </w:r>
          </w:p>
        </w:tc>
      </w:tr>
      <w:tr>
        <w:tc>
          <w:tcPr>
            <w:tcW w:type="dxa" w:w="4320"/>
            <w:shd w:fill="F5F5F5" w:val="clear"/>
          </w:tcPr>
          <w:p>
            <w:r>
              <w:rPr>
                <w:b/>
              </w:rPr>
              <w:t>Estimated duration</w:t>
            </w:r>
          </w:p>
        </w:tc>
        <w:tc>
          <w:tcPr>
            <w:tcW w:type="dxa" w:w="4320"/>
          </w:tcPr>
          <w:p>
            <w:r>
              <w:t>12 to 16 weeks</w:t>
            </w:r>
          </w:p>
        </w:tc>
      </w:tr>
      <w:tr>
        <w:tc>
          <w:tcPr>
            <w:tcW w:type="dxa" w:w="4320"/>
            <w:shd w:fill="F5F5F5" w:val="clear"/>
          </w:tcPr>
          <w:p>
            <w:r>
              <w:rPr>
                <w:b/>
              </w:rPr>
              <w:t>Effective date</w:t>
            </w:r>
          </w:p>
        </w:tc>
        <w:tc>
          <w:tcPr>
            <w:tcW w:type="dxa" w:w="4320"/>
          </w:tcPr>
          <w:p>
            <w:r>
              <w:t>[START_DATE]</w:t>
            </w:r>
          </w:p>
        </w:tc>
      </w:tr>
    </w:tbl>
    <w:p>
      <w:r>
        <w:rPr>
          <w:b w:val="0"/>
          <w:i w:val="0"/>
          <w:sz w:val="22"/>
        </w:rPr>
      </w:r>
    </w:p>
    <w:tbl>
      <w:tblPr>
        <w:tblW w:type="auto" w:w="0"/>
        <w:jc w:val="left"/>
        <w:tblLook w:firstColumn="1" w:firstRow="1" w:lastColumn="0" w:lastRow="0" w:noHBand="0" w:noVBand="1" w:val="04A0"/>
      </w:tblPr>
      <w:tblGrid>
        <w:gridCol w:w="8640"/>
      </w:tblGrid>
      <w:tr>
        <w:tc>
          <w:tcPr>
            <w:tcW w:type="dxa" w:w="8640"/>
            <w:shd w:fill="E8F5E9" w:val="clear"/>
          </w:tcPr>
          <w:p>
            <w:r/>
            <w:r>
              <w:rPr>
                <w:i/>
                <w:color w:val="0E1423"/>
                <w:sz w:val="20"/>
              </w:rPr>
              <w:t>This Statement of Work is issued under the Master Services Agreement between [CLIENT_NAME] and Deloitte Consulting LLP dated [MSA_DATE]. All terms of the MSA apply. This SOW supersedes any prior estimates, proposals, or correspondence between the parties relating to the services described herein.</w:t>
            </w:r>
          </w:p>
        </w:tc>
      </w:tr>
    </w:tbl>
    <w:p>
      <w:r>
        <w:rPr>
          <w:b w:val="0"/>
          <w:i w:val="0"/>
          <w:sz w:val="22"/>
        </w:rPr>
      </w:r>
    </w:p>
    <w:p>
      <w:r>
        <w:rPr>
          <w:b w:val="0"/>
          <w:i/>
          <w:sz w:val="22"/>
        </w:rPr>
        <w:t>Prepared by: [LCSP_NAME], Deloitte's Microsoft Practice (DMTSP)</w:t>
      </w:r>
    </w:p>
    <w:p>
      <w:r>
        <w:rPr>
          <w:b w:val="0"/>
          <w:i/>
          <w:sz w:val="22"/>
        </w:rPr>
        <w:t>Internal · Deloitte's Microsoft Technology &amp; Services Practice</w:t>
      </w:r>
    </w:p>
    <w:p>
      <w:pPr>
        <w:pStyle w:val="Heading2"/>
        <w:spacing w:before="240"/>
      </w:pPr>
      <w:r>
        <w:t>1. Background and engagement context</w:t>
      </w:r>
    </w:p>
    <w:p>
      <w:r>
        <w:rPr>
          <w:b w:val="0"/>
          <w:i w:val="0"/>
          <w:sz w:val="22"/>
        </w:rPr>
        <w:t>[CLIENT_NAME] ("Client") has engaged Deloitte Consulting LLP ("Deloitte") to deliver a scoped agentic-AI engagement on the APEX framework. This SOW describes the Pack Standard engagement, the first of a potential multi-wave program of work that may grow into a full Pack rollout and ongoing Operate services.</w:t>
      </w:r>
    </w:p>
    <w:p>
      <w:r>
        <w:rPr>
          <w:b w:val="0"/>
          <w:i w:val="0"/>
          <w:sz w:val="22"/>
        </w:rPr>
        <w:t>Deloitte's APEX framework is a cloud-neutral delivery framework comprising: a 14-interface Cloud Profile contract; a 6-Agent Fleet pattern; a 14-field WORM hash-chain audit ledger ("LEDGER"); Industry Solution Packs (10-asset bundles) including the Customer-Focused Merchandise Pack ("CFMP"); and standard Service Envelope tiers under which engagements are scoped and priced.</w:t>
      </w:r>
    </w:p>
    <w:p>
      <w:r>
        <w:rPr>
          <w:b w:val="0"/>
          <w:i w:val="0"/>
          <w:sz w:val="22"/>
        </w:rPr>
        <w:t>This engagement runs on the APEX-M (Microsoft) cloud profile.</w:t>
      </w:r>
    </w:p>
    <w:p>
      <w:pPr>
        <w:pStyle w:val="Heading2"/>
        <w:spacing w:before="240"/>
      </w:pPr>
      <w:r>
        <w:t>2. Scope of services</w:t>
      </w:r>
    </w:p>
    <w:p>
      <w:r>
        <w:rPr>
          <w:b w:val="0"/>
          <w:i w:val="0"/>
          <w:sz w:val="22"/>
        </w:rPr>
        <w:t>Deloitte will deliver the APEX CFMP Pack Standard engagement, comprising one complete CFMP sub-domain in production plus 5-7 additional scenarios beyond the Lite-tier shortlist. The engagement targets production deployment at a single banner or business unit, with operate-readiness handoff at conclusion.</w:t>
      </w:r>
    </w:p>
    <w:p>
      <w:pPr>
        <w:pStyle w:val="Heading3"/>
        <w:spacing w:before="160"/>
      </w:pPr>
      <w:r>
        <w:t>2.1 Scenarios in scope (10 total)</w:t>
      </w:r>
    </w:p>
    <w:p>
      <w:r>
        <w:rPr>
          <w:b w:val="0"/>
          <w:i w:val="0"/>
          <w:sz w:val="22"/>
        </w:rPr>
        <w:t>Three carryover from Lite (if Standard follows Lite) plus seven from the catalog. Typical Standard shortlist:</w:t>
      </w:r>
    </w:p>
    <w:p>
      <w:pPr>
        <w:pStyle w:val="ListBullet"/>
      </w:pPr>
      <w:r>
        <w:t>Three Lite-tier scenarios continuing in production</w:t>
      </w:r>
    </w:p>
    <w:p>
      <w:pPr>
        <w:pStyle w:val="ListBullet"/>
      </w:pPr>
      <w:r>
        <w:t>rc-on-shelf-availability-oos-reduction (SELECT)</w:t>
      </w:r>
    </w:p>
    <w:p>
      <w:pPr>
        <w:pStyle w:val="ListBullet"/>
      </w:pPr>
      <w:r>
        <w:t>rc-shelf-gap-realtime-restock-dispatch (SELECT)</w:t>
      </w:r>
    </w:p>
    <w:p>
      <w:pPr>
        <w:pStyle w:val="ListBullet"/>
      </w:pPr>
      <w:r>
        <w:t>rc-customer-wait-time-prediction-at-checkout (BUY)</w:t>
      </w:r>
    </w:p>
    <w:p>
      <w:pPr>
        <w:pStyle w:val="ListBullet"/>
      </w:pPr>
      <w:r>
        <w:t>rc-bopis-pickup-counter-load (BUY)</w:t>
      </w:r>
    </w:p>
    <w:p>
      <w:pPr>
        <w:pStyle w:val="ListBullet"/>
      </w:pPr>
      <w:r>
        <w:t>rc-loyalty-churn-prediction-winback (SERVICES) — Featured chain</w:t>
      </w:r>
    </w:p>
    <w:p>
      <w:pPr>
        <w:pStyle w:val="ListBullet"/>
      </w:pPr>
      <w:r>
        <w:t>rc-product-complaint-triage (SERVICES)</w:t>
      </w:r>
    </w:p>
    <w:p>
      <w:pPr>
        <w:pStyle w:val="ListBullet"/>
      </w:pPr>
      <w:r>
        <w:t>chc-substitution-acceptance (SELECT) — CHC option</w:t>
      </w:r>
    </w:p>
    <w:p>
      <w:pPr>
        <w:pStyle w:val="Heading3"/>
        <w:spacing w:before="160"/>
      </w:pPr>
      <w:r>
        <w:t>2.2 Deliverables (incremental beyond Lite)</w:t>
      </w:r>
    </w:p>
    <w:p>
      <w:pPr>
        <w:pStyle w:val="ListBullet"/>
      </w:pPr>
      <w:r>
        <w:t>Seven additional scenario manifests beyond the Lite-tier shortlist.</w:t>
      </w:r>
    </w:p>
    <w:p>
      <w:pPr>
        <w:pStyle w:val="ListBullet"/>
      </w:pPr>
      <w:r>
        <w:t>Twelve to fifteen additional Virtual View manifests covering the chosen sub-domain.</w:t>
      </w:r>
    </w:p>
    <w:p>
      <w:pPr>
        <w:pStyle w:val="ListBullet"/>
      </w:pPr>
      <w:r>
        <w:t>Adaptive Card library for all 10 scenarios — both customer-facing and operator-facing variants.</w:t>
      </w:r>
    </w:p>
    <w:p>
      <w:pPr>
        <w:pStyle w:val="ListBullet"/>
      </w:pPr>
      <w:r>
        <w:t>Three production-grade source adapters (vs Lite's one); two additional stubs for Enterprise follow-on.</w:t>
      </w:r>
    </w:p>
    <w:p>
      <w:pPr>
        <w:pStyle w:val="ListBullet"/>
      </w:pPr>
      <w:r>
        <w:t>Operate-tier runbook (`runbooks/`) covering monitoring, threshold tuning, escalation, and Pack version uptake.</w:t>
      </w:r>
    </w:p>
    <w:p>
      <w:pPr>
        <w:pStyle w:val="ListBullet"/>
      </w:pPr>
      <w:r>
        <w:t>Training deck and analyst materials for Client's operations team (handover for Operate tier).</w:t>
      </w:r>
    </w:p>
    <w:p>
      <w:pPr>
        <w:pStyle w:val="ListBullet"/>
      </w:pPr>
      <w:r>
        <w:t>Pack acceptance test suite expanded to 100+ tests with multi-scenario interaction coverage.</w:t>
      </w:r>
    </w:p>
    <w:p>
      <w:pPr>
        <w:pStyle w:val="ListBullet"/>
      </w:pPr>
      <w:r>
        <w:t>Live demonstration of all 10 scenarios; in-store production rollout at one banner with phased cutover plan.</w:t>
      </w:r>
    </w:p>
    <w:p>
      <w:pPr>
        <w:pStyle w:val="ListBullet"/>
      </w:pPr>
      <w:r>
        <w:t>Standard-to-Enterprise SOW skeleton with phased rollout plan to additional banners.</w:t>
      </w:r>
    </w:p>
    <w:p>
      <w:pPr>
        <w:pStyle w:val="Heading2"/>
        <w:spacing w:before="240"/>
      </w:pPr>
      <w:r>
        <w:t>Acceptance criteria</w:t>
      </w:r>
    </w:p>
    <w:p>
      <w:r>
        <w:rPr>
          <w:b w:val="0"/>
          <w:i w:val="0"/>
          <w:sz w:val="22"/>
        </w:rPr>
        <w:t>The deliverables under this SOW are accepted when the following are demonstrated:</w:t>
      </w:r>
    </w:p>
    <w:p>
      <w:pPr>
        <w:pStyle w:val="ListBullet"/>
      </w:pPr>
      <w:r>
        <w:t>All 10 scenarios fire end-to-end on Client data in production at the pilot banner without manual intervention.</w:t>
      </w:r>
    </w:p>
    <w:p>
      <w:pPr>
        <w:pStyle w:val="ListBullet"/>
      </w:pPr>
      <w:r>
        <w:t>Pack CI suite (100+ tests) at ≥98% green against Client data.</w:t>
      </w:r>
    </w:p>
    <w:p>
      <w:pPr>
        <w:pStyle w:val="ListBullet"/>
      </w:pPr>
      <w:r>
        <w:t>LEDGER hash chain verifiable end-to-end via apex-replay across all scenarios.</w:t>
      </w:r>
    </w:p>
    <w:p>
      <w:pPr>
        <w:pStyle w:val="ListBullet"/>
      </w:pPr>
      <w:r>
        <w:t>Client's operations team completes Operate-tier training and signs off on runbook ownership.</w:t>
      </w:r>
    </w:p>
    <w:p>
      <w:pPr>
        <w:pStyle w:val="ListBullet"/>
      </w:pPr>
      <w:r>
        <w:t>DPO sign-off on Constitution.yaml (refreshed for expanded scenario set) and privacy panel UI.</w:t>
      </w:r>
    </w:p>
    <w:p>
      <w:pPr>
        <w:pStyle w:val="ListBullet"/>
      </w:pPr>
      <w:r>
        <w:t>BVA worksheet refreshed with post-deployment actuals; Pack-Standard ROI realized at minimum 1.5× engagement cost in first 12 months.</w:t>
      </w:r>
    </w:p>
    <w:p>
      <w:r>
        <w:rPr>
          <w:b w:val="0"/>
          <w:i w:val="0"/>
          <w:sz w:val="22"/>
        </w:rPr>
        <w:t>Client has ten (10) business days from delivery of each acceptance demonstration to provide written acceptance or a written description of any deficiency. Absent written response within this window, deliverables are deemed accepted.</w:t>
      </w:r>
    </w:p>
    <w:p>
      <w:pPr>
        <w:pStyle w:val="Heading2"/>
        <w:spacing w:before="240"/>
      </w:pPr>
      <w:r>
        <w:t>3. Engagement approach</w:t>
      </w:r>
    </w:p>
    <w:p>
      <w:pPr>
        <w:pStyle w:val="Heading3"/>
        <w:spacing w:before="160"/>
      </w:pPr>
      <w:r>
        <w:t>3.1 Phases</w:t>
      </w:r>
    </w:p>
    <w:p>
      <w:r>
        <w:rPr>
          <w:b/>
        </w:rPr>
        <w:t xml:space="preserve">Phase 1 — Mobilization (Weeks 1-2).  </w:t>
      </w:r>
      <w:r>
        <w:t>Engagement kickoff; carryover from Lite; refined scope addendum.</w:t>
      </w:r>
    </w:p>
    <w:p>
      <w:r>
        <w:rPr>
          <w:b/>
        </w:rPr>
        <w:t xml:space="preserve">Phase 2 — Scenario authoring (Weeks 2-6).  </w:t>
      </w:r>
      <w:r>
        <w:t>Seven additional scenario manifests + supporting VVs.</w:t>
      </w:r>
    </w:p>
    <w:p>
      <w:r>
        <w:rPr>
          <w:b/>
        </w:rPr>
        <w:t xml:space="preserve">Phase 3 — Adapter build (Weeks 3-8).  </w:t>
      </w:r>
      <w:r>
        <w:t>Three production adapters; integration with Client SOR.</w:t>
      </w:r>
    </w:p>
    <w:p>
      <w:r>
        <w:rPr>
          <w:b/>
        </w:rPr>
        <w:t xml:space="preserve">Phase 4 — Operate-runbook (Weeks 6-10).  </w:t>
      </w:r>
      <w:r>
        <w:t>Runbook drafted; operations team training delivered.</w:t>
      </w:r>
    </w:p>
    <w:p>
      <w:r>
        <w:rPr>
          <w:b/>
        </w:rPr>
        <w:t xml:space="preserve">Phase 5 — Integration + test (Weeks 8-12).  </w:t>
      </w:r>
      <w:r>
        <w:t>End-to-end production at pilot banner; CI suite expanded.</w:t>
      </w:r>
    </w:p>
    <w:p>
      <w:r>
        <w:rPr>
          <w:b/>
        </w:rPr>
        <w:t xml:space="preserve">Phase 6 — Production rollout (Weeks 12-14).  </w:t>
      </w:r>
      <w:r>
        <w:t>Phased cutover at pilot banner; LEDGER verification.</w:t>
      </w:r>
    </w:p>
    <w:p>
      <w:r>
        <w:rPr>
          <w:b/>
        </w:rPr>
        <w:t xml:space="preserve">Phase 7 — Acceptance + handoff (Weeks 14-16).  </w:t>
      </w:r>
      <w:r>
        <w:t>Acceptance demonstration; Standard→Enterprise SOW skeleton; Operate handoff.</w:t>
      </w:r>
    </w:p>
    <w:p>
      <w:pPr>
        <w:pStyle w:val="Heading2"/>
        <w:spacing w:before="240"/>
      </w:pPr>
      <w:r>
        <w:t>4. Engagement team</w:t>
      </w:r>
    </w:p>
    <w:p>
      <w:r>
        <w:rPr>
          <w:b w:val="0"/>
          <w:i w:val="0"/>
          <w:sz w:val="22"/>
        </w:rPr>
        <w:t>Deloitte delivery team (typical Standard composition):</w:t>
      </w:r>
    </w:p>
    <w:p>
      <w:pPr>
        <w:pStyle w:val="ListBullet"/>
      </w:pPr>
      <w:r>
        <w:t>Engagement Manager (75%)</w:t>
      </w:r>
    </w:p>
    <w:p>
      <w:pPr>
        <w:pStyle w:val="ListBullet"/>
      </w:pPr>
      <w:r>
        <w:t>APEX Solution Architect (100%)</w:t>
      </w:r>
    </w:p>
    <w:p>
      <w:pPr>
        <w:pStyle w:val="ListBullet"/>
      </w:pPr>
      <w:r>
        <w:t>Pack Manifest Engineer × 2 (100% each)</w:t>
      </w:r>
    </w:p>
    <w:p>
      <w:pPr>
        <w:pStyle w:val="ListBullet"/>
      </w:pPr>
      <w:r>
        <w:t>Adapter Engineer × 2 (100% each)</w:t>
      </w:r>
    </w:p>
    <w:p>
      <w:pPr>
        <w:pStyle w:val="ListBullet"/>
      </w:pPr>
      <w:r>
        <w:t>Privacy Engineer (50%)</w:t>
      </w:r>
    </w:p>
    <w:p>
      <w:pPr>
        <w:pStyle w:val="ListBullet"/>
      </w:pPr>
      <w:r>
        <w:t>DataOps Engineer (75%)</w:t>
      </w:r>
    </w:p>
    <w:p>
      <w:pPr>
        <w:pStyle w:val="ListBullet"/>
      </w:pPr>
      <w:r>
        <w:t>Operate Lead (50%) — embedded for runbook authoring and handoff</w:t>
      </w:r>
    </w:p>
    <w:p>
      <w:pPr>
        <w:pStyle w:val="Heading2"/>
        <w:spacing w:before="240"/>
      </w:pPr>
      <w:r>
        <w:t>5. Schedule</w:t>
      </w:r>
    </w:p>
    <w:p>
      <w:r>
        <w:rPr>
          <w:b w:val="0"/>
          <w:i w:val="0"/>
          <w:sz w:val="22"/>
        </w:rPr>
        <w:t>Total elapsed: 12-16 weeks. Phasing per §3.1. Phase 6 production rollout may be sequenced over multiple stores within the pilot banner.</w:t>
      </w:r>
    </w:p>
    <w:p>
      <w:pPr>
        <w:pStyle w:val="Heading2"/>
        <w:spacing w:before="240"/>
      </w:pPr>
      <w:r>
        <w:t>6. Fees and payment</w:t>
      </w:r>
    </w:p>
    <w:p>
      <w:r>
        <w:rPr>
          <w:b w:val="0"/>
          <w:i w:val="0"/>
          <w:sz w:val="22"/>
        </w:rPr>
        <w:t>Total engagement fee: USD 750,000 – 1,500,000, fixed fee, finalized at mobilization based on final scenario count, adapter complexity, and rollout footprint.</w:t>
      </w:r>
    </w:p>
    <w:p>
      <w:r>
        <w:rPr>
          <w:b w:val="0"/>
          <w:i w:val="0"/>
          <w:sz w:val="22"/>
        </w:rPr>
        <w:t>Payment schedule:</w:t>
      </w:r>
    </w:p>
    <w:p>
      <w:pPr>
        <w:pStyle w:val="ListBullet"/>
      </w:pPr>
      <w:r>
        <w:t>20% at SOW countersignature</w:t>
      </w:r>
    </w:p>
    <w:p>
      <w:pPr>
        <w:pStyle w:val="ListBullet"/>
      </w:pPr>
      <w:r>
        <w:t>25% upon completion of Phase 3 (Adapter build)</w:t>
      </w:r>
    </w:p>
    <w:p>
      <w:pPr>
        <w:pStyle w:val="ListBullet"/>
      </w:pPr>
      <w:r>
        <w:t>25% upon completion of Phase 5 (Integration + test)</w:t>
      </w:r>
    </w:p>
    <w:p>
      <w:pPr>
        <w:pStyle w:val="ListBullet"/>
      </w:pPr>
      <w:r>
        <w:t>20% upon completion of Phase 6 (Production rollout)</w:t>
      </w:r>
    </w:p>
    <w:p>
      <w:pPr>
        <w:pStyle w:val="ListBullet"/>
      </w:pPr>
      <w:r>
        <w:t>10% upon Acceptance per §2.2</w:t>
      </w:r>
    </w:p>
    <w:p>
      <w:pPr>
        <w:pStyle w:val="Heading2"/>
        <w:spacing w:before="240"/>
      </w:pPr>
      <w:r>
        <w:t>Assumptions and dependencies</w:t>
      </w:r>
    </w:p>
    <w:p>
      <w:pPr>
        <w:pStyle w:val="ListBullet"/>
      </w:pPr>
      <w:r>
        <w:t>Client provides timely access to subject-matter experts, business stakeholders, and decision-makers as agreed in the engagement governance plan.</w:t>
      </w:r>
    </w:p>
    <w:p>
      <w:pPr>
        <w:pStyle w:val="ListBullet"/>
      </w:pPr>
      <w:r>
        <w:t>Client provides access to systems, data, and credentials required for in-scope work; production-system access is requested at least two business days in advance.</w:t>
      </w:r>
    </w:p>
    <w:p>
      <w:pPr>
        <w:pStyle w:val="ListBullet"/>
      </w:pPr>
      <w:r>
        <w:t>Client provides one or more Microsoft Azure subscriptions sufficient for the APEX-M cloud profile, including but not limited to: Foundry, Azure OpenAI, OneLake / Fabric, Entra ID, Purview, Key Vault, and Container Apps capacity.</w:t>
      </w:r>
    </w:p>
    <w:p>
      <w:pPr>
        <w:pStyle w:val="ListBullet"/>
      </w:pPr>
      <w:r>
        <w:t>Client owns and operates all source systems referenced by the deployed Pack manifests; Deloitte develops adapters but does not assume operational responsibility for source systems.</w:t>
      </w:r>
    </w:p>
    <w:p>
      <w:pPr>
        <w:pStyle w:val="ListBullet"/>
      </w:pPr>
      <w:r>
        <w:t>Client's existing identity infrastructure (Entra) is operational and capable of supporting the persona model deployed by the Pack.</w:t>
      </w:r>
    </w:p>
    <w:p>
      <w:pPr>
        <w:pStyle w:val="ListBullet"/>
      </w:pPr>
      <w:r>
        <w:t>Client is responsible for legal review of the deployed Constitution.yaml (privacy hard rules), the Adaptive Card library, and customer-facing surfaces prior to production go-live.</w:t>
      </w:r>
    </w:p>
    <w:p>
      <w:pPr>
        <w:pStyle w:val="ListBullet"/>
      </w:pPr>
      <w:r>
        <w:t>Client is responsible for any data-protection-impact assessments (DPIA), regulator notifications, or consumer-disclosure obligations triggered by the deployed services.</w:t>
      </w:r>
    </w:p>
    <w:p>
      <w:pPr>
        <w:pStyle w:val="ListBullet"/>
      </w:pPr>
      <w:r>
        <w:t>Deloitte's services are advisory and engineering; Deloitte does not assume any role of 'data controller' under GDPR/CCPA or analogous regulations.</w:t>
      </w:r>
    </w:p>
    <w:p>
      <w:pPr>
        <w:pStyle w:val="ListBullet"/>
      </w:pPr>
      <w:r>
        <w:t>Pricing in this SOW does not include third-party software, Azure consumption, Sonos hardware, edge devices, or other infrastructure costs.</w:t>
      </w:r>
    </w:p>
    <w:p>
      <w:pPr>
        <w:pStyle w:val="ListBullet"/>
      </w:pPr>
      <w:r>
        <w:t>Schedule shown in §5 assumes no more than two-week aggregate delay from Client-side dependencies; greater delays require change control.</w:t>
      </w:r>
    </w:p>
    <w:p>
      <w:pPr>
        <w:pStyle w:val="ListBullet"/>
      </w:pPr>
      <w:r>
        <w:t>Standard tier assumes Client commits to a single pilot banner / business unit for production rollout; additional banners require Enterprise-tier scoping.</w:t>
      </w:r>
    </w:p>
    <w:p>
      <w:pPr>
        <w:pStyle w:val="ListBullet"/>
      </w:pPr>
      <w:r>
        <w:t>Standard scope is limited to 10 scenarios drawn from the CFMP / CHC catalog; bespoke scenarios beyond the catalog require T4 Custom Build scoping.</w:t>
      </w:r>
    </w:p>
    <w:p>
      <w:pPr>
        <w:pStyle w:val="ListBullet"/>
      </w:pPr>
      <w:r>
        <w:t>Operate-tier subscription begins no earlier than Week 14 of this engagement; Operate fees billed separately under a Master Services Agreement amendment.</w:t>
      </w:r>
    </w:p>
    <w:p>
      <w:pPr>
        <w:pStyle w:val="Heading2"/>
        <w:spacing w:before="240"/>
      </w:pPr>
      <w:r>
        <w:t>Change control</w:t>
      </w:r>
    </w:p>
    <w:p>
      <w:r>
        <w:rPr>
          <w:b w:val="0"/>
          <w:i w:val="0"/>
          <w:sz w:val="22"/>
        </w:rPr>
        <w:t>Any change to the scope, schedule, deliverables, fees, or assumptions of this SOW shall be documented in a Change Request signed by both parties prior to commencement of the affected work. Verbal authorizations are not binding. Change Requests may be priced as either a fixed addition to this SOW or as a time-and-materials engagement extension.</w:t>
      </w:r>
    </w:p>
    <w:p>
      <w:pPr>
        <w:pStyle w:val="Heading2"/>
        <w:spacing w:before="240"/>
      </w:pPr>
      <w:r>
        <w:t>Intellectual property</w:t>
      </w:r>
    </w:p>
    <w:p>
      <w:r>
        <w:rPr>
          <w:b w:val="0"/>
          <w:i w:val="0"/>
          <w:sz w:val="22"/>
        </w:rPr>
        <w:t>APEX, including the APEX framework code, the 14-interface Cloud Profile contract specification, the 6-Agent Fleet pattern, the LEDGER schema, the Industry Solution Pack catalog (including CFMP and any CHC overlays), the apex-replay tooling, and all related methodology and pre-existing Deloitte intellectual property (collectively the "APEX IP") remain the sole property of Deloitte and its affiliates. Client receives a non-exclusive, royalty-free, perpetual license to use the deployed Pack manifests, Constitution overlay, and configuration artifacts solely for Client's internal business purposes.</w:t>
      </w:r>
    </w:p>
    <w:p>
      <w:r>
        <w:rPr>
          <w:b w:val="0"/>
          <w:i w:val="0"/>
          <w:sz w:val="22"/>
        </w:rPr>
        <w:t>Client overlays — including Client's CAD-derived Azure Maps Creator datasets, Client's planogram data, Client's identity bindings, Client's threshold tunings, and any client-specific scenario manifests authored under this SOW — are owned by Client.</w:t>
      </w:r>
    </w:p>
    <w:p>
      <w:r>
        <w:rPr>
          <w:b w:val="0"/>
          <w:i w:val="0"/>
          <w:sz w:val="22"/>
        </w:rPr>
        <w:t>Pre-existing IP retains its prior ownership; nothing in this SOW transfers ownership of pre-existing IP between the parties. Newly developed work product is owned per the IP allocation above; ambiguity in any single artifact's classification is resolved in Deloitte's favor for general framework components and in Client's favor for Client-specific configuration.</w:t>
      </w:r>
    </w:p>
    <w:p>
      <w:pPr>
        <w:pStyle w:val="Heading2"/>
        <w:spacing w:before="240"/>
      </w:pPr>
      <w:r>
        <w:t>Independence and funding</w:t>
      </w:r>
    </w:p>
    <w:tbl>
      <w:tblPr>
        <w:tblW w:type="auto" w:w="0"/>
        <w:jc w:val="left"/>
        <w:tblLook w:firstColumn="1" w:firstRow="1" w:lastColumn="0" w:lastRow="0" w:noHBand="0" w:noVBand="1" w:val="04A0"/>
      </w:tblPr>
      <w:tblGrid>
        <w:gridCol w:w="8640"/>
      </w:tblGrid>
      <w:tr>
        <w:tc>
          <w:tcPr>
            <w:tcW w:type="dxa" w:w="8640"/>
            <w:shd w:fill="E8F5E9" w:val="clear"/>
          </w:tcPr>
          <w:p>
            <w:r/>
            <w:r>
              <w:rPr>
                <w:i/>
                <w:color w:val="0E1423"/>
                <w:sz w:val="20"/>
              </w:rPr>
              <w:t>Deloitte serves as Microsoft Corporation's independent auditor. Per SEC and PCAOB rules, Deloitte does not accept Enterprise Customer Investment Funds (ECIF) or similar payments directly from Microsoft. Any Microsoft-sourced funding contemplated under this engagement flows via (i) Azure Marketplace burndown against [CLIENT_NAME]'s existing Microsoft commitments, or (ii) a non-competing Systems Integrator (SI) partner under separate Teaming Agreement. Deloitte's engagement fee is paid by [CLIENT_NAME].</w:t>
            </w:r>
          </w:p>
        </w:tc>
      </w:tr>
    </w:tbl>
    <w:p>
      <w:r>
        <w:rPr>
          <w:b w:val="0"/>
          <w:i w:val="0"/>
          <w:sz w:val="22"/>
        </w:rPr>
      </w:r>
    </w:p>
    <w:p>
      <w:r>
        <w:rPr>
          <w:b w:val="0"/>
          <w:i w:val="0"/>
          <w:sz w:val="22"/>
        </w:rPr>
        <w:t>[CLIENT_NAME] acknowledges that Deloitte's role under this SOW is independent of Microsoft. Deloitte makes no representations on behalf of Microsoft and shall not be characterized as Microsoft's partner, agent, alliance member, or joint-commercial party. Microsoft is referred to throughout this engagement solely as the 'cloud profile' or 'platform'.</w:t>
      </w:r>
    </w:p>
    <w:p>
      <w:pPr>
        <w:pStyle w:val="Heading2"/>
        <w:spacing w:before="240"/>
      </w:pPr>
      <w:r>
        <w:t>Signatures</w:t>
      </w:r>
    </w:p>
    <w:tbl>
      <w:tblPr>
        <w:tblW w:type="auto" w:w="0"/>
        <w:tblLook w:firstColumn="1" w:firstRow="1" w:lastColumn="0" w:lastRow="0" w:noHBand="0" w:noVBand="1" w:val="04A0"/>
      </w:tblPr>
      <w:tblGrid>
        <w:gridCol w:w="4320"/>
        <w:gridCol w:w="4320"/>
      </w:tblGrid>
      <w:tr>
        <w:tc>
          <w:tcPr>
            <w:tcW w:type="dxa" w:w="4320"/>
          </w:tcPr>
          <w:p>
            <w:r>
              <w:rPr>
                <w:b/>
              </w:rPr>
              <w:t>For [CLIENT_NAME]:</w:t>
            </w:r>
          </w:p>
        </w:tc>
        <w:tc>
          <w:tcPr>
            <w:tcW w:type="dxa" w:w="4320"/>
          </w:tcPr>
          <w:p>
            <w:r>
              <w:rPr>
                <w:b/>
              </w:rPr>
              <w:t>For Deloitte Consulting LLP:</w:t>
            </w:r>
          </w:p>
        </w:tc>
      </w:tr>
      <w:tr>
        <w:tc>
          <w:tcPr>
            <w:tcW w:type="dxa" w:w="4320"/>
          </w:tcPr>
          <w:p>
            <w:r>
              <w:t>By: _________________________</w:t>
            </w:r>
          </w:p>
        </w:tc>
        <w:tc>
          <w:tcPr>
            <w:tcW w:type="dxa" w:w="4320"/>
          </w:tcPr>
          <w:p>
            <w:r>
              <w:t>By: _________________________</w:t>
            </w:r>
          </w:p>
        </w:tc>
      </w:tr>
      <w:tr>
        <w:tc>
          <w:tcPr>
            <w:tcW w:type="dxa" w:w="4320"/>
          </w:tcPr>
          <w:p>
            <w:r>
              <w:t>Name: [CLIENT_SIGNATORY]</w:t>
            </w:r>
          </w:p>
        </w:tc>
        <w:tc>
          <w:tcPr>
            <w:tcW w:type="dxa" w:w="4320"/>
          </w:tcPr>
          <w:p>
            <w:r>
              <w:t>Name: [LCSP_NAME]</w:t>
            </w:r>
          </w:p>
        </w:tc>
      </w:tr>
      <w:tr>
        <w:tc>
          <w:tcPr>
            <w:tcW w:type="dxa" w:w="4320"/>
          </w:tcPr>
          <w:p>
            <w:r>
              <w:t>Title: ______________________</w:t>
            </w:r>
          </w:p>
        </w:tc>
        <w:tc>
          <w:tcPr>
            <w:tcW w:type="dxa" w:w="4320"/>
          </w:tcPr>
          <w:p>
            <w:r>
              <w:t>Title: Vice President</w:t>
            </w:r>
          </w:p>
        </w:tc>
      </w:tr>
    </w:tbl>
    <w:p>
      <w:r>
        <w:br w:type="page"/>
      </w:r>
    </w:p>
    <w:p>
      <w:pPr>
        <w:pStyle w:val="Heading1"/>
        <w:spacing w:before="360"/>
      </w:pPr>
      <w:r>
        <w:t>Appendix A — Service Envelope mapping</w:t>
      </w:r>
    </w:p>
    <w:p>
      <w:r>
        <w:rPr>
          <w:b w:val="0"/>
          <w:i w:val="0"/>
          <w:sz w:val="22"/>
        </w:rPr>
        <w:t>This engagement sits within the APEX Service Envelope tier ladder: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Tier</w:t>
            </w:r>
          </w:p>
        </w:tc>
        <w:tc>
          <w:tcPr>
            <w:tcW w:type="dxa" w:w="2160"/>
          </w:tcPr>
          <w:p>
            <w:r>
              <w:t>Description</w:t>
            </w:r>
          </w:p>
        </w:tc>
        <w:tc>
          <w:tcPr>
            <w:tcW w:type="dxa" w:w="2160"/>
          </w:tcPr>
          <w:p>
            <w:r>
              <w:t>Price band</w:t>
            </w:r>
          </w:p>
        </w:tc>
        <w:tc>
          <w:tcPr>
            <w:tcW w:type="dxa" w:w="2160"/>
          </w:tcPr>
          <w:p>
            <w:r>
              <w:t>This SOW</w:t>
            </w:r>
          </w:p>
        </w:tc>
      </w:tr>
      <w:tr>
        <w:tc>
          <w:tcPr>
            <w:tcW w:type="dxa" w:w="2160"/>
          </w:tcPr>
          <w:p>
            <w:r>
              <w:t>T1 Foundation</w:t>
            </w:r>
          </w:p>
        </w:tc>
        <w:tc>
          <w:tcPr>
            <w:tcW w:type="dxa" w:w="2160"/>
          </w:tcPr>
          <w:p>
            <w:r>
              <w:t>VV runtime · LEDGER · MCP · Entra/Purview wiring</w:t>
            </w:r>
          </w:p>
        </w:tc>
        <w:tc>
          <w:tcPr>
            <w:tcW w:type="dxa" w:w="2160"/>
          </w:tcPr>
          <w:p>
            <w:r>
              <w:t>$400-700K</w:t>
            </w:r>
          </w:p>
        </w:tc>
        <w:tc>
          <w:tcPr>
            <w:tcW w:type="dxa" w:w="2160"/>
          </w:tcPr>
          <w:p>
            <w:r/>
          </w:p>
        </w:tc>
      </w:tr>
      <w:tr>
        <w:tc>
          <w:tcPr>
            <w:tcW w:type="dxa" w:w="2160"/>
          </w:tcPr>
          <w:p>
            <w:r>
              <w:t>T2 Pack Lite</w:t>
            </w:r>
          </w:p>
        </w:tc>
        <w:tc>
          <w:tcPr>
            <w:tcW w:type="dxa" w:w="2160"/>
          </w:tcPr>
          <w:p>
            <w:r>
              <w:t>3 scenarios live on client data</w:t>
            </w:r>
          </w:p>
        </w:tc>
        <w:tc>
          <w:tcPr>
            <w:tcW w:type="dxa" w:w="2160"/>
          </w:tcPr>
          <w:p>
            <w:r>
              <w:t>$150-250K</w:t>
            </w:r>
          </w:p>
        </w:tc>
        <w:tc>
          <w:tcPr>
            <w:tcW w:type="dxa" w:w="2160"/>
          </w:tcPr>
          <w:p>
            <w:r/>
          </w:p>
        </w:tc>
      </w:tr>
      <w:tr>
        <w:tc>
          <w:tcPr>
            <w:tcW w:type="dxa" w:w="2160"/>
            <w:shd w:fill="E8F5E9" w:val="clear"/>
          </w:tcPr>
          <w:p>
            <w:r>
              <w:t>T2 Pack Standard</w:t>
            </w:r>
          </w:p>
        </w:tc>
        <w:tc>
          <w:tcPr>
            <w:tcW w:type="dxa" w:w="2160"/>
            <w:shd w:fill="E8F5E9" w:val="clear"/>
          </w:tcPr>
          <w:p>
            <w:r>
              <w:t>Sub-domain in production · 3-5 scenarios</w:t>
            </w:r>
          </w:p>
        </w:tc>
        <w:tc>
          <w:tcPr>
            <w:tcW w:type="dxa" w:w="2160"/>
            <w:shd w:fill="E8F5E9" w:val="clear"/>
          </w:tcPr>
          <w:p>
            <w:r>
              <w:t>$500K-$1.5M</w:t>
            </w:r>
          </w:p>
        </w:tc>
        <w:tc>
          <w:tcPr>
            <w:tcW w:type="dxa" w:w="2160"/>
            <w:shd w:fill="E8F5E9" w:val="clear"/>
          </w:tcPr>
          <w:p>
            <w:r>
              <w:t>✓</w:t>
            </w:r>
          </w:p>
        </w:tc>
      </w:tr>
      <w:tr>
        <w:tc>
          <w:tcPr>
            <w:tcW w:type="dxa" w:w="2160"/>
          </w:tcPr>
          <w:p>
            <w:r>
              <w:t>T2 Pack Enterprise</w:t>
            </w:r>
          </w:p>
        </w:tc>
        <w:tc>
          <w:tcPr>
            <w:tcW w:type="dxa" w:w="2160"/>
          </w:tcPr>
          <w:p>
            <w:r>
              <w:t>Full pack + multi-store · Operate-ready</w:t>
            </w:r>
          </w:p>
        </w:tc>
        <w:tc>
          <w:tcPr>
            <w:tcW w:type="dxa" w:w="2160"/>
          </w:tcPr>
          <w:p>
            <w:r>
              <w:t>$1.5-3.5M</w:t>
            </w:r>
          </w:p>
        </w:tc>
        <w:tc>
          <w:tcPr>
            <w:tcW w:type="dxa" w:w="2160"/>
          </w:tcPr>
          <w:p>
            <w:r/>
          </w:p>
        </w:tc>
      </w:tr>
      <w:tr>
        <w:tc>
          <w:tcPr>
            <w:tcW w:type="dxa" w:w="2160"/>
          </w:tcPr>
          <w:p>
            <w:r>
              <w:t>T5 Operate</w:t>
            </w:r>
          </w:p>
        </w:tc>
        <w:tc>
          <w:tcPr>
            <w:tcW w:type="dxa" w:w="2160"/>
          </w:tcPr>
          <w:p>
            <w:r>
              <w:t>24×7 monitor · tuning · pack version uptake</w:t>
            </w:r>
          </w:p>
        </w:tc>
        <w:tc>
          <w:tcPr>
            <w:tcW w:type="dxa" w:w="2160"/>
          </w:tcPr>
          <w:p>
            <w:r>
              <w:t>$25-110K/mo</w:t>
            </w:r>
          </w:p>
        </w:tc>
        <w:tc>
          <w:tcPr>
            <w:tcW w:type="dxa" w:w="2160"/>
          </w:tcPr>
          <w:p>
            <w:r/>
          </w:p>
        </w:tc>
      </w:tr>
    </w:tbl>
    <w:p>
      <w:r>
        <w:br w:type="page"/>
      </w:r>
    </w:p>
    <w:p>
      <w:pPr>
        <w:pStyle w:val="Heading1"/>
        <w:spacing w:before="360"/>
      </w:pPr>
      <w:r>
        <w:t>Appendix B — Funding paths and independence</w:t>
      </w:r>
    </w:p>
    <w:p>
      <w:r>
        <w:rPr>
          <w:b w:val="0"/>
          <w:i w:val="0"/>
          <w:sz w:val="22"/>
        </w:rPr>
        <w:t>Engagement fees may be sourced from any of the following independence-safe funding vehicles:</w:t>
      </w:r>
    </w:p>
    <w:p>
      <w:r>
        <w:rPr>
          <w:b/>
        </w:rPr>
        <w:t xml:space="preserve">Client direct.  </w:t>
      </w:r>
      <w:r>
        <w:t>Standard Deloitte-on-Deloitte-paper engagement; no special funding routing required.</w:t>
      </w:r>
    </w:p>
    <w:p>
      <w:r>
        <w:rPr>
          <w:b/>
        </w:rPr>
        <w:t xml:space="preserve">BVA (client-funded).  </w:t>
      </w:r>
      <w:r>
        <w:t>Workshop fee absorbed into Client's marketing or innovation budget; produces the scenario shortlist and SOW skeleton that initiates Lite tier.</w:t>
      </w:r>
    </w:p>
    <w:p>
      <w:r>
        <w:rPr>
          <w:b/>
        </w:rPr>
        <w:t xml:space="preserve">DCIF (Deloitte co-invest).  </w:t>
      </w:r>
      <w:r>
        <w:t>Deloitte commits its own balance sheet against a defined client commitment milestone; reduces Client's upfront cost.</w:t>
      </w:r>
    </w:p>
    <w:p>
      <w:r>
        <w:rPr>
          <w:b/>
        </w:rPr>
        <w:t xml:space="preserve">Azure Marketplace burndown.  </w:t>
      </w:r>
      <w:r>
        <w:t>Client's existing Microsoft Azure commitment is burned down against the engagement fee via an Azure Marketplace transaction; Microsoft pays the Marketplace, Marketplace pays Deloitte. Deloitte does not receive ECIF directly from Microsoft.</w:t>
      </w:r>
    </w:p>
    <w:p>
      <w:r>
        <w:rPr>
          <w:b/>
        </w:rPr>
        <w:t xml:space="preserve">SI Teaming (POC funding).  </w:t>
      </w:r>
      <w:r>
        <w:t>Non-competing SI partner under separate Teaming Agreement receives Microsoft POC funding; Deloitte delivers under SI sub-agreement. Used selectively for early-stage proof-of-concept engagements where Client's Azure commitment is insufficient.</w:t>
      </w:r>
    </w:p>
    <w:p>
      <w:r>
        <w:rPr>
          <w:b/>
        </w:rPr>
        <w:t xml:space="preserve">Time &amp; Materials (T&amp;M).  </w:t>
      </w:r>
      <w:r>
        <w:t>For custom build (T4) tiers or scope extensions beyond Lite/Standard/Enterprise.</w:t>
      </w:r>
    </w:p>
    <w:p>
      <w:r>
        <w:br w:type="page"/>
      </w:r>
    </w:p>
    <w:p>
      <w:pPr>
        <w:pStyle w:val="Heading1"/>
        <w:spacing w:before="360"/>
      </w:pPr>
      <w:r>
        <w:t>Appendix C — Pack 10-asset bundle inventory</w:t>
      </w:r>
    </w:p>
    <w:p>
      <w:r>
        <w:rPr>
          <w:b w:val="0"/>
          <w:i w:val="0"/>
          <w:sz w:val="22"/>
        </w:rPr>
        <w:t>Every APEX Industry Solution Pack ships the same 10-asset bundle. Asset coverage varies by engagement tier. Items checked ✓ are delivered under this SOW; items marked – are deferred to a higher tier.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Asset</w:t>
            </w:r>
          </w:p>
        </w:tc>
        <w:tc>
          <w:tcPr>
            <w:tcW w:type="dxa" w:w="2160"/>
          </w:tcPr>
          <w:p>
            <w:r>
              <w:t>Description</w:t>
            </w:r>
          </w:p>
        </w:tc>
        <w:tc>
          <w:tcPr>
            <w:tcW w:type="dxa" w:w="2160"/>
          </w:tcPr>
          <w:p>
            <w:r>
              <w:t>This SOW</w:t>
            </w:r>
          </w:p>
        </w:tc>
      </w:tr>
      <w:tr>
        <w:tc>
          <w:tcPr>
            <w:tcW w:type="dxa" w:w="2160"/>
          </w:tcPr>
          <w:p>
            <w:r>
              <w:t>1</w:t>
            </w:r>
          </w:p>
        </w:tc>
        <w:tc>
          <w:tcPr>
            <w:tcW w:type="dxa" w:w="2160"/>
          </w:tcPr>
          <w:p>
            <w:r>
              <w:t>VV Manifests</w:t>
            </w:r>
          </w:p>
        </w:tc>
        <w:tc>
          <w:tcPr>
            <w:tcW w:type="dxa" w:w="2160"/>
          </w:tcPr>
          <w:p>
            <w:r>
              <w:t>Declarative federated views w/ thresholds + resolution routes.</w:t>
            </w:r>
          </w:p>
        </w:tc>
        <w:tc>
          <w:tcPr>
            <w:tcW w:type="dxa" w:w="2160"/>
          </w:tcPr>
          <w:p>
            <w:r>
              <w:t>✓</w:t>
            </w:r>
          </w:p>
        </w:tc>
      </w:tr>
      <w:tr>
        <w:tc>
          <w:tcPr>
            <w:tcW w:type="dxa" w:w="2160"/>
          </w:tcPr>
          <w:p>
            <w:r>
              <w:t>2</w:t>
            </w:r>
          </w:p>
        </w:tc>
        <w:tc>
          <w:tcPr>
            <w:tcW w:type="dxa" w:w="2160"/>
          </w:tcPr>
          <w:p>
            <w:r>
              <w:t>Scenario Manifests</w:t>
            </w:r>
          </w:p>
        </w:tc>
        <w:tc>
          <w:tcPr>
            <w:tcW w:type="dxa" w:w="2160"/>
          </w:tcPr>
          <w:p>
            <w:r>
              <w:t>Named business-outcome chains composed from VVs.</w:t>
            </w:r>
          </w:p>
        </w:tc>
        <w:tc>
          <w:tcPr>
            <w:tcW w:type="dxa" w:w="2160"/>
          </w:tcPr>
          <w:p>
            <w:r>
              <w:t>✓</w:t>
            </w:r>
          </w:p>
        </w:tc>
      </w:tr>
      <w:tr>
        <w:tc>
          <w:tcPr>
            <w:tcW w:type="dxa" w:w="2160"/>
          </w:tcPr>
          <w:p>
            <w:r>
              <w:t>3</w:t>
            </w:r>
          </w:p>
        </w:tc>
        <w:tc>
          <w:tcPr>
            <w:tcW w:type="dxa" w:w="2160"/>
          </w:tcPr>
          <w:p>
            <w:r>
              <w:t>Source Adapters</w:t>
            </w:r>
          </w:p>
        </w:tc>
        <w:tc>
          <w:tcPr>
            <w:tcW w:type="dxa" w:w="2160"/>
          </w:tcPr>
          <w:p>
            <w:r>
              <w:t>POS · Loyalty CRM · Planogram · Beacon vendor · Vision device · Phone app.</w:t>
            </w:r>
          </w:p>
        </w:tc>
        <w:tc>
          <w:tcPr>
            <w:tcW w:type="dxa" w:w="2160"/>
          </w:tcPr>
          <w:p>
            <w:r>
              <w:t>✓</w:t>
            </w:r>
          </w:p>
        </w:tc>
      </w:tr>
      <w:tr>
        <w:tc>
          <w:tcPr>
            <w:tcW w:type="dxa" w:w="2160"/>
          </w:tcPr>
          <w:p>
            <w:r>
              <w:t>4</w:t>
            </w:r>
          </w:p>
        </w:tc>
        <w:tc>
          <w:tcPr>
            <w:tcW w:type="dxa" w:w="2160"/>
          </w:tcPr>
          <w:p>
            <w:r>
              <w:t>Adaptive Cards</w:t>
            </w:r>
          </w:p>
        </w:tc>
        <w:tc>
          <w:tcPr>
            <w:tcW w:type="dxa" w:w="2160"/>
          </w:tcPr>
          <w:p>
            <w:r>
              <w:t>Customer phone + kiosk JSON; operator Teams cards.</w:t>
            </w:r>
          </w:p>
        </w:tc>
        <w:tc>
          <w:tcPr>
            <w:tcW w:type="dxa" w:w="2160"/>
          </w:tcPr>
          <w:p>
            <w:r>
              <w:t>✓</w:t>
            </w:r>
          </w:p>
        </w:tc>
      </w:tr>
      <w:tr>
        <w:tc>
          <w:tcPr>
            <w:tcW w:type="dxa" w:w="2160"/>
          </w:tcPr>
          <w:p>
            <w:r>
              <w:t>5</w:t>
            </w:r>
          </w:p>
        </w:tc>
        <w:tc>
          <w:tcPr>
            <w:tcW w:type="dxa" w:w="2160"/>
          </w:tcPr>
          <w:p>
            <w:r>
              <w:t>Persona Map</w:t>
            </w:r>
          </w:p>
        </w:tc>
        <w:tc>
          <w:tcPr>
            <w:tcW w:type="dxa" w:w="2160"/>
          </w:tcPr>
          <w:p>
            <w:r>
              <w:t>personas.yaml including the customer persona type.</w:t>
            </w:r>
          </w:p>
        </w:tc>
        <w:tc>
          <w:tcPr>
            <w:tcW w:type="dxa" w:w="2160"/>
          </w:tcPr>
          <w:p>
            <w:r>
              <w:t>✓</w:t>
            </w:r>
          </w:p>
        </w:tc>
      </w:tr>
      <w:tr>
        <w:tc>
          <w:tcPr>
            <w:tcW w:type="dxa" w:w="2160"/>
          </w:tcPr>
          <w:p>
            <w:r>
              <w:t>6</w:t>
            </w:r>
          </w:p>
        </w:tc>
        <w:tc>
          <w:tcPr>
            <w:tcW w:type="dxa" w:w="2160"/>
          </w:tcPr>
          <w:p>
            <w:r>
              <w:t>Demo Data</w:t>
            </w:r>
          </w:p>
        </w:tc>
        <w:tc>
          <w:tcPr>
            <w:tcW w:type="dxa" w:w="2160"/>
          </w:tcPr>
          <w:p>
            <w:r>
              <w:t>Synthetic catalog + planogram + simulated shoppers.</w:t>
            </w:r>
          </w:p>
        </w:tc>
        <w:tc>
          <w:tcPr>
            <w:tcW w:type="dxa" w:w="2160"/>
          </w:tcPr>
          <w:p>
            <w:r>
              <w:t>✓</w:t>
            </w:r>
          </w:p>
        </w:tc>
      </w:tr>
      <w:tr>
        <w:tc>
          <w:tcPr>
            <w:tcW w:type="dxa" w:w="2160"/>
          </w:tcPr>
          <w:p>
            <w:r>
              <w:t>7</w:t>
            </w:r>
          </w:p>
        </w:tc>
        <w:tc>
          <w:tcPr>
            <w:tcW w:type="dxa" w:w="2160"/>
          </w:tcPr>
          <w:p>
            <w:r>
              <w:t>BVA Worksheet</w:t>
            </w:r>
          </w:p>
        </w:tc>
        <w:tc>
          <w:tcPr>
            <w:tcW w:type="dxa" w:w="2160"/>
          </w:tcPr>
          <w:p>
            <w:r>
              <w:t>Pack-level ROI calculator (separate xlsx).</w:t>
            </w:r>
          </w:p>
        </w:tc>
        <w:tc>
          <w:tcPr>
            <w:tcW w:type="dxa" w:w="2160"/>
          </w:tcPr>
          <w:p>
            <w:r>
              <w:t>✓</w:t>
            </w:r>
          </w:p>
        </w:tc>
      </w:tr>
      <w:tr>
        <w:tc>
          <w:tcPr>
            <w:tcW w:type="dxa" w:w="2160"/>
          </w:tcPr>
          <w:p>
            <w:r>
              <w:t>8</w:t>
            </w:r>
          </w:p>
        </w:tc>
        <w:tc>
          <w:tcPr>
            <w:tcW w:type="dxa" w:w="2160"/>
          </w:tcPr>
          <w:p>
            <w:r>
              <w:t>Sample SOW</w:t>
            </w:r>
          </w:p>
        </w:tc>
        <w:tc>
          <w:tcPr>
            <w:tcW w:type="dxa" w:w="2160"/>
          </w:tcPr>
          <w:p>
            <w:r>
              <w:t>Lite / Standard / Enterprise templates (this document).</w:t>
            </w:r>
          </w:p>
        </w:tc>
        <w:tc>
          <w:tcPr>
            <w:tcW w:type="dxa" w:w="2160"/>
          </w:tcPr>
          <w:p>
            <w:r>
              <w:t>✓</w:t>
            </w:r>
          </w:p>
        </w:tc>
      </w:tr>
      <w:tr>
        <w:tc>
          <w:tcPr>
            <w:tcW w:type="dxa" w:w="2160"/>
          </w:tcPr>
          <w:p>
            <w:r>
              <w:t>9</w:t>
            </w:r>
          </w:p>
        </w:tc>
        <w:tc>
          <w:tcPr>
            <w:tcW w:type="dxa" w:w="2160"/>
          </w:tcPr>
          <w:p>
            <w:r>
              <w:t>Acceptance Tests</w:t>
            </w:r>
          </w:p>
        </w:tc>
        <w:tc>
          <w:tcPr>
            <w:tcW w:type="dxa" w:w="2160"/>
          </w:tcPr>
          <w:p>
            <w:r>
              <w:t>60-80+ tests proving Pack health in CI.</w:t>
            </w:r>
          </w:p>
        </w:tc>
        <w:tc>
          <w:tcPr>
            <w:tcW w:type="dxa" w:w="2160"/>
          </w:tcPr>
          <w:p>
            <w:r>
              <w:t>✓</w:t>
            </w:r>
          </w:p>
        </w:tc>
      </w:tr>
      <w:tr>
        <w:tc>
          <w:tcPr>
            <w:tcW w:type="dxa" w:w="2160"/>
          </w:tcPr>
          <w:p>
            <w:r>
              <w:t>10</w:t>
            </w:r>
          </w:p>
        </w:tc>
        <w:tc>
          <w:tcPr>
            <w:tcW w:type="dxa" w:w="2160"/>
          </w:tcPr>
          <w:p>
            <w:r>
              <w:t>Runbook + Training</w:t>
            </w:r>
          </w:p>
        </w:tc>
        <w:tc>
          <w:tcPr>
            <w:tcW w:type="dxa" w:w="2160"/>
          </w:tcPr>
          <w:p>
            <w:r>
              <w:t>Operate procedures and analyst training materials.</w:t>
            </w:r>
          </w:p>
        </w:tc>
        <w:tc>
          <w:tcPr>
            <w:tcW w:type="dxa" w:w="2160"/>
          </w:tcPr>
          <w:p>
            <w:r>
              <w:t>✓</w:t>
            </w:r>
          </w:p>
        </w:tc>
      </w:tr>
    </w:tbl>
    <w:p>
      <w:r>
        <w:br w:type="page"/>
      </w:r>
    </w:p>
    <w:p>
      <w:pPr>
        <w:pStyle w:val="Heading1"/>
        <w:spacing w:before="360"/>
      </w:pPr>
      <w:r>
        <w:t>Appendix D — Working demo reference</w:t>
      </w:r>
    </w:p>
    <w:p>
      <w:r>
        <w:rPr>
          <w:b w:val="0"/>
          <w:i w:val="0"/>
          <w:sz w:val="22"/>
        </w:rPr>
        <w:t>The APEX framework demonstration referenced in §1 is currently operational at the URL below. [CLIENT_NAME] personnel may access the demo as part of pre-engagement validation.</w:t>
      </w:r>
    </w:p>
    <w:p>
      <w:r>
        <w:rPr>
          <w:b/>
        </w:rPr>
        <w:t xml:space="preserve">Demo URL: </w:t>
      </w:r>
      <w:r>
        <w:t>https://ca-visionkit-portal.gentlestone-9b49b099.eastus2.azurecontainerapps.io</w:t>
      </w:r>
    </w:p>
    <w:p>
      <w:r>
        <w:rPr>
          <w:b w:val="0"/>
          <w:i w:val="0"/>
          <w:sz w:val="22"/>
        </w:rPr>
      </w:r>
    </w:p>
    <w:p>
      <w:r>
        <w:rPr>
          <w:b w:val="0"/>
          <w:i w:val="0"/>
          <w:sz w:val="22"/>
        </w:rPr>
        <w:t>The deployed demo covers:</w:t>
      </w:r>
    </w:p>
    <w:p>
      <w:pPr>
        <w:pStyle w:val="ListBullet"/>
      </w:pPr>
      <w:r>
        <w:t>800-product pgvector catalog with semantic search</w:t>
      </w:r>
    </w:p>
    <w:p>
      <w:pPr>
        <w:pStyle w:val="ListBullet"/>
      </w:pPr>
      <w:r>
        <w:t>Microsoft Agent Framework SDK 1.6.0 GA orchestration with gpt-5-mini</w:t>
      </w:r>
    </w:p>
    <w:p>
      <w:pPr>
        <w:pStyle w:val="ListBullet"/>
      </w:pPr>
      <w:r>
        <w:t>Azure Speech (Ava Multilingual) for text-to-speech and speech-to-text</w:t>
      </w:r>
    </w:p>
    <w:p>
      <w:pPr>
        <w:pStyle w:val="ListBullet"/>
      </w:pPr>
      <w:r>
        <w:t>Azure Maps Creator (Indoor Maps + Wayfinding REST API) — local-fallback path until per-tenant Creator dataset provisioned</w:t>
      </w:r>
    </w:p>
    <w:p>
      <w:pPr>
        <w:pStyle w:val="ListBullet"/>
      </w:pPr>
      <w:r>
        <w:t>Customer-facing CFMP journey: CHOOSE → SELECT → BUY → SERVICES</w:t>
      </w:r>
    </w:p>
    <w:p>
      <w:pPr>
        <w:pStyle w:val="ListBullet"/>
      </w:pPr>
      <w:r>
        <w:t>Live LEDGER tail on the architecture page showing hash-chained AuditRow entries with HITL status</w:t>
      </w:r>
    </w:p>
    <w:p>
      <w:pPr>
        <w:pStyle w:val="ListBullet"/>
      </w:pPr>
      <w:r>
        <w:t>APEX Tour flyout with framework guided walkthrough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E142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E142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E142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