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left"/>
      </w:pPr>
      <w:r>
        <w:rPr>
          <w:rFonts w:ascii="Arial" w:cs="Arial" w:eastAsia="Arial" w:hAnsi="Arial"/>
          <w:b/>
          <w:bCs/>
          <w:color w:val="007A5A"/>
          <w:spacing w:val="40"/>
          <w:sz w:val="18"/>
          <w:szCs w:val="18"/>
        </w:rPr>
        <w:t xml:space="preserve">DELOITTE DMTSP — INTERNAL</w:t>
      </w:r>
    </w:p>
    <w:p>
      <w:pPr>
        <w:spacing w:after="120"/>
      </w:pPr>
      <w:r>
        <w:rPr>
          <w:rFonts w:ascii="Arial" w:cs="Arial" w:eastAsia="Arial" w:hAnsi="Arial"/>
          <w:b/>
          <w:bCs/>
          <w:color w:val="004B38"/>
          <w:sz w:val="56"/>
          <w:szCs w:val="56"/>
        </w:rPr>
        <w:t xml:space="preserve">APEX Marketing Playbook</w:t>
      </w:r>
    </w:p>
    <w:p>
      <w:pPr>
        <w:spacing w:after="480"/>
      </w:pPr>
      <w:r>
        <w:rPr>
          <w:rFonts w:ascii="Arial" w:cs="Arial" w:eastAsia="Arial" w:hAnsi="Arial"/>
          <w:color w:val="595959"/>
          <w:sz w:val="30"/>
          <w:szCs w:val="30"/>
        </w:rPr>
        <w:t xml:space="preserve">Step-by-Step Start-Up Guide for Offshore Contributors</w:t>
      </w:r>
    </w:p>
    <w:p>
      <w:pPr>
        <w:pBdr>
          <w:top w:val="single" w:color="007A5A" w:sz="12" w:space="8"/>
        </w:pBdr>
        <w:spacing w:after="120"/>
      </w:pPr>
      <w:r>
        <w:t xml:space="preserve"/>
      </w:r>
    </w:p>
    <w:p>
      <w:pPr>
        <w:spacing w:after="60" w:before="240"/>
      </w:pPr>
      <w:r>
        <w:rPr>
          <w:rFonts w:ascii="Arial" w:cs="Arial" w:eastAsia="Arial" w:hAnsi="Arial"/>
          <w:b/>
          <w:bCs/>
          <w:color w:val="595959"/>
          <w:spacing w:val="40"/>
          <w:sz w:val="18"/>
          <w:szCs w:val="18"/>
        </w:rPr>
        <w:t xml:space="preserve">Owner</w:t>
      </w:r>
    </w:p>
    <w:p>
      <w:pPr>
        <w:spacing w:after="200"/>
      </w:pPr>
      <w:r>
        <w:rPr>
          <w:rFonts w:ascii="Arial" w:cs="Arial" w:eastAsia="Arial" w:hAnsi="Arial"/>
          <w:color w:val="1A1A1A"/>
          <w:sz w:val="22"/>
          <w:szCs w:val="22"/>
        </w:rPr>
        <w:t xml:space="preserve">Keven Markham — Vice President, Deloitte's Microsoft practice (DMTSP), Consumer Industry</w:t>
      </w:r>
    </w:p>
    <w:p>
      <w:pPr>
        <w:spacing w:after="60"/>
      </w:pPr>
      <w:r>
        <w:rPr>
          <w:rFonts w:ascii="Arial" w:cs="Arial" w:eastAsia="Arial" w:hAnsi="Arial"/>
          <w:b/>
          <w:bCs/>
          <w:color w:val="595959"/>
          <w:spacing w:val="40"/>
          <w:sz w:val="18"/>
          <w:szCs w:val="18"/>
        </w:rPr>
        <w:t xml:space="preserve">Audience</w:t>
      </w:r>
    </w:p>
    <w:p>
      <w:pPr>
        <w:spacing w:after="200"/>
      </w:pPr>
      <w:r>
        <w:rPr>
          <w:rFonts w:ascii="Arial" w:cs="Arial" w:eastAsia="Arial" w:hAnsi="Arial"/>
          <w:color w:val="1A1A1A"/>
          <w:sz w:val="22"/>
          <w:szCs w:val="22"/>
        </w:rPr>
        <w:t xml:space="preserve">Offshore contributors supporting APEX demand generation, account research, and content production</w:t>
      </w:r>
    </w:p>
    <w:p>
      <w:pPr>
        <w:spacing w:after="60"/>
      </w:pPr>
      <w:r>
        <w:rPr>
          <w:rFonts w:ascii="Arial" w:cs="Arial" w:eastAsia="Arial" w:hAnsi="Arial"/>
          <w:b/>
          <w:bCs/>
          <w:color w:val="595959"/>
          <w:spacing w:val="40"/>
          <w:sz w:val="18"/>
          <w:szCs w:val="18"/>
        </w:rPr>
        <w:t xml:space="preserve">Version</w:t>
      </w:r>
    </w:p>
    <w:p>
      <w:pPr>
        <w:spacing w:after="200"/>
      </w:pPr>
      <w:r>
        <w:rPr>
          <w:rFonts w:ascii="Arial" w:cs="Arial" w:eastAsia="Arial" w:hAnsi="Arial"/>
          <w:color w:val="1A1A1A"/>
          <w:sz w:val="22"/>
          <w:szCs w:val="22"/>
        </w:rPr>
        <w:t xml:space="preserve">v1.0 — initial release</w:t>
      </w:r>
    </w:p>
    <w:p>
      <w:pPr>
        <w:spacing w:after="60"/>
      </w:pPr>
      <w:r>
        <w:rPr>
          <w:rFonts w:ascii="Arial" w:cs="Arial" w:eastAsia="Arial" w:hAnsi="Arial"/>
          <w:b/>
          <w:bCs/>
          <w:color w:val="595959"/>
          <w:spacing w:val="40"/>
          <w:sz w:val="18"/>
          <w:szCs w:val="18"/>
        </w:rPr>
        <w:t xml:space="preserve">Read this first</w:t>
      </w:r>
    </w:p>
    <w:p>
      <w:pPr>
        <w:spacing w:after="120"/>
      </w:pPr>
      <w:r>
        <w:rPr>
          <w:rFonts w:ascii="Arial" w:cs="Arial" w:eastAsia="Arial" w:hAnsi="Arial"/>
          <w:color w:val="1A1A1A"/>
          <w:sz w:val="22"/>
          <w:szCs w:val="22"/>
        </w:rPr>
        <w:t xml:space="preserve">Parts A, B, F. Then begin Part G (your first 30 days).</w:t>
      </w:r>
    </w:p>
    <w:p>
      <w:pPr>
        <w:pStyle w:val="Heading1"/>
        <w:pageBreakBefore/>
        <w:spacing w:after="240" w:before="0"/>
      </w:pPr>
      <w:r>
        <w:rPr>
          <w:rFonts w:ascii="Arial" w:cs="Arial" w:eastAsia="Arial" w:hAnsi="Arial"/>
          <w:b/>
          <w:bCs/>
          <w:color w:val="004B38"/>
          <w:sz w:val="36"/>
          <w:szCs w:val="36"/>
        </w:rPr>
        <w:t xml:space="preserve">Contents</w:t>
      </w:r>
    </w:p>
    <w:p>
      <w:pPr>
        <w:tabs>
          <w:tab w:val="left" w:pos="1000"/>
        </w:tabs>
        <w:spacing w:after="40"/>
      </w:pPr>
      <w:r>
        <w:rPr>
          <w:rFonts w:ascii="Arial" w:cs="Arial" w:eastAsia="Arial" w:hAnsi="Arial"/>
          <w:b/>
          <w:bCs/>
          <w:color w:val="007A5A"/>
          <w:sz w:val="22"/>
          <w:szCs w:val="22"/>
        </w:rPr>
        <w:t xml:space="preserve">Part A</w:t>
      </w:r>
      <w:r>
        <w:rPr>
          <w:rFonts w:ascii="Arial" w:cs="Arial" w:eastAsia="Arial" w:hAnsi="Arial"/>
          <w:color w:val="1A1A1A"/>
          <w:sz w:val="22"/>
          <w:szCs w:val="22"/>
        </w:rPr>
        <w:t xml:space="preserve">	Foundations — Read Before Doing Anything</w:t>
      </w:r>
    </w:p>
    <w:p>
      <w:pPr>
        <w:tabs>
          <w:tab w:val="left" w:pos="1000"/>
        </w:tabs>
        <w:spacing w:after="40"/>
      </w:pPr>
      <w:r>
        <w:rPr>
          <w:rFonts w:ascii="Arial" w:cs="Arial" w:eastAsia="Arial" w:hAnsi="Arial"/>
          <w:b/>
          <w:bCs/>
          <w:color w:val="007A5A"/>
          <w:sz w:val="22"/>
          <w:szCs w:val="22"/>
        </w:rPr>
        <w:t xml:space="preserve">A.1</w:t>
      </w:r>
      <w:r>
        <w:rPr>
          <w:rFonts w:ascii="Arial" w:cs="Arial" w:eastAsia="Arial" w:hAnsi="Arial"/>
          <w:color w:val="1A1A1A"/>
          <w:sz w:val="22"/>
          <w:szCs w:val="22"/>
        </w:rPr>
        <w:t xml:space="preserve">	Purpose and scope of this playbook</w:t>
      </w:r>
    </w:p>
    <w:p>
      <w:pPr>
        <w:tabs>
          <w:tab w:val="left" w:pos="1000"/>
        </w:tabs>
        <w:spacing w:after="40"/>
      </w:pPr>
      <w:r>
        <w:rPr>
          <w:rFonts w:ascii="Arial" w:cs="Arial" w:eastAsia="Arial" w:hAnsi="Arial"/>
          <w:b/>
          <w:bCs/>
          <w:color w:val="007A5A"/>
          <w:sz w:val="22"/>
          <w:szCs w:val="22"/>
        </w:rPr>
        <w:t xml:space="preserve">A.2</w:t>
      </w:r>
      <w:r>
        <w:rPr>
          <w:rFonts w:ascii="Arial" w:cs="Arial" w:eastAsia="Arial" w:hAnsi="Arial"/>
          <w:color w:val="1A1A1A"/>
          <w:sz w:val="22"/>
          <w:szCs w:val="22"/>
        </w:rPr>
        <w:t xml:space="preserve">	What APEX is — and what it is not</w:t>
      </w:r>
    </w:p>
    <w:p>
      <w:pPr>
        <w:tabs>
          <w:tab w:val="left" w:pos="1000"/>
        </w:tabs>
        <w:spacing w:after="40"/>
      </w:pPr>
      <w:r>
        <w:rPr>
          <w:rFonts w:ascii="Arial" w:cs="Arial" w:eastAsia="Arial" w:hAnsi="Arial"/>
          <w:b/>
          <w:bCs/>
          <w:color w:val="007A5A"/>
          <w:sz w:val="22"/>
          <w:szCs w:val="22"/>
        </w:rPr>
        <w:t xml:space="preserve">A.3</w:t>
      </w:r>
      <w:r>
        <w:rPr>
          <w:rFonts w:ascii="Arial" w:cs="Arial" w:eastAsia="Arial" w:hAnsi="Arial"/>
          <w:color w:val="1A1A1A"/>
          <w:sz w:val="22"/>
          <w:szCs w:val="22"/>
        </w:rPr>
        <w:t xml:space="preserve">	Who we are marketing to</w:t>
      </w:r>
    </w:p>
    <w:p>
      <w:pPr>
        <w:tabs>
          <w:tab w:val="left" w:pos="1000"/>
        </w:tabs>
        <w:spacing w:after="40"/>
      </w:pPr>
      <w:r>
        <w:rPr>
          <w:rFonts w:ascii="Arial" w:cs="Arial" w:eastAsia="Arial" w:hAnsi="Arial"/>
          <w:b/>
          <w:bCs/>
          <w:color w:val="007A5A"/>
          <w:sz w:val="22"/>
          <w:szCs w:val="22"/>
        </w:rPr>
        <w:t xml:space="preserve">A.4</w:t>
      </w:r>
      <w:r>
        <w:rPr>
          <w:rFonts w:ascii="Arial" w:cs="Arial" w:eastAsia="Arial" w:hAnsi="Arial"/>
          <w:color w:val="1A1A1A"/>
          <w:sz w:val="22"/>
          <w:szCs w:val="22"/>
        </w:rPr>
        <w:t xml:space="preserve">	The non-negotiable Independence rules</w:t>
      </w:r>
    </w:p>
    <w:p>
      <w:pPr>
        <w:tabs>
          <w:tab w:val="left" w:pos="1000"/>
        </w:tabs>
        <w:spacing w:after="40"/>
      </w:pPr>
      <w:r>
        <w:rPr>
          <w:rFonts w:ascii="Arial" w:cs="Arial" w:eastAsia="Arial" w:hAnsi="Arial"/>
          <w:b/>
          <w:bCs/>
          <w:color w:val="007A5A"/>
          <w:sz w:val="22"/>
          <w:szCs w:val="22"/>
        </w:rPr>
        <w:t xml:space="preserve">A.5</w:t>
      </w:r>
      <w:r>
        <w:rPr>
          <w:rFonts w:ascii="Arial" w:cs="Arial" w:eastAsia="Arial" w:hAnsi="Arial"/>
          <w:color w:val="1A1A1A"/>
          <w:sz w:val="22"/>
          <w:szCs w:val="22"/>
        </w:rPr>
        <w:t xml:space="preserve">	What “marketing” means in this context</w:t>
      </w:r>
    </w:p>
    <w:p>
      <w:pPr>
        <w:tabs>
          <w:tab w:val="left" w:pos="1000"/>
        </w:tabs>
        <w:spacing w:after="40"/>
      </w:pPr>
      <w:r>
        <w:rPr>
          <w:rFonts w:ascii="Arial" w:cs="Arial" w:eastAsia="Arial" w:hAnsi="Arial"/>
          <w:b/>
          <w:bCs/>
          <w:color w:val="007A5A"/>
          <w:sz w:val="22"/>
          <w:szCs w:val="22"/>
        </w:rPr>
        <w:t xml:space="preserve">Part B</w:t>
      </w:r>
      <w:r>
        <w:rPr>
          <w:rFonts w:ascii="Arial" w:cs="Arial" w:eastAsia="Arial" w:hAnsi="Arial"/>
          <w:color w:val="1A1A1A"/>
          <w:sz w:val="22"/>
          <w:szCs w:val="22"/>
        </w:rPr>
        <w:t xml:space="preserve">	The Core Methodology</w:t>
      </w:r>
    </w:p>
    <w:p>
      <w:pPr>
        <w:tabs>
          <w:tab w:val="left" w:pos="1000"/>
        </w:tabs>
        <w:spacing w:after="40"/>
      </w:pPr>
      <w:r>
        <w:rPr>
          <w:rFonts w:ascii="Arial" w:cs="Arial" w:eastAsia="Arial" w:hAnsi="Arial"/>
          <w:b/>
          <w:bCs/>
          <w:color w:val="007A5A"/>
          <w:sz w:val="22"/>
          <w:szCs w:val="22"/>
        </w:rPr>
        <w:t xml:space="preserve">B.1</w:t>
      </w:r>
      <w:r>
        <w:rPr>
          <w:rFonts w:ascii="Arial" w:cs="Arial" w:eastAsia="Arial" w:hAnsi="Arial"/>
          <w:color w:val="1A1A1A"/>
          <w:sz w:val="22"/>
          <w:szCs w:val="22"/>
        </w:rPr>
        <w:t xml:space="preserve">	Corporate Visions in one page — Why Change / Why Now / Why You</w:t>
      </w:r>
    </w:p>
    <w:p>
      <w:pPr>
        <w:tabs>
          <w:tab w:val="left" w:pos="1000"/>
        </w:tabs>
        <w:spacing w:after="40"/>
      </w:pPr>
      <w:r>
        <w:rPr>
          <w:rFonts w:ascii="Arial" w:cs="Arial" w:eastAsia="Arial" w:hAnsi="Arial"/>
          <w:b/>
          <w:bCs/>
          <w:color w:val="007A5A"/>
          <w:sz w:val="22"/>
          <w:szCs w:val="22"/>
        </w:rPr>
        <w:t xml:space="preserve">B.2</w:t>
      </w:r>
      <w:r>
        <w:rPr>
          <w:rFonts w:ascii="Arial" w:cs="Arial" w:eastAsia="Arial" w:hAnsi="Arial"/>
          <w:color w:val="1A1A1A"/>
          <w:sz w:val="22"/>
          <w:szCs w:val="22"/>
        </w:rPr>
        <w:t xml:space="preserve">	The APEX “Why Change” thesis</w:t>
      </w:r>
    </w:p>
    <w:p>
      <w:pPr>
        <w:tabs>
          <w:tab w:val="left" w:pos="1000"/>
        </w:tabs>
        <w:spacing w:after="40"/>
      </w:pPr>
      <w:r>
        <w:rPr>
          <w:rFonts w:ascii="Arial" w:cs="Arial" w:eastAsia="Arial" w:hAnsi="Arial"/>
          <w:b/>
          <w:bCs/>
          <w:color w:val="007A5A"/>
          <w:sz w:val="22"/>
          <w:szCs w:val="22"/>
        </w:rPr>
        <w:t xml:space="preserve">B.3</w:t>
      </w:r>
      <w:r>
        <w:rPr>
          <w:rFonts w:ascii="Arial" w:cs="Arial" w:eastAsia="Arial" w:hAnsi="Arial"/>
          <w:color w:val="1A1A1A"/>
          <w:sz w:val="22"/>
          <w:szCs w:val="22"/>
        </w:rPr>
        <w:t xml:space="preserve">	The message pyramid — Is, Do, Means</w:t>
      </w:r>
    </w:p>
    <w:p>
      <w:pPr>
        <w:tabs>
          <w:tab w:val="left" w:pos="1000"/>
        </w:tabs>
        <w:spacing w:after="40"/>
      </w:pPr>
      <w:r>
        <w:rPr>
          <w:rFonts w:ascii="Arial" w:cs="Arial" w:eastAsia="Arial" w:hAnsi="Arial"/>
          <w:b/>
          <w:bCs/>
          <w:color w:val="007A5A"/>
          <w:sz w:val="22"/>
          <w:szCs w:val="22"/>
        </w:rPr>
        <w:t xml:space="preserve">B.4</w:t>
      </w:r>
      <w:r>
        <w:rPr>
          <w:rFonts w:ascii="Arial" w:cs="Arial" w:eastAsia="Arial" w:hAnsi="Arial"/>
          <w:color w:val="1A1A1A"/>
          <w:sz w:val="22"/>
          <w:szCs w:val="22"/>
        </w:rPr>
        <w:t xml:space="preserve">	The value-wedge test</w:t>
      </w:r>
    </w:p>
    <w:p>
      <w:pPr>
        <w:tabs>
          <w:tab w:val="left" w:pos="1000"/>
        </w:tabs>
        <w:spacing w:after="40"/>
      </w:pPr>
      <w:r>
        <w:rPr>
          <w:rFonts w:ascii="Arial" w:cs="Arial" w:eastAsia="Arial" w:hAnsi="Arial"/>
          <w:b/>
          <w:bCs/>
          <w:color w:val="007A5A"/>
          <w:sz w:val="22"/>
          <w:szCs w:val="22"/>
        </w:rPr>
        <w:t xml:space="preserve">Part C</w:t>
      </w:r>
      <w:r>
        <w:rPr>
          <w:rFonts w:ascii="Arial" w:cs="Arial" w:eastAsia="Arial" w:hAnsi="Arial"/>
          <w:color w:val="1A1A1A"/>
          <w:sz w:val="22"/>
          <w:szCs w:val="22"/>
        </w:rPr>
        <w:t xml:space="preserve">	The Marketing Workflow</w:t>
      </w:r>
    </w:p>
    <w:p>
      <w:pPr>
        <w:tabs>
          <w:tab w:val="left" w:pos="1000"/>
        </w:tabs>
        <w:spacing w:after="40"/>
      </w:pPr>
      <w:r>
        <w:rPr>
          <w:rFonts w:ascii="Arial" w:cs="Arial" w:eastAsia="Arial" w:hAnsi="Arial"/>
          <w:b/>
          <w:bCs/>
          <w:color w:val="007A5A"/>
          <w:sz w:val="22"/>
          <w:szCs w:val="22"/>
        </w:rPr>
        <w:t xml:space="preserve">C.1</w:t>
      </w:r>
      <w:r>
        <w:rPr>
          <w:rFonts w:ascii="Arial" w:cs="Arial" w:eastAsia="Arial" w:hAnsi="Arial"/>
          <w:color w:val="1A1A1A"/>
          <w:sz w:val="22"/>
          <w:szCs w:val="22"/>
        </w:rPr>
        <w:t xml:space="preserve">	Step 1 — Pick up the brief</w:t>
      </w:r>
    </w:p>
    <w:p>
      <w:pPr>
        <w:tabs>
          <w:tab w:val="left" w:pos="1000"/>
        </w:tabs>
        <w:spacing w:after="40"/>
      </w:pPr>
      <w:r>
        <w:rPr>
          <w:rFonts w:ascii="Arial" w:cs="Arial" w:eastAsia="Arial" w:hAnsi="Arial"/>
          <w:b/>
          <w:bCs/>
          <w:color w:val="007A5A"/>
          <w:sz w:val="22"/>
          <w:szCs w:val="22"/>
        </w:rPr>
        <w:t xml:space="preserve">C.2</w:t>
      </w:r>
      <w:r>
        <w:rPr>
          <w:rFonts w:ascii="Arial" w:cs="Arial" w:eastAsia="Arial" w:hAnsi="Arial"/>
          <w:color w:val="1A1A1A"/>
          <w:sz w:val="22"/>
          <w:szCs w:val="22"/>
        </w:rPr>
        <w:t xml:space="preserve">	Step 2 — Account and persona research</w:t>
      </w:r>
    </w:p>
    <w:p>
      <w:pPr>
        <w:tabs>
          <w:tab w:val="left" w:pos="1000"/>
        </w:tabs>
        <w:spacing w:after="40"/>
      </w:pPr>
      <w:r>
        <w:rPr>
          <w:rFonts w:ascii="Arial" w:cs="Arial" w:eastAsia="Arial" w:hAnsi="Arial"/>
          <w:b/>
          <w:bCs/>
          <w:color w:val="007A5A"/>
          <w:sz w:val="22"/>
          <w:szCs w:val="22"/>
        </w:rPr>
        <w:t xml:space="preserve">C.3</w:t>
      </w:r>
      <w:r>
        <w:rPr>
          <w:rFonts w:ascii="Arial" w:cs="Arial" w:eastAsia="Arial" w:hAnsi="Arial"/>
          <w:color w:val="1A1A1A"/>
          <w:sz w:val="22"/>
          <w:szCs w:val="22"/>
        </w:rPr>
        <w:t xml:space="preserve">	Step 3 — Draft using the right template</w:t>
      </w:r>
    </w:p>
    <w:p>
      <w:pPr>
        <w:tabs>
          <w:tab w:val="left" w:pos="1000"/>
        </w:tabs>
        <w:spacing w:after="40"/>
      </w:pPr>
      <w:r>
        <w:rPr>
          <w:rFonts w:ascii="Arial" w:cs="Arial" w:eastAsia="Arial" w:hAnsi="Arial"/>
          <w:b/>
          <w:bCs/>
          <w:color w:val="007A5A"/>
          <w:sz w:val="22"/>
          <w:szCs w:val="22"/>
        </w:rPr>
        <w:t xml:space="preserve">C.4</w:t>
      </w:r>
      <w:r>
        <w:rPr>
          <w:rFonts w:ascii="Arial" w:cs="Arial" w:eastAsia="Arial" w:hAnsi="Arial"/>
          <w:color w:val="1A1A1A"/>
          <w:sz w:val="22"/>
          <w:szCs w:val="22"/>
        </w:rPr>
        <w:t xml:space="preserve">	Step 4 — Self-QA against the checklist</w:t>
      </w:r>
    </w:p>
    <w:p>
      <w:pPr>
        <w:tabs>
          <w:tab w:val="left" w:pos="1000"/>
        </w:tabs>
        <w:spacing w:after="40"/>
      </w:pPr>
      <w:r>
        <w:rPr>
          <w:rFonts w:ascii="Arial" w:cs="Arial" w:eastAsia="Arial" w:hAnsi="Arial"/>
          <w:b/>
          <w:bCs/>
          <w:color w:val="007A5A"/>
          <w:sz w:val="22"/>
          <w:szCs w:val="22"/>
        </w:rPr>
        <w:t xml:space="preserve">C.5</w:t>
      </w:r>
      <w:r>
        <w:rPr>
          <w:rFonts w:ascii="Arial" w:cs="Arial" w:eastAsia="Arial" w:hAnsi="Arial"/>
          <w:color w:val="1A1A1A"/>
          <w:sz w:val="22"/>
          <w:szCs w:val="22"/>
        </w:rPr>
        <w:t xml:space="preserve">	Step 5 — Peer review</w:t>
      </w:r>
    </w:p>
    <w:p>
      <w:pPr>
        <w:tabs>
          <w:tab w:val="left" w:pos="1000"/>
        </w:tabs>
        <w:spacing w:after="40"/>
      </w:pPr>
      <w:r>
        <w:rPr>
          <w:rFonts w:ascii="Arial" w:cs="Arial" w:eastAsia="Arial" w:hAnsi="Arial"/>
          <w:b/>
          <w:bCs/>
          <w:color w:val="007A5A"/>
          <w:sz w:val="22"/>
          <w:szCs w:val="22"/>
        </w:rPr>
        <w:t xml:space="preserve">C.6</w:t>
      </w:r>
      <w:r>
        <w:rPr>
          <w:rFonts w:ascii="Arial" w:cs="Arial" w:eastAsia="Arial" w:hAnsi="Arial"/>
          <w:color w:val="1A1A1A"/>
          <w:sz w:val="22"/>
          <w:szCs w:val="22"/>
        </w:rPr>
        <w:t xml:space="preserve">	Step 6 — Onshore reviewer hand-off</w:t>
      </w:r>
    </w:p>
    <w:p>
      <w:pPr>
        <w:tabs>
          <w:tab w:val="left" w:pos="1000"/>
        </w:tabs>
        <w:spacing w:after="40"/>
      </w:pPr>
      <w:r>
        <w:rPr>
          <w:rFonts w:ascii="Arial" w:cs="Arial" w:eastAsia="Arial" w:hAnsi="Arial"/>
          <w:b/>
          <w:bCs/>
          <w:color w:val="007A5A"/>
          <w:sz w:val="22"/>
          <w:szCs w:val="22"/>
        </w:rPr>
        <w:t xml:space="preserve">C.7</w:t>
      </w:r>
      <w:r>
        <w:rPr>
          <w:rFonts w:ascii="Arial" w:cs="Arial" w:eastAsia="Arial" w:hAnsi="Arial"/>
          <w:color w:val="1A1A1A"/>
          <w:sz w:val="22"/>
          <w:szCs w:val="22"/>
        </w:rPr>
        <w:t xml:space="preserve">	Step 7 — Compliance clearance</w:t>
      </w:r>
    </w:p>
    <w:p>
      <w:pPr>
        <w:tabs>
          <w:tab w:val="left" w:pos="1000"/>
        </w:tabs>
        <w:spacing w:after="40"/>
      </w:pPr>
      <w:r>
        <w:rPr>
          <w:rFonts w:ascii="Arial" w:cs="Arial" w:eastAsia="Arial" w:hAnsi="Arial"/>
          <w:b/>
          <w:bCs/>
          <w:color w:val="007A5A"/>
          <w:sz w:val="22"/>
          <w:szCs w:val="22"/>
        </w:rPr>
        <w:t xml:space="preserve">C.8</w:t>
      </w:r>
      <w:r>
        <w:rPr>
          <w:rFonts w:ascii="Arial" w:cs="Arial" w:eastAsia="Arial" w:hAnsi="Arial"/>
          <w:color w:val="1A1A1A"/>
          <w:sz w:val="22"/>
          <w:szCs w:val="22"/>
        </w:rPr>
        <w:t xml:space="preserve">	Step 8 — Publish, send, archive</w:t>
      </w:r>
    </w:p>
    <w:p>
      <w:pPr>
        <w:tabs>
          <w:tab w:val="left" w:pos="1000"/>
        </w:tabs>
        <w:spacing w:after="40"/>
      </w:pPr>
      <w:r>
        <w:rPr>
          <w:rFonts w:ascii="Arial" w:cs="Arial" w:eastAsia="Arial" w:hAnsi="Arial"/>
          <w:b/>
          <w:bCs/>
          <w:color w:val="007A5A"/>
          <w:sz w:val="22"/>
          <w:szCs w:val="22"/>
        </w:rPr>
        <w:t xml:space="preserve">Part D</w:t>
      </w:r>
      <w:r>
        <w:rPr>
          <w:rFonts w:ascii="Arial" w:cs="Arial" w:eastAsia="Arial" w:hAnsi="Arial"/>
          <w:color w:val="1A1A1A"/>
          <w:sz w:val="22"/>
          <w:szCs w:val="22"/>
        </w:rPr>
        <w:t xml:space="preserve">	The Content Types You Will Build</w:t>
      </w:r>
    </w:p>
    <w:p>
      <w:pPr>
        <w:tabs>
          <w:tab w:val="left" w:pos="1000"/>
        </w:tabs>
        <w:spacing w:after="40"/>
      </w:pPr>
      <w:r>
        <w:rPr>
          <w:rFonts w:ascii="Arial" w:cs="Arial" w:eastAsia="Arial" w:hAnsi="Arial"/>
          <w:b/>
          <w:bCs/>
          <w:color w:val="007A5A"/>
          <w:sz w:val="22"/>
          <w:szCs w:val="22"/>
        </w:rPr>
        <w:t xml:space="preserve">D.1</w:t>
      </w:r>
      <w:r>
        <w:rPr>
          <w:rFonts w:ascii="Arial" w:cs="Arial" w:eastAsia="Arial" w:hAnsi="Arial"/>
          <w:color w:val="1A1A1A"/>
          <w:sz w:val="22"/>
          <w:szCs w:val="22"/>
        </w:rPr>
        <w:t xml:space="preserve">	Account one-pager</w:t>
      </w:r>
    </w:p>
    <w:p>
      <w:pPr>
        <w:tabs>
          <w:tab w:val="left" w:pos="1000"/>
        </w:tabs>
        <w:spacing w:after="40"/>
      </w:pPr>
      <w:r>
        <w:rPr>
          <w:rFonts w:ascii="Arial" w:cs="Arial" w:eastAsia="Arial" w:hAnsi="Arial"/>
          <w:b/>
          <w:bCs/>
          <w:color w:val="007A5A"/>
          <w:sz w:val="22"/>
          <w:szCs w:val="22"/>
        </w:rPr>
        <w:t xml:space="preserve">D.2</w:t>
      </w:r>
      <w:r>
        <w:rPr>
          <w:rFonts w:ascii="Arial" w:cs="Arial" w:eastAsia="Arial" w:hAnsi="Arial"/>
          <w:color w:val="1A1A1A"/>
          <w:sz w:val="22"/>
          <w:szCs w:val="22"/>
        </w:rPr>
        <w:t xml:space="preserve">	Persona-tuned cold email and LinkedIn message</w:t>
      </w:r>
    </w:p>
    <w:p>
      <w:pPr>
        <w:tabs>
          <w:tab w:val="left" w:pos="1000"/>
        </w:tabs>
        <w:spacing w:after="40"/>
      </w:pPr>
      <w:r>
        <w:rPr>
          <w:rFonts w:ascii="Arial" w:cs="Arial" w:eastAsia="Arial" w:hAnsi="Arial"/>
          <w:b/>
          <w:bCs/>
          <w:color w:val="007A5A"/>
          <w:sz w:val="22"/>
          <w:szCs w:val="22"/>
        </w:rPr>
        <w:t xml:space="preserve">D.3</w:t>
      </w:r>
      <w:r>
        <w:rPr>
          <w:rFonts w:ascii="Arial" w:cs="Arial" w:eastAsia="Arial" w:hAnsi="Arial"/>
          <w:color w:val="1A1A1A"/>
          <w:sz w:val="22"/>
          <w:szCs w:val="22"/>
        </w:rPr>
        <w:t xml:space="preserve">	Industry primer and point-of-view post</w:t>
      </w:r>
    </w:p>
    <w:p>
      <w:pPr>
        <w:tabs>
          <w:tab w:val="left" w:pos="1000"/>
        </w:tabs>
        <w:spacing w:after="40"/>
      </w:pPr>
      <w:r>
        <w:rPr>
          <w:rFonts w:ascii="Arial" w:cs="Arial" w:eastAsia="Arial" w:hAnsi="Arial"/>
          <w:b/>
          <w:bCs/>
          <w:color w:val="007A5A"/>
          <w:sz w:val="22"/>
          <w:szCs w:val="22"/>
        </w:rPr>
        <w:t xml:space="preserve">D.4</w:t>
      </w:r>
      <w:r>
        <w:rPr>
          <w:rFonts w:ascii="Arial" w:cs="Arial" w:eastAsia="Arial" w:hAnsi="Arial"/>
          <w:color w:val="1A1A1A"/>
          <w:sz w:val="22"/>
          <w:szCs w:val="22"/>
        </w:rPr>
        <w:t xml:space="preserve">	Meeting prep pack</w:t>
      </w:r>
    </w:p>
    <w:p>
      <w:pPr>
        <w:tabs>
          <w:tab w:val="left" w:pos="1000"/>
        </w:tabs>
        <w:spacing w:after="40"/>
      </w:pPr>
      <w:r>
        <w:rPr>
          <w:rFonts w:ascii="Arial" w:cs="Arial" w:eastAsia="Arial" w:hAnsi="Arial"/>
          <w:b/>
          <w:bCs/>
          <w:color w:val="007A5A"/>
          <w:sz w:val="22"/>
          <w:szCs w:val="22"/>
        </w:rPr>
        <w:t xml:space="preserve">D.5</w:t>
      </w:r>
      <w:r>
        <w:rPr>
          <w:rFonts w:ascii="Arial" w:cs="Arial" w:eastAsia="Arial" w:hAnsi="Arial"/>
          <w:color w:val="1A1A1A"/>
          <w:sz w:val="22"/>
          <w:szCs w:val="22"/>
        </w:rPr>
        <w:t xml:space="preserve">	Nurture and follow-up sequence</w:t>
      </w:r>
    </w:p>
    <w:p>
      <w:pPr>
        <w:tabs>
          <w:tab w:val="left" w:pos="1000"/>
        </w:tabs>
        <w:spacing w:after="40"/>
      </w:pPr>
      <w:r>
        <w:rPr>
          <w:rFonts w:ascii="Arial" w:cs="Arial" w:eastAsia="Arial" w:hAnsi="Arial"/>
          <w:b/>
          <w:bCs/>
          <w:color w:val="007A5A"/>
          <w:sz w:val="22"/>
          <w:szCs w:val="22"/>
        </w:rPr>
        <w:t xml:space="preserve">D.6</w:t>
      </w:r>
      <w:r>
        <w:rPr>
          <w:rFonts w:ascii="Arial" w:cs="Arial" w:eastAsia="Arial" w:hAnsi="Arial"/>
          <w:color w:val="1A1A1A"/>
          <w:sz w:val="22"/>
          <w:szCs w:val="22"/>
        </w:rPr>
        <w:t xml:space="preserve">	Objection-handling snippet</w:t>
      </w:r>
    </w:p>
    <w:p>
      <w:pPr>
        <w:tabs>
          <w:tab w:val="left" w:pos="1000"/>
        </w:tabs>
        <w:spacing w:after="40"/>
      </w:pPr>
      <w:r>
        <w:rPr>
          <w:rFonts w:ascii="Arial" w:cs="Arial" w:eastAsia="Arial" w:hAnsi="Arial"/>
          <w:b/>
          <w:bCs/>
          <w:color w:val="007A5A"/>
          <w:sz w:val="22"/>
          <w:szCs w:val="22"/>
        </w:rPr>
        <w:t xml:space="preserve">D.7</w:t>
      </w:r>
      <w:r>
        <w:rPr>
          <w:rFonts w:ascii="Arial" w:cs="Arial" w:eastAsia="Arial" w:hAnsi="Arial"/>
          <w:color w:val="1A1A1A"/>
          <w:sz w:val="22"/>
          <w:szCs w:val="22"/>
        </w:rPr>
        <w:t xml:space="preserve">	Case-study adaptation</w:t>
      </w:r>
    </w:p>
    <w:p>
      <w:pPr>
        <w:tabs>
          <w:tab w:val="left" w:pos="1000"/>
        </w:tabs>
        <w:spacing w:after="40"/>
      </w:pPr>
      <w:r>
        <w:rPr>
          <w:rFonts w:ascii="Arial" w:cs="Arial" w:eastAsia="Arial" w:hAnsi="Arial"/>
          <w:b/>
          <w:bCs/>
          <w:color w:val="007A5A"/>
          <w:sz w:val="22"/>
          <w:szCs w:val="22"/>
        </w:rPr>
        <w:t xml:space="preserve">Part E</w:t>
      </w:r>
      <w:r>
        <w:rPr>
          <w:rFonts w:ascii="Arial" w:cs="Arial" w:eastAsia="Arial" w:hAnsi="Arial"/>
          <w:color w:val="1A1A1A"/>
          <w:sz w:val="22"/>
          <w:szCs w:val="22"/>
        </w:rPr>
        <w:t xml:space="preserve">	Templates and Checklists</w:t>
      </w:r>
    </w:p>
    <w:p>
      <w:pPr>
        <w:tabs>
          <w:tab w:val="left" w:pos="1000"/>
        </w:tabs>
        <w:spacing w:after="40"/>
      </w:pPr>
      <w:r>
        <w:rPr>
          <w:rFonts w:ascii="Arial" w:cs="Arial" w:eastAsia="Arial" w:hAnsi="Arial"/>
          <w:b/>
          <w:bCs/>
          <w:color w:val="007A5A"/>
          <w:sz w:val="22"/>
          <w:szCs w:val="22"/>
        </w:rPr>
        <w:t xml:space="preserve">E.1</w:t>
      </w:r>
      <w:r>
        <w:rPr>
          <w:rFonts w:ascii="Arial" w:cs="Arial" w:eastAsia="Arial" w:hAnsi="Arial"/>
          <w:color w:val="1A1A1A"/>
          <w:sz w:val="22"/>
          <w:szCs w:val="22"/>
        </w:rPr>
        <w:t xml:space="preserve">	Why Change Planner</w:t>
      </w:r>
    </w:p>
    <w:p>
      <w:pPr>
        <w:tabs>
          <w:tab w:val="left" w:pos="1000"/>
        </w:tabs>
        <w:spacing w:after="40"/>
      </w:pPr>
      <w:r>
        <w:rPr>
          <w:rFonts w:ascii="Arial" w:cs="Arial" w:eastAsia="Arial" w:hAnsi="Arial"/>
          <w:b/>
          <w:bCs/>
          <w:color w:val="007A5A"/>
          <w:sz w:val="22"/>
          <w:szCs w:val="22"/>
        </w:rPr>
        <w:t xml:space="preserve">E.2</w:t>
      </w:r>
      <w:r>
        <w:rPr>
          <w:rFonts w:ascii="Arial" w:cs="Arial" w:eastAsia="Arial" w:hAnsi="Arial"/>
          <w:color w:val="1A1A1A"/>
          <w:sz w:val="22"/>
          <w:szCs w:val="22"/>
        </w:rPr>
        <w:t xml:space="preserve">	Why Evolve Planner</w:t>
      </w:r>
    </w:p>
    <w:p>
      <w:pPr>
        <w:tabs>
          <w:tab w:val="left" w:pos="1000"/>
        </w:tabs>
        <w:spacing w:after="40"/>
      </w:pPr>
      <w:r>
        <w:rPr>
          <w:rFonts w:ascii="Arial" w:cs="Arial" w:eastAsia="Arial" w:hAnsi="Arial"/>
          <w:b/>
          <w:bCs/>
          <w:color w:val="007A5A"/>
          <w:sz w:val="22"/>
          <w:szCs w:val="22"/>
        </w:rPr>
        <w:t xml:space="preserve">E.3</w:t>
      </w:r>
      <w:r>
        <w:rPr>
          <w:rFonts w:ascii="Arial" w:cs="Arial" w:eastAsia="Arial" w:hAnsi="Arial"/>
          <w:color w:val="1A1A1A"/>
          <w:sz w:val="22"/>
          <w:szCs w:val="22"/>
        </w:rPr>
        <w:t xml:space="preserve">	Message Pyramid template</w:t>
      </w:r>
    </w:p>
    <w:p>
      <w:pPr>
        <w:tabs>
          <w:tab w:val="left" w:pos="1000"/>
        </w:tabs>
        <w:spacing w:after="40"/>
      </w:pPr>
      <w:r>
        <w:rPr>
          <w:rFonts w:ascii="Arial" w:cs="Arial" w:eastAsia="Arial" w:hAnsi="Arial"/>
          <w:b/>
          <w:bCs/>
          <w:color w:val="007A5A"/>
          <w:sz w:val="22"/>
          <w:szCs w:val="22"/>
        </w:rPr>
        <w:t xml:space="preserve">E.4</w:t>
      </w:r>
      <w:r>
        <w:rPr>
          <w:rFonts w:ascii="Arial" w:cs="Arial" w:eastAsia="Arial" w:hAnsi="Arial"/>
          <w:color w:val="1A1A1A"/>
          <w:sz w:val="22"/>
          <w:szCs w:val="22"/>
        </w:rPr>
        <w:t xml:space="preserve">	Self-QA checklist</w:t>
      </w:r>
    </w:p>
    <w:p>
      <w:pPr>
        <w:tabs>
          <w:tab w:val="left" w:pos="1000"/>
        </w:tabs>
        <w:spacing w:after="40"/>
      </w:pPr>
      <w:r>
        <w:rPr>
          <w:rFonts w:ascii="Arial" w:cs="Arial" w:eastAsia="Arial" w:hAnsi="Arial"/>
          <w:b/>
          <w:bCs/>
          <w:color w:val="007A5A"/>
          <w:sz w:val="22"/>
          <w:szCs w:val="22"/>
        </w:rPr>
        <w:t xml:space="preserve">E.5</w:t>
      </w:r>
      <w:r>
        <w:rPr>
          <w:rFonts w:ascii="Arial" w:cs="Arial" w:eastAsia="Arial" w:hAnsi="Arial"/>
          <w:color w:val="1A1A1A"/>
          <w:sz w:val="22"/>
          <w:szCs w:val="22"/>
        </w:rPr>
        <w:t xml:space="preserve">	Independence language checklist</w:t>
      </w:r>
    </w:p>
    <w:p>
      <w:pPr>
        <w:tabs>
          <w:tab w:val="left" w:pos="1000"/>
        </w:tabs>
        <w:spacing w:after="40"/>
      </w:pPr>
      <w:r>
        <w:rPr>
          <w:rFonts w:ascii="Arial" w:cs="Arial" w:eastAsia="Arial" w:hAnsi="Arial"/>
          <w:b/>
          <w:bCs/>
          <w:color w:val="007A5A"/>
          <w:sz w:val="22"/>
          <w:szCs w:val="22"/>
        </w:rPr>
        <w:t xml:space="preserve">E.6</w:t>
      </w:r>
      <w:r>
        <w:rPr>
          <w:rFonts w:ascii="Arial" w:cs="Arial" w:eastAsia="Arial" w:hAnsi="Arial"/>
          <w:color w:val="1A1A1A"/>
          <w:sz w:val="22"/>
          <w:szCs w:val="22"/>
        </w:rPr>
        <w:t xml:space="preserve">	Red-flag and green-flag account screener</w:t>
      </w:r>
    </w:p>
    <w:p>
      <w:pPr>
        <w:tabs>
          <w:tab w:val="left" w:pos="1000"/>
        </w:tabs>
        <w:spacing w:after="40"/>
      </w:pPr>
      <w:r>
        <w:rPr>
          <w:rFonts w:ascii="Arial" w:cs="Arial" w:eastAsia="Arial" w:hAnsi="Arial"/>
          <w:b/>
          <w:bCs/>
          <w:color w:val="007A5A"/>
          <w:sz w:val="22"/>
          <w:szCs w:val="22"/>
        </w:rPr>
        <w:t xml:space="preserve">Part F</w:t>
      </w:r>
      <w:r>
        <w:rPr>
          <w:rFonts w:ascii="Arial" w:cs="Arial" w:eastAsia="Arial" w:hAnsi="Arial"/>
          <w:color w:val="1A1A1A"/>
          <w:sz w:val="22"/>
          <w:szCs w:val="22"/>
        </w:rPr>
        <w:t xml:space="preserve">	What You Must Never Do</w:t>
      </w:r>
    </w:p>
    <w:p>
      <w:pPr>
        <w:tabs>
          <w:tab w:val="left" w:pos="1000"/>
        </w:tabs>
        <w:spacing w:after="40"/>
      </w:pPr>
      <w:r>
        <w:rPr>
          <w:rFonts w:ascii="Arial" w:cs="Arial" w:eastAsia="Arial" w:hAnsi="Arial"/>
          <w:b/>
          <w:bCs/>
          <w:color w:val="007A5A"/>
          <w:sz w:val="22"/>
          <w:szCs w:val="22"/>
        </w:rPr>
        <w:t xml:space="preserve">F.1</w:t>
      </w:r>
      <w:r>
        <w:rPr>
          <w:rFonts w:ascii="Arial" w:cs="Arial" w:eastAsia="Arial" w:hAnsi="Arial"/>
          <w:color w:val="1A1A1A"/>
          <w:sz w:val="22"/>
          <w:szCs w:val="22"/>
        </w:rPr>
        <w:t xml:space="preserve">	Forbidden language list</w:t>
      </w:r>
    </w:p>
    <w:p>
      <w:pPr>
        <w:tabs>
          <w:tab w:val="left" w:pos="1000"/>
        </w:tabs>
        <w:spacing w:after="40"/>
      </w:pPr>
      <w:r>
        <w:rPr>
          <w:rFonts w:ascii="Arial" w:cs="Arial" w:eastAsia="Arial" w:hAnsi="Arial"/>
          <w:b/>
          <w:bCs/>
          <w:color w:val="007A5A"/>
          <w:sz w:val="22"/>
          <w:szCs w:val="22"/>
        </w:rPr>
        <w:t xml:space="preserve">F.2</w:t>
      </w:r>
      <w:r>
        <w:rPr>
          <w:rFonts w:ascii="Arial" w:cs="Arial" w:eastAsia="Arial" w:hAnsi="Arial"/>
          <w:color w:val="1A1A1A"/>
          <w:sz w:val="22"/>
          <w:szCs w:val="22"/>
        </w:rPr>
        <w:t xml:space="preserve">	Actions requiring onshore approval</w:t>
      </w:r>
    </w:p>
    <w:p>
      <w:pPr>
        <w:tabs>
          <w:tab w:val="left" w:pos="1000"/>
        </w:tabs>
        <w:spacing w:after="40"/>
      </w:pPr>
      <w:r>
        <w:rPr>
          <w:rFonts w:ascii="Arial" w:cs="Arial" w:eastAsia="Arial" w:hAnsi="Arial"/>
          <w:b/>
          <w:bCs/>
          <w:color w:val="007A5A"/>
          <w:sz w:val="22"/>
          <w:szCs w:val="22"/>
        </w:rPr>
        <w:t xml:space="preserve">F.3</w:t>
      </w:r>
      <w:r>
        <w:rPr>
          <w:rFonts w:ascii="Arial" w:cs="Arial" w:eastAsia="Arial" w:hAnsi="Arial"/>
          <w:color w:val="1A1A1A"/>
          <w:sz w:val="22"/>
          <w:szCs w:val="22"/>
        </w:rPr>
        <w:t xml:space="preserve">	Actions requiring Independence Office clearance</w:t>
      </w:r>
    </w:p>
    <w:p>
      <w:pPr>
        <w:tabs>
          <w:tab w:val="left" w:pos="1000"/>
        </w:tabs>
        <w:spacing w:after="40"/>
      </w:pPr>
      <w:r>
        <w:rPr>
          <w:rFonts w:ascii="Arial" w:cs="Arial" w:eastAsia="Arial" w:hAnsi="Arial"/>
          <w:b/>
          <w:bCs/>
          <w:color w:val="007A5A"/>
          <w:sz w:val="22"/>
          <w:szCs w:val="22"/>
        </w:rPr>
        <w:t xml:space="preserve">F.4</w:t>
      </w:r>
      <w:r>
        <w:rPr>
          <w:rFonts w:ascii="Arial" w:cs="Arial" w:eastAsia="Arial" w:hAnsi="Arial"/>
          <w:color w:val="1A1A1A"/>
          <w:sz w:val="22"/>
          <w:szCs w:val="22"/>
        </w:rPr>
        <w:t xml:space="preserve">	Escalation paths</w:t>
      </w:r>
    </w:p>
    <w:p>
      <w:pPr>
        <w:tabs>
          <w:tab w:val="left" w:pos="1000"/>
        </w:tabs>
        <w:spacing w:after="40"/>
      </w:pPr>
      <w:r>
        <w:rPr>
          <w:rFonts w:ascii="Arial" w:cs="Arial" w:eastAsia="Arial" w:hAnsi="Arial"/>
          <w:b/>
          <w:bCs/>
          <w:color w:val="007A5A"/>
          <w:sz w:val="22"/>
          <w:szCs w:val="22"/>
        </w:rPr>
        <w:t xml:space="preserve">Part G</w:t>
      </w:r>
      <w:r>
        <w:rPr>
          <w:rFonts w:ascii="Arial" w:cs="Arial" w:eastAsia="Arial" w:hAnsi="Arial"/>
          <w:color w:val="1A1A1A"/>
          <w:sz w:val="22"/>
          <w:szCs w:val="22"/>
        </w:rPr>
        <w:t xml:space="preserve">	Your First 30 Days</w:t>
      </w:r>
    </w:p>
    <w:p>
      <w:pPr>
        <w:pStyle w:val="Heading1"/>
        <w:pageBreakBefore/>
        <w:spacing w:after="240" w:before="0"/>
      </w:pPr>
      <w:r>
        <w:rPr>
          <w:rFonts w:ascii="Arial" w:cs="Arial" w:eastAsia="Arial" w:hAnsi="Arial"/>
          <w:b/>
          <w:bCs/>
          <w:color w:val="004B38"/>
          <w:sz w:val="36"/>
          <w:szCs w:val="36"/>
        </w:rPr>
        <w:t xml:space="preserve">Part A. Foundations</w:t>
      </w:r>
    </w:p>
    <w:p>
      <w:pPr>
        <w:spacing w:after="120" w:line="300"/>
      </w:pPr>
      <w:r>
        <w:rPr>
          <w:rFonts w:ascii="Arial" w:cs="Arial" w:eastAsia="Arial" w:hAnsi="Arial"/>
          <w:sz w:val="22"/>
          <w:szCs w:val="22"/>
        </w:rPr>
        <w:t xml:space="preserve">You are joining a high-stakes motion. APEX is how Deloitte's Microsoft practice wins and delivers agentic AI on the Microsoft platform. Before you produce a single artifact, you need the shared mental model in this section. Read Part A slowly. Re-read Section A.4 every week.</w:t>
      </w:r>
    </w:p>
    <w:p>
      <w:pPr>
        <w:pStyle w:val="Heading2"/>
        <w:spacing w:after="160" w:before="320"/>
      </w:pPr>
      <w:r>
        <w:rPr>
          <w:rFonts w:ascii="Arial" w:cs="Arial" w:eastAsia="Arial" w:hAnsi="Arial"/>
          <w:b/>
          <w:bCs/>
          <w:color w:val="1A1A1A"/>
          <w:sz w:val="28"/>
          <w:szCs w:val="28"/>
        </w:rPr>
        <w:t xml:space="preserve">A.1  Purpose and scope of this playbook</w:t>
      </w:r>
    </w:p>
    <w:p>
      <w:pPr>
        <w:spacing w:after="120" w:line="300"/>
      </w:pPr>
      <w:r>
        <w:rPr>
          <w:rFonts w:ascii="Arial" w:cs="Arial" w:eastAsia="Arial" w:hAnsi="Arial"/>
          <w:sz w:val="22"/>
          <w:szCs w:val="22"/>
        </w:rPr>
        <w:t xml:space="preserve">This playbook exists to turn a capable offshore contributor into a productive APEX marketing contributor in thirty days. It defines the workflow, the content types, the templates, the guardrails, and the review gates. It is deliberately narrow — you will not find delivery methodology, architecture, or pricing here. For that, you will be pointed at the APEX Sellers Guide under onshore supervision.</w:t>
      </w:r>
    </w:p>
    <w:p>
      <w:pPr>
        <w:spacing w:after="120" w:line="300"/>
      </w:pPr>
      <w:r>
        <w:rPr>
          <w:rFonts w:ascii="Arial" w:cs="Arial" w:eastAsia="Arial" w:hAnsi="Arial"/>
          <w:sz w:val="22"/>
          <w:szCs w:val="22"/>
        </w:rPr>
        <w:t xml:space="preserve">What this playbook covers:</w:t>
      </w:r>
    </w:p>
    <w:p>
      <w:pPr>
        <w:pStyle w:val="ListParagraph"/>
        <w:numPr>
          <w:ilvl w:val="0"/>
          <w:numId w:val="2"/>
        </w:numPr>
        <w:spacing w:after="80" w:line="280"/>
      </w:pPr>
      <w:r>
        <w:rPr>
          <w:rFonts w:ascii="Arial" w:cs="Arial" w:eastAsia="Arial" w:hAnsi="Arial"/>
          <w:sz w:val="22"/>
          <w:szCs w:val="22"/>
        </w:rPr>
        <w:t xml:space="preserve">The full marketing workflow from brief to archive</w:t>
      </w:r>
    </w:p>
    <w:p>
      <w:pPr>
        <w:pStyle w:val="ListParagraph"/>
        <w:numPr>
          <w:ilvl w:val="0"/>
          <w:numId w:val="2"/>
        </w:numPr>
        <w:spacing w:after="80" w:line="280"/>
      </w:pPr>
      <w:r>
        <w:rPr>
          <w:rFonts w:ascii="Arial" w:cs="Arial" w:eastAsia="Arial" w:hAnsi="Arial"/>
          <w:sz w:val="22"/>
          <w:szCs w:val="22"/>
        </w:rPr>
        <w:t xml:space="preserve">The seven content types you are authorized to produce in draft form</w:t>
      </w:r>
    </w:p>
    <w:p>
      <w:pPr>
        <w:pStyle w:val="ListParagraph"/>
        <w:numPr>
          <w:ilvl w:val="0"/>
          <w:numId w:val="2"/>
        </w:numPr>
        <w:spacing w:after="80" w:line="280"/>
      </w:pPr>
      <w:r>
        <w:rPr>
          <w:rFonts w:ascii="Arial" w:cs="Arial" w:eastAsia="Arial" w:hAnsi="Arial"/>
          <w:sz w:val="22"/>
          <w:szCs w:val="22"/>
        </w:rPr>
        <w:t xml:space="preserve">The Corporate Visions selling methodology in the minimal form you need</w:t>
      </w:r>
    </w:p>
    <w:p>
      <w:pPr>
        <w:pStyle w:val="ListParagraph"/>
        <w:numPr>
          <w:ilvl w:val="0"/>
          <w:numId w:val="2"/>
        </w:numPr>
        <w:spacing w:after="80" w:line="280"/>
      </w:pPr>
      <w:r>
        <w:rPr>
          <w:rFonts w:ascii="Arial" w:cs="Arial" w:eastAsia="Arial" w:hAnsi="Arial"/>
          <w:sz w:val="22"/>
          <w:szCs w:val="22"/>
        </w:rPr>
        <w:t xml:space="preserve">The Independence language rules you will follow without exception</w:t>
      </w:r>
    </w:p>
    <w:p>
      <w:pPr>
        <w:pStyle w:val="ListParagraph"/>
        <w:numPr>
          <w:ilvl w:val="0"/>
          <w:numId w:val="2"/>
        </w:numPr>
        <w:spacing w:after="80" w:line="280"/>
      </w:pPr>
      <w:r>
        <w:rPr>
          <w:rFonts w:ascii="Arial" w:cs="Arial" w:eastAsia="Arial" w:hAnsi="Arial"/>
          <w:sz w:val="22"/>
          <w:szCs w:val="22"/>
        </w:rPr>
        <w:t xml:space="preserve">The review gates that stand between your draft and any external distribution</w:t>
      </w:r>
    </w:p>
    <w:p>
      <w:pPr>
        <w:spacing w:after="120" w:line="300"/>
      </w:pPr>
      <w:r>
        <w:rPr>
          <w:rFonts w:ascii="Arial" w:cs="Arial" w:eastAsia="Arial" w:hAnsi="Arial"/>
          <w:sz w:val="22"/>
          <w:szCs w:val="22"/>
        </w:rPr>
        <w:t xml:space="preserve">What this playbook does not cover:</w:t>
      </w:r>
    </w:p>
    <w:p>
      <w:pPr>
        <w:pStyle w:val="ListParagraph"/>
        <w:numPr>
          <w:ilvl w:val="0"/>
          <w:numId w:val="2"/>
        </w:numPr>
        <w:spacing w:after="80" w:line="280"/>
      </w:pPr>
      <w:r>
        <w:rPr>
          <w:rFonts w:ascii="Arial" w:cs="Arial" w:eastAsia="Arial" w:hAnsi="Arial"/>
          <w:sz w:val="22"/>
          <w:szCs w:val="22"/>
        </w:rPr>
        <w:t xml:space="preserve">Client-facing sales conversations — you will never have these</w:t>
      </w:r>
    </w:p>
    <w:p>
      <w:pPr>
        <w:pStyle w:val="ListParagraph"/>
        <w:numPr>
          <w:ilvl w:val="0"/>
          <w:numId w:val="2"/>
        </w:numPr>
        <w:spacing w:after="80" w:line="280"/>
      </w:pPr>
      <w:r>
        <w:rPr>
          <w:rFonts w:ascii="Arial" w:cs="Arial" w:eastAsia="Arial" w:hAnsi="Arial"/>
          <w:sz w:val="22"/>
          <w:szCs w:val="22"/>
        </w:rPr>
        <w:t xml:space="preserve">Pricing, SOW language, or commercial negotiation</w:t>
      </w:r>
    </w:p>
    <w:p>
      <w:pPr>
        <w:pStyle w:val="ListParagraph"/>
        <w:numPr>
          <w:ilvl w:val="0"/>
          <w:numId w:val="2"/>
        </w:numPr>
        <w:spacing w:after="80" w:line="280"/>
      </w:pPr>
      <w:r>
        <w:rPr>
          <w:rFonts w:ascii="Arial" w:cs="Arial" w:eastAsia="Arial" w:hAnsi="Arial"/>
          <w:sz w:val="22"/>
          <w:szCs w:val="22"/>
        </w:rPr>
        <w:t xml:space="preserve">Technical architecture details beyond the positioning level</w:t>
      </w:r>
    </w:p>
    <w:p>
      <w:pPr>
        <w:pStyle w:val="ListParagraph"/>
        <w:numPr>
          <w:ilvl w:val="0"/>
          <w:numId w:val="2"/>
        </w:numPr>
        <w:spacing w:after="80" w:line="280"/>
      </w:pPr>
      <w:r>
        <w:rPr>
          <w:rFonts w:ascii="Arial" w:cs="Arial" w:eastAsia="Arial" w:hAnsi="Arial"/>
          <w:sz w:val="22"/>
          <w:szCs w:val="22"/>
        </w:rPr>
        <w:t xml:space="preserve">Any activity requiring direct Microsoft or client contact</w:t>
      </w:r>
    </w:p>
    <w:p>
      <w:pPr>
        <w:pStyle w:val="Heading2"/>
        <w:spacing w:after="160" w:before="320"/>
      </w:pPr>
      <w:r>
        <w:rPr>
          <w:rFonts w:ascii="Arial" w:cs="Arial" w:eastAsia="Arial" w:hAnsi="Arial"/>
          <w:b/>
          <w:bCs/>
          <w:color w:val="1A1A1A"/>
          <w:sz w:val="28"/>
          <w:szCs w:val="28"/>
        </w:rPr>
        <w:t xml:space="preserve">A.2  What APEX is — and what it is not</w:t>
      </w:r>
    </w:p>
    <w:p>
      <w:pPr>
        <w:spacing w:after="120" w:line="300"/>
      </w:pPr>
      <w:r>
        <w:rPr>
          <w:rFonts w:ascii="Arial" w:cs="Arial" w:eastAsia="Arial" w:hAnsi="Arial"/>
          <w:b/>
          <w:bCs/>
          <w:sz w:val="22"/>
          <w:szCs w:val="22"/>
        </w:rPr>
        <w:t xml:space="preserve">APEX stands for Agentic Platform for Enterprise eXecution. </w:t>
      </w:r>
      <w:r>
        <w:rPr>
          <w:rFonts w:ascii="Arial" w:cs="Arial" w:eastAsia="Arial" w:hAnsi="Arial"/>
          <w:sz w:val="22"/>
          <w:szCs w:val="22"/>
        </w:rPr>
        <w:t xml:space="preserve">It is Deloitte's internal delivery accelerator for agentic AI engagements on the Microsoft platform. The following distinction is the single most important thing you will learn in this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C8C8C8" w:sz="4"/>
              <w:bottom w:val="single" w:color="C8C8C8" w:sz="4"/>
              <w:right w:val="single" w:color="C8C8C8" w:sz="4"/>
            </w:tcBorders>
            <w:shd w:fill="FDF3E0" w:val="clear"/>
            <w:tcMar>
              <w:top w:type="dxa" w:w="140"/>
              <w:left w:type="dxa" w:w="200"/>
              <w:bottom w:type="dxa" w:w="140"/>
              <w:right w:type="dxa" w:w="200"/>
            </w:tcMar>
          </w:tcPr>
          <w:p>
            <w:pPr>
              <w:spacing w:after="60"/>
            </w:pPr>
            <w:r>
              <w:rPr>
                <w:rFonts w:ascii="Arial" w:cs="Arial" w:eastAsia="Arial" w:hAnsi="Arial"/>
                <w:b/>
                <w:bCs/>
                <w:color w:val="B8860B"/>
                <w:spacing w:val="20"/>
                <w:sz w:val="18"/>
                <w:szCs w:val="18"/>
              </w:rPr>
              <w:t xml:space="preserve">CRITICAL DISTINCTION — MEMORIZE THIS</w:t>
            </w:r>
          </w:p>
          <w:p>
            <w:pPr>
              <w:spacing w:after="120" w:line="300"/>
            </w:pPr>
            <w:r>
              <w:rPr>
                <w:rFonts w:ascii="Arial" w:cs="Arial" w:eastAsia="Arial" w:hAnsi="Arial"/>
                <w:b/>
                <w:bCs/>
                <w:sz w:val="22"/>
                <w:szCs w:val="22"/>
              </w:rPr>
              <w:t xml:space="preserve">APEX is an internal Deloitte accelerator. </w:t>
            </w:r>
            <w:r>
              <w:rPr>
                <w:rFonts w:ascii="Arial" w:cs="Arial" w:eastAsia="Arial" w:hAnsi="Arial"/>
                <w:sz w:val="22"/>
                <w:szCs w:val="22"/>
              </w:rPr>
              <w:t xml:space="preserve">Clients do not license APEX. Clients do not buy APEX. Clients never see “APEX” on an invoice, a contract, or a statement of work.</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What clients license and buy: </w:t>
            </w:r>
            <w:r>
              <w:rPr>
                <w:rFonts w:ascii="Arial" w:cs="Arial" w:eastAsia="Arial" w:hAnsi="Arial"/>
                <w:sz w:val="22"/>
                <w:szCs w:val="22"/>
              </w:rPr>
              <w:t xml:space="preserve">(1) Microsoft platform capacity from Microsoft — Fabric, Azure AI Foundry, Purview, Entra, Copilot. (2) Agent-delivery services from Deloitte — discovery, design, build, run.</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Where APEX fits: </w:t>
            </w:r>
            <w:r>
              <w:rPr>
                <w:rFonts w:ascii="Arial" w:cs="Arial" w:eastAsia="Arial" w:hAnsi="Arial"/>
                <w:sz w:val="22"/>
                <w:szCs w:val="22"/>
              </w:rPr>
              <w:t xml:space="preserve">APEX is how Deloitte delivers those services faster and more reliably. It is a private methodology, a set of canonical schemas, orchestration patterns, and accumulated reference assets. You may reference APEX by name inside Deloitte. You will be careful about when and how it is named externally.</w:t>
            </w:r>
          </w:p>
        </w:tc>
      </w:tr>
    </w:tbl>
    <w:p>
      <w:pPr>
        <w:pStyle w:val="Heading3"/>
        <w:spacing w:after="100" w:before="220"/>
      </w:pPr>
      <w:r>
        <w:rPr>
          <w:rFonts w:ascii="Arial" w:cs="Arial" w:eastAsia="Arial" w:hAnsi="Arial"/>
          <w:b/>
          <w:bCs/>
          <w:color w:val="004B38"/>
          <w:sz w:val="24"/>
          <w:szCs w:val="24"/>
        </w:rPr>
        <w:t xml:space="preserve">The two-contract model,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Contract</w:t>
            </w:r>
          </w:p>
        </w:tc>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Who signs it</w:t>
            </w:r>
          </w:p>
        </w:tc>
        <w:tc>
          <w:tcPr>
            <w:tcW w:type="dxa" w:w="5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it covers</w:t>
            </w:r>
          </w:p>
        </w:tc>
      </w:tr>
      <w:tr>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Contract 1</w:t>
            </w:r>
          </w:p>
        </w:tc>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Client with Microsoft</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Platform capacity — Fabric, Foundry, Purview, Entra, Copilot licenses</w:t>
            </w:r>
          </w:p>
        </w:tc>
      </w:tr>
      <w:tr>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Contract 2</w:t>
            </w:r>
          </w:p>
        </w:tc>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Client with Deloitte</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Agent-delivery services — discovery, design, build, run, sustain</w:t>
            </w:r>
          </w:p>
        </w:tc>
      </w:tr>
    </w:tbl>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Your marketing content must never blur these two contracts. If an offshore draft ever implies the client “buys APEX from Deloitte,” the draft is wrong and will be rejected.</w:t>
      </w:r>
    </w:p>
    <w:p>
      <w:pPr>
        <w:pStyle w:val="Heading3"/>
        <w:spacing w:after="100" w:before="220"/>
      </w:pPr>
      <w:r>
        <w:rPr>
          <w:rFonts w:ascii="Arial" w:cs="Arial" w:eastAsia="Arial" w:hAnsi="Arial"/>
          <w:b/>
          <w:bCs/>
          <w:color w:val="004B38"/>
          <w:sz w:val="24"/>
          <w:szCs w:val="24"/>
        </w:rPr>
        <w:t xml:space="preserve">How APEX shows up across industries</w:t>
      </w:r>
    </w:p>
    <w:p>
      <w:pPr>
        <w:spacing w:after="120" w:line="300"/>
      </w:pPr>
      <w:r>
        <w:rPr>
          <w:rFonts w:ascii="Arial" w:cs="Arial" w:eastAsia="Arial" w:hAnsi="Arial"/>
          <w:sz w:val="22"/>
          <w:szCs w:val="22"/>
        </w:rPr>
        <w:t xml:space="preserve">APEX is a core framework with industry-specific editions. You do not need to master these; you need to know they exist so you can tag content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Edition code</w:t>
            </w:r>
          </w:p>
        </w:tc>
        <w:tc>
          <w:tcPr>
            <w:tcW w:type="dxa" w:w="3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Industry</w:t>
            </w:r>
          </w:p>
        </w:tc>
        <w:tc>
          <w:tcPr>
            <w:tcW w:type="dxa" w:w="45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Notes for offshore</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RC</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Retail and Consumer</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Most mature; largest Consumer Industry focus</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Transportation and Hospitality</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Growing; tied to Consumer Industry</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HLS</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Healthcare and Life Sciences</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Regulated; stricter language review</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TMT</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Technology, Media, Telecom</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Sophisticated buyers</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ER</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Energy and Resources</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Safety-critical contexts</w:t>
            </w:r>
          </w:p>
        </w:tc>
      </w:tr>
      <w:tr>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ICE</w:t>
            </w:r>
          </w:p>
        </w:tc>
        <w:tc>
          <w:tcPr>
            <w:tcW w:type="dxa" w:w="3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Industrial and Construction Engineering</w:t>
            </w:r>
          </w:p>
        </w:tc>
        <w:tc>
          <w:tcPr>
            <w:tcW w:type="dxa" w:w="45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Newest edition</w:t>
            </w:r>
          </w:p>
        </w:tc>
      </w:tr>
      <w:tr>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Core</w:t>
            </w:r>
          </w:p>
        </w:tc>
        <w:tc>
          <w:tcPr>
            <w:tcW w:type="dxa" w:w="3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Cross-industry foundation</w:t>
            </w:r>
          </w:p>
        </w:tc>
        <w:tc>
          <w:tcPr>
            <w:tcW w:type="dxa" w:w="45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Inherits into all editions</w:t>
            </w:r>
          </w:p>
        </w:tc>
      </w:tr>
    </w:tbl>
    <w:p>
      <w:pPr>
        <w:pStyle w:val="Heading2"/>
        <w:spacing w:after="160" w:before="320"/>
      </w:pPr>
      <w:r>
        <w:rPr>
          <w:rFonts w:ascii="Arial" w:cs="Arial" w:eastAsia="Arial" w:hAnsi="Arial"/>
          <w:b/>
          <w:bCs/>
          <w:color w:val="1A1A1A"/>
          <w:sz w:val="28"/>
          <w:szCs w:val="28"/>
        </w:rPr>
        <w:t xml:space="preserve">A.3  Who we are marketing to</w:t>
      </w:r>
    </w:p>
    <w:p>
      <w:pPr>
        <w:spacing w:after="120" w:line="300"/>
      </w:pPr>
      <w:r>
        <w:rPr>
          <w:rFonts w:ascii="Arial" w:cs="Arial" w:eastAsia="Arial" w:hAnsi="Arial"/>
          <w:sz w:val="22"/>
          <w:szCs w:val="22"/>
        </w:rPr>
        <w:t xml:space="preserve">You will produce content aimed at three distinct audience tiers. Every artifact should be tagged to a tier in the brief.</w:t>
      </w:r>
    </w:p>
    <w:p>
      <w:pPr>
        <w:spacing w:after="80" w:before="180"/>
      </w:pPr>
      <w:r>
        <w:rPr>
          <w:rFonts w:ascii="Arial" w:cs="Arial" w:eastAsia="Arial" w:hAnsi="Arial"/>
          <w:b/>
          <w:bCs/>
          <w:color w:val="1A1A1A"/>
          <w:sz w:val="22"/>
          <w:szCs w:val="22"/>
        </w:rPr>
        <w:t xml:space="preserve">Tier 1 — Economic buyers</w:t>
      </w:r>
    </w:p>
    <w:p>
      <w:pPr>
        <w:spacing w:after="120" w:line="300"/>
      </w:pPr>
      <w:r>
        <w:rPr>
          <w:rFonts w:ascii="Arial" w:cs="Arial" w:eastAsia="Arial" w:hAnsi="Arial"/>
          <w:sz w:val="22"/>
          <w:szCs w:val="22"/>
        </w:rPr>
        <w:t xml:space="preserve">CFO, COO, CIO, CDO, Chief Compliance Officer, General Counsel. They care about outcomes, risk, and measured ROI. Your content speaks in dollars, days, and defensibility. Avoid deep architecture detail.</w:t>
      </w:r>
    </w:p>
    <w:p>
      <w:pPr>
        <w:spacing w:after="80" w:before="180"/>
      </w:pPr>
      <w:r>
        <w:rPr>
          <w:rFonts w:ascii="Arial" w:cs="Arial" w:eastAsia="Arial" w:hAnsi="Arial"/>
          <w:b/>
          <w:bCs/>
          <w:color w:val="1A1A1A"/>
          <w:sz w:val="22"/>
          <w:szCs w:val="22"/>
        </w:rPr>
        <w:t xml:space="preserve">Tier 2 — Technical evaluators</w:t>
      </w:r>
    </w:p>
    <w:p>
      <w:pPr>
        <w:spacing w:after="120" w:line="300"/>
      </w:pPr>
      <w:r>
        <w:rPr>
          <w:rFonts w:ascii="Arial" w:cs="Arial" w:eastAsia="Arial" w:hAnsi="Arial"/>
          <w:sz w:val="22"/>
          <w:szCs w:val="22"/>
        </w:rPr>
        <w:t xml:space="preserve">Chief Architects, Data leaders, Enterprise Architecture, Heads of AI. They care about the Microsoft stack, interoperability, governance, and the practical “how.” Your content can reference Fabric, Foundry, Purview, and Entra at a positioning level.</w:t>
      </w:r>
    </w:p>
    <w:p>
      <w:pPr>
        <w:spacing w:after="80" w:before="180"/>
      </w:pPr>
      <w:r>
        <w:rPr>
          <w:rFonts w:ascii="Arial" w:cs="Arial" w:eastAsia="Arial" w:hAnsi="Arial"/>
          <w:b/>
          <w:bCs/>
          <w:color w:val="1A1A1A"/>
          <w:sz w:val="22"/>
          <w:szCs w:val="22"/>
        </w:rPr>
        <w:t xml:space="preserve">Tier 3 — Functional owners</w:t>
      </w:r>
    </w:p>
    <w:p>
      <w:pPr>
        <w:spacing w:after="120" w:line="300"/>
      </w:pPr>
      <w:r>
        <w:rPr>
          <w:rFonts w:ascii="Arial" w:cs="Arial" w:eastAsia="Arial" w:hAnsi="Arial"/>
          <w:sz w:val="22"/>
          <w:szCs w:val="22"/>
        </w:rPr>
        <w:t xml:space="preserve">VP of Finance Controlling, Supply Chain leaders, Store Operations leaders, Clinical Ops. They care about specific workflow pain — close velocity, inventory accuracy, dispatcher productivity. Your content uses their vocabulary, not ours.</w:t>
      </w:r>
    </w:p>
    <w:p>
      <w:pPr>
        <w:pStyle w:val="Heading2"/>
        <w:spacing w:after="160" w:before="320"/>
      </w:pPr>
      <w:r>
        <w:rPr>
          <w:rFonts w:ascii="Arial" w:cs="Arial" w:eastAsia="Arial" w:hAnsi="Arial"/>
          <w:b/>
          <w:bCs/>
          <w:color w:val="1A1A1A"/>
          <w:sz w:val="28"/>
          <w:szCs w:val="28"/>
        </w:rPr>
        <w:t xml:space="preserve">A.4  The non-negotiable Independence rules</w:t>
      </w:r>
    </w:p>
    <w:p>
      <w:pPr>
        <w:spacing w:after="120" w:line="300"/>
      </w:pPr>
      <w:r>
        <w:rPr>
          <w:rFonts w:ascii="Arial" w:cs="Arial" w:eastAsia="Arial" w:hAnsi="Arial"/>
          <w:sz w:val="22"/>
          <w:szCs w:val="22"/>
        </w:rPr>
        <w:t xml:space="preserve">Deloitte is the auditor for many of the accounts we pursue. That creates an Independence obligation that constrains the language we use about our work with Microsoft. These rules are not stylistic preferences. They are compliance rules. Every draft you produce will be screened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C8C8C8" w:sz="4"/>
              <w:bottom w:val="single" w:color="C8C8C8" w:sz="4"/>
              <w:right w:val="single" w:color="C8C8C8" w:sz="4"/>
            </w:tcBorders>
            <w:shd w:fill="F7E3E3" w:val="clear"/>
            <w:tcMar>
              <w:top w:type="dxa" w:w="140"/>
              <w:left w:type="dxa" w:w="200"/>
              <w:bottom w:type="dxa" w:w="140"/>
              <w:right w:type="dxa" w:w="200"/>
            </w:tcMar>
          </w:tcPr>
          <w:p>
            <w:pPr>
              <w:spacing w:after="60"/>
            </w:pPr>
            <w:r>
              <w:rPr>
                <w:rFonts w:ascii="Arial" w:cs="Arial" w:eastAsia="Arial" w:hAnsi="Arial"/>
                <w:b/>
                <w:bCs/>
                <w:color w:val="9B1C1C"/>
                <w:spacing w:val="20"/>
                <w:sz w:val="18"/>
                <w:szCs w:val="18"/>
              </w:rPr>
              <w:t xml:space="preserve">FORBIDDEN WORDS AND PHRASES</w:t>
            </w:r>
          </w:p>
          <w:p>
            <w:pPr>
              <w:spacing w:after="120" w:line="300"/>
            </w:pPr>
            <w:r>
              <w:rPr>
                <w:rFonts w:ascii="Arial" w:cs="Arial" w:eastAsia="Arial" w:hAnsi="Arial"/>
                <w:b/>
                <w:bCs/>
                <w:sz w:val="22"/>
                <w:szCs w:val="22"/>
              </w:rPr>
              <w:t xml:space="preserve">Never use these, anywhere, in any context: </w:t>
            </w:r>
            <w:r>
              <w:rPr>
                <w:rFonts w:ascii="Arial" w:cs="Arial" w:eastAsia="Arial" w:hAnsi="Arial"/>
                <w:sz w:val="22"/>
                <w:szCs w:val="22"/>
              </w:rPr>
              <w:t xml:space="preserve">“partner,” “partnership,” “alliance,” “strategic alliance” to describe the Deloitte–Microsoft relationship.</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Approved substitutes: </w:t>
            </w:r>
            <w:r>
              <w:rPr>
                <w:rFonts w:ascii="Arial" w:cs="Arial" w:eastAsia="Arial" w:hAnsi="Arial"/>
                <w:sz w:val="22"/>
                <w:szCs w:val="22"/>
              </w:rPr>
              <w:t xml:space="preserve">“Deloitte's Microsoft practice,” “DMTSP,” “Microsoft platform capabilities,” “Microsoft-native deployment,” “Deloitte delivery on the Microsoft platform.”</w:t>
            </w:r>
          </w:p>
          <w:p>
            <w:pPr>
              <w:spacing w:after="120"/>
            </w:pPr>
            <w:r>
              <w:rPr>
                <w:rFonts w:ascii="Arial" w:cs="Arial" w:eastAsia="Arial" w:hAnsi="Arial"/>
                <w:sz w:val="22"/>
                <w:szCs w:val="22"/>
              </w:rPr>
              <w:t xml:space="preserve"/>
            </w:r>
          </w:p>
          <w:p>
            <w:pPr>
              <w:spacing w:after="120" w:line="300"/>
            </w:pPr>
            <w:r>
              <w:rPr>
                <w:rFonts w:ascii="Arial" w:cs="Arial" w:eastAsia="Arial" w:hAnsi="Arial"/>
                <w:b/>
                <w:bCs/>
                <w:sz w:val="22"/>
                <w:szCs w:val="22"/>
              </w:rPr>
              <w:t xml:space="preserve">Why this matters: </w:t>
            </w:r>
            <w:r>
              <w:rPr>
                <w:rFonts w:ascii="Arial" w:cs="Arial" w:eastAsia="Arial" w:hAnsi="Arial"/>
                <w:sz w:val="22"/>
                <w:szCs w:val="22"/>
              </w:rPr>
              <w:t xml:space="preserve">The forbidden terms imply a commercial relationship structure that conflicts with Independence requirements when Deloitte also audits the client. This is not negotiable. A single use of a forbidden term in an externally distributed artifact is a compliance incident.</w:t>
            </w:r>
          </w:p>
        </w:tc>
      </w:tr>
    </w:tbl>
    <w:p>
      <w:pPr>
        <w:pStyle w:val="Heading3"/>
        <w:spacing w:after="100" w:before="220"/>
      </w:pPr>
      <w:r>
        <w:rPr>
          <w:rFonts w:ascii="Arial" w:cs="Arial" w:eastAsia="Arial" w:hAnsi="Arial"/>
          <w:b/>
          <w:bCs/>
          <w:color w:val="004B38"/>
          <w:sz w:val="24"/>
          <w:szCs w:val="24"/>
        </w:rPr>
        <w:t xml:space="preserve">Language you will habitually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Do not write</w:t>
            </w:r>
          </w:p>
        </w:tc>
        <w:tc>
          <w:tcPr>
            <w:tcW w:type="dxa" w:w="5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Write instead</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Our partnership with Microsoft</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Our Microsoft practice  |  Deloitte DMTSP</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Strategic alliance with Microsoft</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delivery on the Microsoft platform</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We partner with Microsoft to…</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delivers agentic AI on the Microsoft platform</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Joint Microsoft–Deloitte solution</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agent-delivery services on Microsoft-native infrastructure</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Microsoft and Deloitte have built…</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has built … on the Microsoft platform</w:t>
            </w:r>
          </w:p>
        </w:tc>
      </w:tr>
    </w:tbl>
    <w:p>
      <w:pPr>
        <w:pStyle w:val="Heading2"/>
        <w:spacing w:after="160" w:before="320"/>
      </w:pPr>
      <w:r>
        <w:rPr>
          <w:rFonts w:ascii="Arial" w:cs="Arial" w:eastAsia="Arial" w:hAnsi="Arial"/>
          <w:b/>
          <w:bCs/>
          <w:color w:val="1A1A1A"/>
          <w:sz w:val="28"/>
          <w:szCs w:val="28"/>
        </w:rPr>
        <w:t xml:space="preserve">A.5  What “marketing” means in this context</w:t>
      </w:r>
    </w:p>
    <w:p>
      <w:pPr>
        <w:spacing w:after="120" w:line="300"/>
      </w:pPr>
      <w:r>
        <w:rPr>
          <w:rFonts w:ascii="Arial" w:cs="Arial" w:eastAsia="Arial" w:hAnsi="Arial"/>
          <w:sz w:val="22"/>
          <w:szCs w:val="22"/>
        </w:rPr>
        <w:t xml:space="preserve">In this playbook, “marketing” means producing the upstream materials that help an onshore seller start, accelerate, or sustain a conversation with a prospective client. You are not a seller. You are the person who makes sellers ten times more effective.</w:t>
      </w:r>
    </w:p>
    <w:p>
      <w:pPr>
        <w:spacing w:after="80" w:before="180"/>
      </w:pPr>
      <w:r>
        <w:rPr>
          <w:rFonts w:ascii="Arial" w:cs="Arial" w:eastAsia="Arial" w:hAnsi="Arial"/>
          <w:b/>
          <w:bCs/>
          <w:color w:val="1A1A1A"/>
          <w:sz w:val="22"/>
          <w:szCs w:val="22"/>
        </w:rPr>
        <w:t xml:space="preserve">What you will produce</w:t>
      </w:r>
    </w:p>
    <w:p>
      <w:pPr>
        <w:pStyle w:val="ListParagraph"/>
        <w:numPr>
          <w:ilvl w:val="0"/>
          <w:numId w:val="2"/>
        </w:numPr>
        <w:spacing w:after="80" w:line="280"/>
      </w:pPr>
      <w:r>
        <w:rPr>
          <w:rFonts w:ascii="Arial" w:cs="Arial" w:eastAsia="Arial" w:hAnsi="Arial"/>
          <w:sz w:val="22"/>
          <w:szCs w:val="22"/>
        </w:rPr>
        <w:t xml:space="preserve">Research packs and account briefs that condense public information into a decision-ready one-pager</w:t>
      </w:r>
    </w:p>
    <w:p>
      <w:pPr>
        <w:pStyle w:val="ListParagraph"/>
        <w:numPr>
          <w:ilvl w:val="0"/>
          <w:numId w:val="2"/>
        </w:numPr>
        <w:spacing w:after="80" w:line="280"/>
      </w:pPr>
      <w:r>
        <w:rPr>
          <w:rFonts w:ascii="Arial" w:cs="Arial" w:eastAsia="Arial" w:hAnsi="Arial"/>
          <w:sz w:val="22"/>
          <w:szCs w:val="22"/>
        </w:rPr>
        <w:t xml:space="preserve">Draft content — emails, LinkedIn posts, POV articles, nurture sequences, objection snippets</w:t>
      </w:r>
    </w:p>
    <w:p>
      <w:pPr>
        <w:pStyle w:val="ListParagraph"/>
        <w:numPr>
          <w:ilvl w:val="0"/>
          <w:numId w:val="2"/>
        </w:numPr>
        <w:spacing w:after="80" w:line="280"/>
      </w:pPr>
      <w:r>
        <w:rPr>
          <w:rFonts w:ascii="Arial" w:cs="Arial" w:eastAsia="Arial" w:hAnsi="Arial"/>
          <w:sz w:val="22"/>
          <w:szCs w:val="22"/>
        </w:rPr>
        <w:t xml:space="preserve">Meeting prep packs that give an onshore seller everything they need forty-eight hours before a client meeting</w:t>
      </w:r>
    </w:p>
    <w:p>
      <w:pPr>
        <w:pStyle w:val="ListParagraph"/>
        <w:numPr>
          <w:ilvl w:val="0"/>
          <w:numId w:val="2"/>
        </w:numPr>
        <w:spacing w:after="80" w:line="280"/>
      </w:pPr>
      <w:r>
        <w:rPr>
          <w:rFonts w:ascii="Arial" w:cs="Arial" w:eastAsia="Arial" w:hAnsi="Arial"/>
          <w:sz w:val="22"/>
          <w:szCs w:val="22"/>
        </w:rPr>
        <w:t xml:space="preserve">Case study adaptations that take existing anonymized references and retune them for a specific industry or persona</w:t>
      </w:r>
    </w:p>
    <w:p>
      <w:pPr>
        <w:spacing w:after="80" w:before="180"/>
      </w:pPr>
      <w:r>
        <w:rPr>
          <w:rFonts w:ascii="Arial" w:cs="Arial" w:eastAsia="Arial" w:hAnsi="Arial"/>
          <w:b/>
          <w:bCs/>
          <w:color w:val="1A1A1A"/>
          <w:sz w:val="22"/>
          <w:szCs w:val="22"/>
        </w:rPr>
        <w:t xml:space="preserve">What you will not produce</w:t>
      </w:r>
    </w:p>
    <w:p>
      <w:pPr>
        <w:pStyle w:val="ListParagraph"/>
        <w:numPr>
          <w:ilvl w:val="0"/>
          <w:numId w:val="2"/>
        </w:numPr>
        <w:spacing w:after="80" w:line="280"/>
      </w:pPr>
      <w:r>
        <w:rPr>
          <w:rFonts w:ascii="Arial" w:cs="Arial" w:eastAsia="Arial" w:hAnsi="Arial"/>
          <w:sz w:val="22"/>
          <w:szCs w:val="22"/>
        </w:rPr>
        <w:t xml:space="preserve">Anything sent directly to a client or Microsoft contact without onshore review</w:t>
      </w:r>
    </w:p>
    <w:p>
      <w:pPr>
        <w:pStyle w:val="ListParagraph"/>
        <w:numPr>
          <w:ilvl w:val="0"/>
          <w:numId w:val="2"/>
        </w:numPr>
        <w:spacing w:after="80" w:line="280"/>
      </w:pPr>
      <w:r>
        <w:rPr>
          <w:rFonts w:ascii="Arial" w:cs="Arial" w:eastAsia="Arial" w:hAnsi="Arial"/>
          <w:sz w:val="22"/>
          <w:szCs w:val="22"/>
        </w:rPr>
        <w:t xml:space="preserve">Pricing, SOW, or any commercial commitment language</w:t>
      </w:r>
    </w:p>
    <w:p>
      <w:pPr>
        <w:pStyle w:val="ListParagraph"/>
        <w:numPr>
          <w:ilvl w:val="0"/>
          <w:numId w:val="2"/>
        </w:numPr>
        <w:spacing w:after="80" w:line="280"/>
      </w:pPr>
      <w:r>
        <w:rPr>
          <w:rFonts w:ascii="Arial" w:cs="Arial" w:eastAsia="Arial" w:hAnsi="Arial"/>
          <w:sz w:val="22"/>
          <w:szCs w:val="22"/>
        </w:rPr>
        <w:t xml:space="preserve">Any content using forbidden Independence language</w:t>
      </w:r>
    </w:p>
    <w:p>
      <w:pPr>
        <w:pStyle w:val="ListParagraph"/>
        <w:numPr>
          <w:ilvl w:val="0"/>
          <w:numId w:val="2"/>
        </w:numPr>
        <w:spacing w:after="80" w:line="280"/>
      </w:pPr>
      <w:r>
        <w:rPr>
          <w:rFonts w:ascii="Arial" w:cs="Arial" w:eastAsia="Arial" w:hAnsi="Arial"/>
          <w:sz w:val="22"/>
          <w:szCs w:val="22"/>
        </w:rPr>
        <w:t xml:space="preserve">Any claim about measured outcomes that cannot be sourced to an approved Deloitte reference</w:t>
      </w:r>
    </w:p>
    <w:p>
      <w:pPr>
        <w:pStyle w:val="Heading1"/>
        <w:pageBreakBefore/>
        <w:spacing w:after="240" w:before="0"/>
      </w:pPr>
      <w:r>
        <w:rPr>
          <w:rFonts w:ascii="Arial" w:cs="Arial" w:eastAsia="Arial" w:hAnsi="Arial"/>
          <w:b/>
          <w:bCs/>
          <w:color w:val="004B38"/>
          <w:sz w:val="36"/>
          <w:szCs w:val="36"/>
        </w:rPr>
        <w:t xml:space="preserve">Part B. The Core Methodology</w:t>
      </w:r>
    </w:p>
    <w:p>
      <w:pPr>
        <w:spacing w:after="120" w:line="300"/>
      </w:pPr>
      <w:r>
        <w:rPr>
          <w:rFonts w:ascii="Arial" w:cs="Arial" w:eastAsia="Arial" w:hAnsi="Arial"/>
          <w:sz w:val="22"/>
          <w:szCs w:val="22"/>
        </w:rPr>
        <w:t xml:space="preserve">Our marketing uses a specific commercial methodology called Corporate Visions. You will see it referenced as “Conversations That Win” or “Power Selling.” You do not need the full training. You need the four mental models in this section. Every draft you produce will be judged against them.</w:t>
      </w:r>
    </w:p>
    <w:p>
      <w:pPr>
        <w:pStyle w:val="Heading2"/>
        <w:spacing w:after="160" w:before="320"/>
      </w:pPr>
      <w:r>
        <w:rPr>
          <w:rFonts w:ascii="Arial" w:cs="Arial" w:eastAsia="Arial" w:hAnsi="Arial"/>
          <w:b/>
          <w:bCs/>
          <w:color w:val="1A1A1A"/>
          <w:sz w:val="28"/>
          <w:szCs w:val="28"/>
        </w:rPr>
        <w:t xml:space="preserve">B.1  Corporate Visions in one page</w:t>
      </w:r>
    </w:p>
    <w:p>
      <w:pPr>
        <w:spacing w:after="120" w:line="300"/>
      </w:pPr>
      <w:r>
        <w:rPr>
          <w:rFonts w:ascii="Arial" w:cs="Arial" w:eastAsia="Arial" w:hAnsi="Arial"/>
          <w:sz w:val="22"/>
          <w:szCs w:val="22"/>
        </w:rPr>
        <w:t xml:space="preserve">Every commercial conversation moves through three questions in this exact order. Get this order wrong and you lose the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Question</w:t>
            </w:r>
          </w:p>
        </w:tc>
        <w:tc>
          <w:tcPr>
            <w:tcW w:type="dxa" w:w="42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it solves</w:t>
            </w:r>
          </w:p>
        </w:tc>
        <w:tc>
          <w:tcPr>
            <w:tcW w:type="dxa" w:w="32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Our failure mode</w:t>
            </w:r>
          </w:p>
        </w:tc>
      </w:tr>
      <w:tr>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Change?</w:t>
            </w:r>
          </w:p>
        </w:tc>
        <w:tc>
          <w:tcPr>
            <w:tcW w:type="dxa" w:w="4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Defeats the client's status-quo bias</w:t>
            </w:r>
          </w:p>
        </w:tc>
        <w:tc>
          <w:tcPr>
            <w:tcW w:type="dxa" w:w="3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We skip it and jump to features</w:t>
            </w:r>
          </w:p>
        </w:tc>
      </w:tr>
      <w:tr>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Now?</w:t>
            </w:r>
          </w:p>
        </w:tc>
        <w:tc>
          <w:tcPr>
            <w:tcW w:type="dxa" w:w="42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Creates urgency linked to an external trend</w:t>
            </w:r>
          </w:p>
        </w:tc>
        <w:tc>
          <w:tcPr>
            <w:tcW w:type="dxa" w:w="32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We leave it implicit; the client delays</w:t>
            </w:r>
          </w:p>
        </w:tc>
      </w:tr>
      <w:tr>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Why You?</w:t>
            </w:r>
          </w:p>
        </w:tc>
        <w:tc>
          <w:tcPr>
            <w:tcW w:type="dxa" w:w="4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Establishes our unique value wedge</w:t>
            </w:r>
          </w:p>
        </w:tc>
        <w:tc>
          <w:tcPr>
            <w:tcW w:type="dxa" w:w="32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We start here and lose to “wait and see”</w:t>
            </w:r>
          </w:p>
        </w:tc>
      </w:tr>
    </w:tbl>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Research shows that roughly forty percent of the time a prospective client decides to do nothing. Status-quo bias is a stronger opponent than any competitor. Your content exists to defeat it.</w:t>
      </w:r>
    </w:p>
    <w:p>
      <w:pPr>
        <w:pStyle w:val="Heading3"/>
        <w:spacing w:after="100" w:before="220"/>
      </w:pPr>
      <w:r>
        <w:rPr>
          <w:rFonts w:ascii="Arial" w:cs="Arial" w:eastAsia="Arial" w:hAnsi="Arial"/>
          <w:b/>
          <w:bCs/>
          <w:color w:val="004B38"/>
          <w:sz w:val="24"/>
          <w:szCs w:val="24"/>
        </w:rPr>
        <w:t xml:space="preserve">The four causes of decision avoidance you must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Cause</w:t>
            </w:r>
          </w:p>
        </w:tc>
        <w:tc>
          <w:tcPr>
            <w:tcW w:type="dxa" w:w="37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it sounds like</w:t>
            </w:r>
          </w:p>
        </w:tc>
        <w:tc>
          <w:tcPr>
            <w:tcW w:type="dxa" w:w="37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How APEX marketing counters it</w:t>
            </w:r>
          </w:p>
        </w:tc>
      </w:tr>
      <w:tr>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Preference stability</w:t>
            </w:r>
          </w:p>
        </w:tc>
        <w:tc>
          <w:tcPr>
            <w:tcW w:type="dxa" w:w="37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“We already picked a direction.”</w:t>
            </w:r>
          </w:p>
        </w:tc>
        <w:tc>
          <w:tcPr>
            <w:tcW w:type="dxa" w:w="37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Introduce an unconsidered need that their current direction does not solve.</w:t>
            </w:r>
          </w:p>
        </w:tc>
      </w:tr>
      <w:tr>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Anticipated blame</w:t>
            </w:r>
          </w:p>
        </w:tc>
        <w:tc>
          <w:tcPr>
            <w:tcW w:type="dxa" w:w="37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“If this goes wrong, it is on me.”</w:t>
            </w:r>
          </w:p>
        </w:tc>
        <w:tc>
          <w:tcPr>
            <w:tcW w:type="dxa" w:w="37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Show the risk of staying the same is larger than the risk of changing.</w:t>
            </w:r>
          </w:p>
        </w:tc>
      </w:tr>
      <w:tr>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Cost of change</w:t>
            </w:r>
          </w:p>
        </w:tc>
        <w:tc>
          <w:tcPr>
            <w:tcW w:type="dxa" w:w="37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“It is too expensive and disruptive.”</w:t>
            </w:r>
          </w:p>
        </w:tc>
        <w:tc>
          <w:tcPr>
            <w:tcW w:type="dxa" w:w="37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Lead with Wave 1 — a small, funded first proof. Never lead with Wave 2 or 3.</w:t>
            </w:r>
          </w:p>
        </w:tc>
      </w:tr>
      <w:tr>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Selection difficulty</w:t>
            </w:r>
          </w:p>
        </w:tc>
        <w:tc>
          <w:tcPr>
            <w:tcW w:type="dxa" w:w="37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“There are too many vendors.”</w:t>
            </w:r>
          </w:p>
        </w:tc>
        <w:tc>
          <w:tcPr>
            <w:tcW w:type="dxa" w:w="37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Simplify: Microsoft-native deployment, Deloitte-delivered, one throat to choke on delivery quality.</w:t>
            </w:r>
          </w:p>
        </w:tc>
      </w:tr>
    </w:tbl>
    <w:p>
      <w:pPr>
        <w:pStyle w:val="Heading2"/>
        <w:spacing w:after="160" w:before="320"/>
      </w:pPr>
      <w:r>
        <w:rPr>
          <w:rFonts w:ascii="Arial" w:cs="Arial" w:eastAsia="Arial" w:hAnsi="Arial"/>
          <w:b/>
          <w:bCs/>
          <w:color w:val="1A1A1A"/>
          <w:sz w:val="28"/>
          <w:szCs w:val="28"/>
        </w:rPr>
        <w:t xml:space="preserve">B.2  The APEX “Why Change” thesis</w:t>
      </w:r>
    </w:p>
    <w:p>
      <w:pPr>
        <w:spacing w:after="120" w:line="300"/>
      </w:pPr>
      <w:r>
        <w:rPr>
          <w:rFonts w:ascii="Arial" w:cs="Arial" w:eastAsia="Arial" w:hAnsi="Arial"/>
          <w:sz w:val="22"/>
          <w:szCs w:val="22"/>
        </w:rPr>
        <w:t xml:space="preserve">Every piece of acquisition content you write will be built from this thesis. Memorize the six steps. They are the exact order of any effective narrative we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6600"/>
      </w:tblGrid>
      <w:tr>
        <w:tc>
          <w:tcPr>
            <w:tcW w:type="dxa" w:w="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2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Step</w:t>
            </w:r>
          </w:p>
        </w:tc>
        <w:tc>
          <w:tcPr>
            <w:tcW w:type="dxa" w:w="6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to write</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1</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Business goal</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the client is trying to achieve. Use their stated language from earnings calls, investor decks, or strategic plans.</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Current trend</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has changed in their industry or marketplace that threatens that goal. Cite one external data point.</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Flawed approach</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they are doing today that will not get them there. Name it plainly without condescension.</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4</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Consequence of no change</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breaks if they stay the course — revenue, cost, risk, talent, or compliance.</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5</w:t>
            </w:r>
          </w:p>
        </w:tc>
        <w:tc>
          <w:tcPr>
            <w:tcW w:type="dxa" w:w="2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New way</w:t>
            </w:r>
          </w:p>
        </w:tc>
        <w:tc>
          <w:tcPr>
            <w:tcW w:type="dxa" w:w="6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new way we are recommending. Say it as an action the client takes, not as a product they buy.</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6</w:t>
            </w:r>
          </w:p>
        </w:tc>
        <w:tc>
          <w:tcPr>
            <w:tcW w:type="dxa" w:w="2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Likely outcome</w:t>
            </w:r>
          </w:p>
        </w:tc>
        <w:tc>
          <w:tcPr>
            <w:tcW w:type="dxa" w:w="6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measurable result. Always tie back to the business goal in step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5A" w:sz="12"/>
              <w:left w:val="single" w:color="C8C8C8" w:sz="4"/>
              <w:bottom w:val="single" w:color="C8C8C8" w:sz="4"/>
              <w:right w:val="single" w:color="C8C8C8" w:sz="4"/>
            </w:tcBorders>
            <w:shd w:fill="E8F3EE" w:val="clear"/>
            <w:tcMar>
              <w:top w:type="dxa" w:w="140"/>
              <w:left w:type="dxa" w:w="200"/>
              <w:bottom w:type="dxa" w:w="140"/>
              <w:right w:type="dxa" w:w="200"/>
            </w:tcMar>
          </w:tcPr>
          <w:p>
            <w:pPr>
              <w:spacing w:after="60"/>
            </w:pPr>
            <w:r>
              <w:rPr>
                <w:rFonts w:ascii="Arial" w:cs="Arial" w:eastAsia="Arial" w:hAnsi="Arial"/>
                <w:b/>
                <w:bCs/>
                <w:color w:val="007A5A"/>
                <w:spacing w:val="20"/>
                <w:sz w:val="18"/>
                <w:szCs w:val="18"/>
              </w:rPr>
              <w:t xml:space="preserve">PROSPECT THEORY — THE PRINCIPLE BEHIND THE THESIS</w:t>
            </w:r>
          </w:p>
          <w:p>
            <w:pPr>
              <w:spacing w:after="120" w:line="300"/>
            </w:pPr>
            <w:r>
              <w:rPr>
                <w:rFonts w:ascii="Arial" w:cs="Arial" w:eastAsia="Arial" w:hAnsi="Arial"/>
                <w:sz w:val="22"/>
                <w:szCs w:val="22"/>
              </w:rPr>
              <w:t xml:space="preserve">Daniel Kahneman showed that people value avoiding a loss roughly twice as much as receiving an equivalent gain. When your content leads with gain — “we can make you faster” — the buyer silently calculates the risk and cost of change at twice that weight and does nothing.</w:t>
            </w:r>
          </w:p>
          <w:p>
            <w:pPr>
              <w:spacing w:after="120" w:line="300"/>
            </w:pPr>
            <w:r>
              <w:rPr>
                <w:rFonts w:ascii="Arial" w:cs="Arial" w:eastAsia="Arial" w:hAnsi="Arial"/>
                <w:sz w:val="22"/>
                <w:szCs w:val="22"/>
              </w:rPr>
              <w:t xml:space="preserve">Your content must lead with the risk and cost of staying the same. That is the insight that reverses status-quo bias. Practically: step 4 above is doing more work than any other step.</w:t>
            </w:r>
          </w:p>
        </w:tc>
      </w:tr>
    </w:tbl>
    <w:p>
      <w:pPr>
        <w:pStyle w:val="Heading2"/>
        <w:spacing w:after="160" w:before="320"/>
      </w:pPr>
      <w:r>
        <w:rPr>
          <w:rFonts w:ascii="Arial" w:cs="Arial" w:eastAsia="Arial" w:hAnsi="Arial"/>
          <w:b/>
          <w:bCs/>
          <w:color w:val="1A1A1A"/>
          <w:sz w:val="28"/>
          <w:szCs w:val="28"/>
        </w:rPr>
        <w:t xml:space="preserve">B.3  The message pyramid</w:t>
      </w:r>
    </w:p>
    <w:p>
      <w:pPr>
        <w:spacing w:after="120" w:line="300"/>
      </w:pPr>
      <w:r>
        <w:rPr>
          <w:rFonts w:ascii="Arial" w:cs="Arial" w:eastAsia="Arial" w:hAnsi="Arial"/>
          <w:sz w:val="22"/>
          <w:szCs w:val="22"/>
        </w:rPr>
        <w:t xml:space="preserve">Every message you write — a subject line, a LinkedIn post, an email, a one-pager — is layered in this order from bottom to top. You will draft bottom-up. You will deliver top-down.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300"/>
        <w:gridCol w:w="3760"/>
      </w:tblGrid>
      <w:tr>
        <w:tc>
          <w:tcPr>
            <w:tcW w:type="dxa" w:w="9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Layer</w:t>
            </w:r>
          </w:p>
        </w:tc>
        <w:tc>
          <w:tcPr>
            <w:tcW w:type="dxa" w:w="1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Name</w:t>
            </w:r>
          </w:p>
        </w:tc>
        <w:tc>
          <w:tcPr>
            <w:tcW w:type="dxa" w:w="33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What it is</w:t>
            </w:r>
          </w:p>
        </w:tc>
        <w:tc>
          <w:tcPr>
            <w:tcW w:type="dxa" w:w="37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Example</w:t>
            </w:r>
          </w:p>
        </w:tc>
      </w:tr>
      <w:tr>
        <w:tc>
          <w:tcPr>
            <w:tcW w:type="dxa" w:w="9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Top</w:t>
            </w:r>
          </w:p>
        </w:tc>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Means</w:t>
            </w:r>
          </w:p>
        </w:tc>
        <w:tc>
          <w:tcPr>
            <w:tcW w:type="dxa" w:w="33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value the client sees from the action</w:t>
            </w:r>
          </w:p>
        </w:tc>
        <w:tc>
          <w:tcPr>
            <w:tcW w:type="dxa" w:w="37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“which means your quarterly close completes in five days instead of twelve.”</w:t>
            </w:r>
          </w:p>
        </w:tc>
      </w:tr>
      <w:tr>
        <w:tc>
          <w:tcPr>
            <w:tcW w:type="dxa" w:w="9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Middle</w:t>
            </w:r>
          </w:p>
        </w:tc>
        <w:tc>
          <w:tcPr>
            <w:tcW w:type="dxa" w:w="1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Do</w:t>
            </w:r>
          </w:p>
        </w:tc>
        <w:tc>
          <w:tcPr>
            <w:tcW w:type="dxa" w:w="33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the client can do differently</w:t>
            </w:r>
          </w:p>
        </w:tc>
        <w:tc>
          <w:tcPr>
            <w:tcW w:type="dxa" w:w="37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 you can run a continuous close with agentic reconciliations …”</w:t>
            </w:r>
          </w:p>
        </w:tc>
      </w:tr>
      <w:tr>
        <w:tc>
          <w:tcPr>
            <w:tcW w:type="dxa" w:w="9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Bottom</w:t>
            </w:r>
          </w:p>
        </w:tc>
        <w:tc>
          <w:tcPr>
            <w:tcW w:type="dxa" w:w="1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Is</w:t>
            </w:r>
          </w:p>
        </w:tc>
        <w:tc>
          <w:tcPr>
            <w:tcW w:type="dxa" w:w="33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description of our offering</w:t>
            </w:r>
          </w:p>
        </w:tc>
        <w:tc>
          <w:tcPr>
            <w:tcW w:type="dxa" w:w="37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delivers agentic AI on Microsoft Fabric and Azure AI Foundry …”</w:t>
            </w:r>
          </w:p>
        </w:tc>
      </w:tr>
    </w:tbl>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Important: when you deliver a message to a client audience, you invert the pyramid. You lead with means, then do, then is. The buyer hears the outcome first, the behavior second, the technology last. Inexperienced writers lead with the technology and lose the buyer in the first sentence.</w:t>
      </w:r>
    </w:p>
    <w:p>
      <w:pPr>
        <w:pStyle w:val="Heading2"/>
        <w:spacing w:after="160" w:before="320"/>
      </w:pPr>
      <w:r>
        <w:rPr>
          <w:rFonts w:ascii="Arial" w:cs="Arial" w:eastAsia="Arial" w:hAnsi="Arial"/>
          <w:b/>
          <w:bCs/>
          <w:color w:val="1A1A1A"/>
          <w:sz w:val="28"/>
          <w:szCs w:val="28"/>
        </w:rPr>
        <w:t xml:space="preserve">B.4  The value-wedge test</w:t>
      </w:r>
    </w:p>
    <w:p>
      <w:pPr>
        <w:spacing w:after="120" w:line="300"/>
      </w:pPr>
      <w:r>
        <w:rPr>
          <w:rFonts w:ascii="Arial" w:cs="Arial" w:eastAsia="Arial" w:hAnsi="Arial"/>
          <w:sz w:val="22"/>
          <w:szCs w:val="22"/>
        </w:rPr>
        <w:t xml:space="preserve">Every claim you make about our capability must pass three tests. If a claim fails any test, strike it from the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18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Test</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Question to ask</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1</w:t>
            </w:r>
          </w:p>
        </w:tc>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Important</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Does the client care about this? Is it a top-five priority?</w:t>
            </w:r>
          </w:p>
        </w:tc>
      </w:tr>
      <w:tr>
        <w:tc>
          <w:tcPr>
            <w:tcW w:type="dxa" w:w="6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w:t>
            </w:r>
          </w:p>
        </w:tc>
        <w:tc>
          <w:tcPr>
            <w:tcW w:type="dxa" w:w="18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Unique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Are we genuinely the only ones who can do this, or meaningfully better than AWS, GCP, IBM, Oracle, Salesforce, or another SI?</w:t>
            </w:r>
          </w:p>
        </w:tc>
      </w:tr>
      <w:tr>
        <w:tc>
          <w:tcPr>
            <w:tcW w:type="dxa" w:w="6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w:t>
            </w:r>
          </w:p>
        </w:tc>
        <w:tc>
          <w:tcPr>
            <w:tcW w:type="dxa" w:w="18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Defensible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Can we prove it with a measurable reference or architectural fact?</w:t>
            </w:r>
          </w:p>
        </w:tc>
      </w:tr>
    </w:tbl>
    <w:p>
      <w:pPr>
        <w:pStyle w:val="Heading1"/>
        <w:pageBreakBefore/>
        <w:spacing w:after="240" w:before="0"/>
      </w:pPr>
      <w:r>
        <w:rPr>
          <w:rFonts w:ascii="Arial" w:cs="Arial" w:eastAsia="Arial" w:hAnsi="Arial"/>
          <w:b/>
          <w:bCs/>
          <w:color w:val="004B38"/>
          <w:sz w:val="36"/>
          <w:szCs w:val="36"/>
        </w:rPr>
        <w:t xml:space="preserve">Part C. The Marketing Workflow</w:t>
      </w:r>
    </w:p>
    <w:p>
      <w:pPr>
        <w:spacing w:after="120" w:line="300"/>
      </w:pPr>
      <w:r>
        <w:rPr>
          <w:rFonts w:ascii="Arial" w:cs="Arial" w:eastAsia="Arial" w:hAnsi="Arial"/>
          <w:sz w:val="22"/>
          <w:szCs w:val="22"/>
        </w:rPr>
        <w:t xml:space="preserve">This is the eight-step workflow you follow for every piece of content, with no exceptions, regardless of how small the draft. The workflow exists because compliance and quality gates cannot be retrofitted; they have to be built into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A5A" w:sz="12"/>
              <w:left w:val="single" w:color="C8C8C8" w:sz="4"/>
              <w:bottom w:val="single" w:color="C8C8C8" w:sz="4"/>
              <w:right w:val="single" w:color="C8C8C8" w:sz="4"/>
            </w:tcBorders>
            <w:shd w:fill="E8F3EE" w:val="clear"/>
            <w:tcMar>
              <w:top w:type="dxa" w:w="140"/>
              <w:left w:type="dxa" w:w="200"/>
              <w:bottom w:type="dxa" w:w="140"/>
              <w:right w:type="dxa" w:w="200"/>
            </w:tcMar>
          </w:tcPr>
          <w:p>
            <w:pPr>
              <w:spacing w:after="60"/>
            </w:pPr>
            <w:r>
              <w:rPr>
                <w:rFonts w:ascii="Arial" w:cs="Arial" w:eastAsia="Arial" w:hAnsi="Arial"/>
                <w:b/>
                <w:bCs/>
                <w:color w:val="007A5A"/>
                <w:spacing w:val="20"/>
                <w:sz w:val="18"/>
                <w:szCs w:val="18"/>
              </w:rPr>
              <w:t xml:space="preserve">THE WORKFLOW IN ONE LINE</w:t>
            </w:r>
          </w:p>
          <w:p>
            <w:pPr>
              <w:spacing w:after="120" w:line="300"/>
            </w:pPr>
            <w:r>
              <w:rPr>
                <w:rFonts w:ascii="Arial" w:cs="Arial" w:eastAsia="Arial" w:hAnsi="Arial"/>
                <w:b/>
                <w:bCs/>
                <w:sz w:val="22"/>
                <w:szCs w:val="22"/>
              </w:rPr>
              <w:t xml:space="preserve">Brief → Research → Draft → Self-QA → Peer review → Onshore review → Compliance → Publish.</w:t>
            </w:r>
          </w:p>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Eight steps. Skipping any step is grounds for re-work. Every step has a defined input, a defined output, and a defined owner.</w:t>
            </w:r>
          </w:p>
        </w:tc>
      </w:tr>
    </w:tbl>
    <w:p>
      <w:pPr>
        <w:pStyle w:val="Heading2"/>
        <w:spacing w:after="160" w:before="320"/>
      </w:pPr>
      <w:r>
        <w:rPr>
          <w:rFonts w:ascii="Arial" w:cs="Arial" w:eastAsia="Arial" w:hAnsi="Arial"/>
          <w:b/>
          <w:bCs/>
          <w:color w:val="1A1A1A"/>
          <w:sz w:val="28"/>
          <w:szCs w:val="28"/>
        </w:rPr>
        <w:t xml:space="preserve">C.1  Step 1 — Pick up the brief</w:t>
      </w:r>
    </w:p>
    <w:p>
      <w:pPr>
        <w:spacing w:after="80" w:before="180"/>
      </w:pPr>
      <w:r>
        <w:rPr>
          <w:rFonts w:ascii="Arial" w:cs="Arial" w:eastAsia="Arial" w:hAnsi="Arial"/>
          <w:b/>
          <w:bCs/>
          <w:color w:val="1A1A1A"/>
          <w:sz w:val="22"/>
          <w:szCs w:val="22"/>
        </w:rPr>
        <w:t xml:space="preserve">Input</w:t>
      </w:r>
    </w:p>
    <w:p>
      <w:pPr>
        <w:spacing w:after="120" w:line="300"/>
      </w:pPr>
      <w:r>
        <w:rPr>
          <w:rFonts w:ascii="Arial" w:cs="Arial" w:eastAsia="Arial" w:hAnsi="Arial"/>
          <w:sz w:val="22"/>
          <w:szCs w:val="22"/>
        </w:rPr>
        <w:t xml:space="preserve">A marketing brief from your onshore lead, delivered via Microsoft Teams or SharePoint. Every brief must contain seven fields — see below. If any are missing, request them before starting.</w:t>
      </w:r>
    </w:p>
    <w:p>
      <w:pPr>
        <w:spacing w:after="80" w:before="180"/>
      </w:pPr>
      <w:r>
        <w:rPr>
          <w:rFonts w:ascii="Arial" w:cs="Arial" w:eastAsia="Arial" w:hAnsi="Arial"/>
          <w:b/>
          <w:bCs/>
          <w:color w:val="1A1A1A"/>
          <w:sz w:val="22"/>
          <w:szCs w:val="22"/>
        </w:rPr>
        <w:t xml:space="preserve">The seven-field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Account (or industry)</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Target account name, or target industry if this is industry-wide content</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Persona tier</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Tier 1 economic buyer, Tier 2 technical evaluator, or Tier 3 functional owner</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edition</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RC, TH, HLS, TMT, ER, ICE, or Core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Content type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of the seven content types in Part D</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Primary goal</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Awareness, engagement, meeting request, nurture, or re-engagement</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Deadline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Draft due date and external distribution date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reviewer</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Named individual who will review your draft</w:t>
            </w:r>
          </w:p>
        </w:tc>
      </w:tr>
    </w:tbl>
    <w:p>
      <w:pPr>
        <w:spacing w:after="80" w:before="180"/>
      </w:pPr>
      <w:r>
        <w:rPr>
          <w:rFonts w:ascii="Arial" w:cs="Arial" w:eastAsia="Arial" w:hAnsi="Arial"/>
          <w:b/>
          <w:bCs/>
          <w:color w:val="1A1A1A"/>
          <w:sz w:val="22"/>
          <w:szCs w:val="22"/>
        </w:rPr>
        <w:t xml:space="preserve">Output of step 1</w:t>
      </w:r>
    </w:p>
    <w:p>
      <w:pPr>
        <w:spacing w:after="120" w:line="300"/>
      </w:pPr>
      <w:r>
        <w:rPr>
          <w:rFonts w:ascii="Arial" w:cs="Arial" w:eastAsia="Arial" w:hAnsi="Arial"/>
          <w:sz w:val="22"/>
          <w:szCs w:val="22"/>
        </w:rPr>
        <w:t xml:space="preserve">You have restated the brief in your own words in a reply to the onshore lead and received acknowledgment. Only then do you move to step 2.</w:t>
      </w:r>
    </w:p>
    <w:p>
      <w:pPr>
        <w:pStyle w:val="Heading2"/>
        <w:spacing w:after="160" w:before="320"/>
      </w:pPr>
      <w:r>
        <w:rPr>
          <w:rFonts w:ascii="Arial" w:cs="Arial" w:eastAsia="Arial" w:hAnsi="Arial"/>
          <w:b/>
          <w:bCs/>
          <w:color w:val="1A1A1A"/>
          <w:sz w:val="28"/>
          <w:szCs w:val="28"/>
        </w:rPr>
        <w:t xml:space="preserve">C.2  Step 2 — Account and persona research</w:t>
      </w:r>
    </w:p>
    <w:p>
      <w:pPr>
        <w:spacing w:after="80" w:before="180"/>
      </w:pPr>
      <w:r>
        <w:rPr>
          <w:rFonts w:ascii="Arial" w:cs="Arial" w:eastAsia="Arial" w:hAnsi="Arial"/>
          <w:b/>
          <w:bCs/>
          <w:color w:val="1A1A1A"/>
          <w:sz w:val="22"/>
          <w:szCs w:val="22"/>
        </w:rPr>
        <w:t xml:space="preserve">Input</w:t>
      </w:r>
    </w:p>
    <w:p>
      <w:pPr>
        <w:spacing w:after="120" w:line="300"/>
      </w:pPr>
      <w:r>
        <w:rPr>
          <w:rFonts w:ascii="Arial" w:cs="Arial" w:eastAsia="Arial" w:hAnsi="Arial"/>
          <w:sz w:val="22"/>
          <w:szCs w:val="22"/>
        </w:rPr>
        <w:t xml:space="preserve">The brief. Plus a four-hour research time-box. If the research would take more than four hours, escalate before starting — we may be asking for more than the asset needs.</w:t>
      </w:r>
    </w:p>
    <w:p>
      <w:pPr>
        <w:spacing w:after="80" w:before="180"/>
      </w:pPr>
      <w:r>
        <w:rPr>
          <w:rFonts w:ascii="Arial" w:cs="Arial" w:eastAsia="Arial" w:hAnsi="Arial"/>
          <w:b/>
          <w:bCs/>
          <w:color w:val="1A1A1A"/>
          <w:sz w:val="22"/>
          <w:szCs w:val="22"/>
        </w:rPr>
        <w:t xml:space="preserve">Authorized research sources</w:t>
      </w:r>
    </w:p>
    <w:p>
      <w:pPr>
        <w:pStyle w:val="ListParagraph"/>
        <w:numPr>
          <w:ilvl w:val="0"/>
          <w:numId w:val="2"/>
        </w:numPr>
        <w:spacing w:after="80" w:line="280"/>
      </w:pPr>
      <w:r>
        <w:rPr>
          <w:rFonts w:ascii="Arial" w:cs="Arial" w:eastAsia="Arial" w:hAnsi="Arial"/>
          <w:sz w:val="22"/>
          <w:szCs w:val="22"/>
        </w:rPr>
        <w:t xml:space="preserve">The client's most recent annual report, 10-K, or equivalent filing</w:t>
      </w:r>
    </w:p>
    <w:p>
      <w:pPr>
        <w:pStyle w:val="ListParagraph"/>
        <w:numPr>
          <w:ilvl w:val="0"/>
          <w:numId w:val="2"/>
        </w:numPr>
        <w:spacing w:after="80" w:line="280"/>
      </w:pPr>
      <w:r>
        <w:rPr>
          <w:rFonts w:ascii="Arial" w:cs="Arial" w:eastAsia="Arial" w:hAnsi="Arial"/>
          <w:sz w:val="22"/>
          <w:szCs w:val="22"/>
        </w:rPr>
        <w:t xml:space="preserve">The client's last two quarterly earnings calls and investor decks</w:t>
      </w:r>
    </w:p>
    <w:p>
      <w:pPr>
        <w:pStyle w:val="ListParagraph"/>
        <w:numPr>
          <w:ilvl w:val="0"/>
          <w:numId w:val="2"/>
        </w:numPr>
        <w:spacing w:after="80" w:line="280"/>
      </w:pPr>
      <w:r>
        <w:rPr>
          <w:rFonts w:ascii="Arial" w:cs="Arial" w:eastAsia="Arial" w:hAnsi="Arial"/>
          <w:sz w:val="22"/>
          <w:szCs w:val="22"/>
        </w:rPr>
        <w:t xml:space="preserve">Three to five industry analyst pieces from Gartner, Forrester, McKinsey, BCG, Bain, or equivalent</w:t>
      </w:r>
    </w:p>
    <w:p>
      <w:pPr>
        <w:pStyle w:val="ListParagraph"/>
        <w:numPr>
          <w:ilvl w:val="0"/>
          <w:numId w:val="2"/>
        </w:numPr>
        <w:spacing w:after="80" w:line="280"/>
      </w:pPr>
      <w:r>
        <w:rPr>
          <w:rFonts w:ascii="Arial" w:cs="Arial" w:eastAsia="Arial" w:hAnsi="Arial"/>
          <w:sz w:val="22"/>
          <w:szCs w:val="22"/>
        </w:rPr>
        <w:t xml:space="preserve">Publicly posted leadership profiles on LinkedIn — persona tier only, not personal details</w:t>
      </w:r>
    </w:p>
    <w:p>
      <w:pPr>
        <w:pStyle w:val="ListParagraph"/>
        <w:numPr>
          <w:ilvl w:val="0"/>
          <w:numId w:val="2"/>
        </w:numPr>
        <w:spacing w:after="80" w:line="280"/>
      </w:pPr>
      <w:r>
        <w:rPr>
          <w:rFonts w:ascii="Arial" w:cs="Arial" w:eastAsia="Arial" w:hAnsi="Arial"/>
          <w:sz w:val="22"/>
          <w:szCs w:val="22"/>
        </w:rPr>
        <w:t xml:space="preserve">Deloitte's internal account intelligence files where provided by your onshore lead</w:t>
      </w:r>
    </w:p>
    <w:p>
      <w:pPr>
        <w:pStyle w:val="ListParagraph"/>
        <w:numPr>
          <w:ilvl w:val="0"/>
          <w:numId w:val="2"/>
        </w:numPr>
        <w:spacing w:after="80" w:line="280"/>
      </w:pPr>
      <w:r>
        <w:rPr>
          <w:rFonts w:ascii="Arial" w:cs="Arial" w:eastAsia="Arial" w:hAnsi="Arial"/>
          <w:sz w:val="22"/>
          <w:szCs w:val="22"/>
        </w:rPr>
        <w:t xml:space="preserve">The APEX Sellers Guide — only the sections explicitly pointed to you by your onshore lead</w:t>
      </w:r>
    </w:p>
    <w:p>
      <w:pPr>
        <w:spacing w:after="80" w:before="180"/>
      </w:pPr>
      <w:r>
        <w:rPr>
          <w:rFonts w:ascii="Arial" w:cs="Arial" w:eastAsia="Arial" w:hAnsi="Arial"/>
          <w:b/>
          <w:bCs/>
          <w:color w:val="1A1A1A"/>
          <w:sz w:val="22"/>
          <w:szCs w:val="22"/>
        </w:rPr>
        <w:t xml:space="preserve">Sources you do not use</w:t>
      </w:r>
    </w:p>
    <w:p>
      <w:pPr>
        <w:pStyle w:val="ListParagraph"/>
        <w:numPr>
          <w:ilvl w:val="0"/>
          <w:numId w:val="2"/>
        </w:numPr>
        <w:spacing w:after="80" w:line="280"/>
      </w:pPr>
      <w:r>
        <w:rPr>
          <w:rFonts w:ascii="Arial" w:cs="Arial" w:eastAsia="Arial" w:hAnsi="Arial"/>
          <w:sz w:val="22"/>
          <w:szCs w:val="22"/>
        </w:rPr>
        <w:t xml:space="preserve">Competitor websites or marketing copy — verbatim language can create IP exposure</w:t>
      </w:r>
    </w:p>
    <w:p>
      <w:pPr>
        <w:pStyle w:val="ListParagraph"/>
        <w:numPr>
          <w:ilvl w:val="0"/>
          <w:numId w:val="2"/>
        </w:numPr>
        <w:spacing w:after="80" w:line="280"/>
      </w:pPr>
      <w:r>
        <w:rPr>
          <w:rFonts w:ascii="Arial" w:cs="Arial" w:eastAsia="Arial" w:hAnsi="Arial"/>
          <w:sz w:val="22"/>
          <w:szCs w:val="22"/>
        </w:rPr>
        <w:t xml:space="preserve">Personal blogs, opinion pieces, or unverified industry posts</w:t>
      </w:r>
    </w:p>
    <w:p>
      <w:pPr>
        <w:pStyle w:val="ListParagraph"/>
        <w:numPr>
          <w:ilvl w:val="0"/>
          <w:numId w:val="2"/>
        </w:numPr>
        <w:spacing w:after="80" w:line="280"/>
      </w:pPr>
      <w:r>
        <w:rPr>
          <w:rFonts w:ascii="Arial" w:cs="Arial" w:eastAsia="Arial" w:hAnsi="Arial"/>
          <w:sz w:val="22"/>
          <w:szCs w:val="22"/>
        </w:rPr>
        <w:t xml:space="preserve">Anything requiring a paid subscription you do not have authorized access to</w:t>
      </w:r>
    </w:p>
    <w:p>
      <w:pPr>
        <w:pStyle w:val="ListParagraph"/>
        <w:numPr>
          <w:ilvl w:val="0"/>
          <w:numId w:val="2"/>
        </w:numPr>
        <w:spacing w:after="80" w:line="280"/>
      </w:pPr>
      <w:r>
        <w:rPr>
          <w:rFonts w:ascii="Arial" w:cs="Arial" w:eastAsia="Arial" w:hAnsi="Arial"/>
          <w:sz w:val="22"/>
          <w:szCs w:val="22"/>
        </w:rPr>
        <w:t xml:space="preserve">Generative AI tools other than those Deloitte has approved and configured with proper data-handling</w:t>
      </w:r>
    </w:p>
    <w:p>
      <w:pPr>
        <w:spacing w:after="80" w:before="180"/>
      </w:pPr>
      <w:r>
        <w:rPr>
          <w:rFonts w:ascii="Arial" w:cs="Arial" w:eastAsia="Arial" w:hAnsi="Arial"/>
          <w:b/>
          <w:bCs/>
          <w:color w:val="1A1A1A"/>
          <w:sz w:val="22"/>
          <w:szCs w:val="22"/>
        </w:rPr>
        <w:t xml:space="preserve">Research deliverable</w:t>
      </w:r>
    </w:p>
    <w:p>
      <w:pPr>
        <w:spacing w:after="120" w:line="300"/>
      </w:pPr>
      <w:r>
        <w:rPr>
          <w:rFonts w:ascii="Arial" w:cs="Arial" w:eastAsia="Arial" w:hAnsi="Arial"/>
          <w:sz w:val="22"/>
          <w:szCs w:val="22"/>
        </w:rPr>
        <w:t xml:space="preserve">You produce a one-page research summary with five fields before drafting any content:</w:t>
      </w:r>
    </w:p>
    <w:p>
      <w:pPr>
        <w:pStyle w:val="ListParagraph"/>
        <w:numPr>
          <w:ilvl w:val="0"/>
          <w:numId w:val="3"/>
        </w:numPr>
        <w:spacing w:after="80" w:line="280"/>
      </w:pPr>
      <w:r>
        <w:rPr>
          <w:rFonts w:ascii="Arial" w:cs="Arial" w:eastAsia="Arial" w:hAnsi="Arial"/>
          <w:sz w:val="22"/>
          <w:szCs w:val="22"/>
        </w:rPr>
        <w:t xml:space="preserve">Stated business goal in the client's own words, with the source cited</w:t>
      </w:r>
    </w:p>
    <w:p>
      <w:pPr>
        <w:pStyle w:val="ListParagraph"/>
        <w:numPr>
          <w:ilvl w:val="0"/>
          <w:numId w:val="3"/>
        </w:numPr>
        <w:spacing w:after="80" w:line="280"/>
      </w:pPr>
      <w:r>
        <w:rPr>
          <w:rFonts w:ascii="Arial" w:cs="Arial" w:eastAsia="Arial" w:hAnsi="Arial"/>
          <w:sz w:val="22"/>
          <w:szCs w:val="22"/>
        </w:rPr>
        <w:t xml:space="preserve">External trend pressuring that goal, with the source cited</w:t>
      </w:r>
    </w:p>
    <w:p>
      <w:pPr>
        <w:pStyle w:val="ListParagraph"/>
        <w:numPr>
          <w:ilvl w:val="0"/>
          <w:numId w:val="3"/>
        </w:numPr>
        <w:spacing w:after="80" w:line="280"/>
      </w:pPr>
      <w:r>
        <w:rPr>
          <w:rFonts w:ascii="Arial" w:cs="Arial" w:eastAsia="Arial" w:hAnsi="Arial"/>
          <w:sz w:val="22"/>
          <w:szCs w:val="22"/>
        </w:rPr>
        <w:t xml:space="preserve">Current Microsoft footprint at the account, to the extent it is publicly known</w:t>
      </w:r>
    </w:p>
    <w:p>
      <w:pPr>
        <w:pStyle w:val="ListParagraph"/>
        <w:numPr>
          <w:ilvl w:val="0"/>
          <w:numId w:val="3"/>
        </w:numPr>
        <w:spacing w:after="80" w:line="280"/>
      </w:pPr>
      <w:r>
        <w:rPr>
          <w:rFonts w:ascii="Arial" w:cs="Arial" w:eastAsia="Arial" w:hAnsi="Arial"/>
          <w:sz w:val="22"/>
          <w:szCs w:val="22"/>
        </w:rPr>
        <w:t xml:space="preserve">Likely persona pain points for the targeted tier, drawn from analyst references not guesswork</w:t>
      </w:r>
    </w:p>
    <w:p>
      <w:pPr>
        <w:pStyle w:val="ListParagraph"/>
        <w:numPr>
          <w:ilvl w:val="0"/>
          <w:numId w:val="3"/>
        </w:numPr>
        <w:spacing w:after="80" w:line="280"/>
      </w:pPr>
      <w:r>
        <w:rPr>
          <w:rFonts w:ascii="Arial" w:cs="Arial" w:eastAsia="Arial" w:hAnsi="Arial"/>
          <w:sz w:val="22"/>
          <w:szCs w:val="22"/>
        </w:rPr>
        <w:t xml:space="preserve">One candidate unconsidered need we can introduce</w:t>
      </w:r>
    </w:p>
    <w:p>
      <w:pPr>
        <w:pStyle w:val="Heading2"/>
        <w:spacing w:after="160" w:before="320"/>
      </w:pPr>
      <w:r>
        <w:rPr>
          <w:rFonts w:ascii="Arial" w:cs="Arial" w:eastAsia="Arial" w:hAnsi="Arial"/>
          <w:b/>
          <w:bCs/>
          <w:color w:val="1A1A1A"/>
          <w:sz w:val="28"/>
          <w:szCs w:val="28"/>
        </w:rPr>
        <w:t xml:space="preserve">C.3  Step 3 — Draft using the right template</w:t>
      </w:r>
    </w:p>
    <w:p>
      <w:pPr>
        <w:spacing w:after="120" w:line="300"/>
      </w:pPr>
      <w:r>
        <w:rPr>
          <w:rFonts w:ascii="Arial" w:cs="Arial" w:eastAsia="Arial" w:hAnsi="Arial"/>
          <w:sz w:val="22"/>
          <w:szCs w:val="22"/>
        </w:rPr>
        <w:t xml:space="preserve">You will draft in the specific template for the content type. Part D lists all seven content types and their templates. You will not invent a new format.</w:t>
      </w:r>
    </w:p>
    <w:p>
      <w:pPr>
        <w:spacing w:after="80" w:before="180"/>
      </w:pPr>
      <w:r>
        <w:rPr>
          <w:rFonts w:ascii="Arial" w:cs="Arial" w:eastAsia="Arial" w:hAnsi="Arial"/>
          <w:b/>
          <w:bCs/>
          <w:color w:val="1A1A1A"/>
          <w:sz w:val="22"/>
          <w:szCs w:val="22"/>
        </w:rPr>
        <w:t xml:space="preserve">Drafting discipline</w:t>
      </w:r>
    </w:p>
    <w:p>
      <w:pPr>
        <w:pStyle w:val="ListParagraph"/>
        <w:numPr>
          <w:ilvl w:val="0"/>
          <w:numId w:val="2"/>
        </w:numPr>
        <w:spacing w:after="80" w:line="280"/>
      </w:pPr>
      <w:r>
        <w:rPr>
          <w:rFonts w:ascii="Arial" w:cs="Arial" w:eastAsia="Arial" w:hAnsi="Arial"/>
          <w:sz w:val="22"/>
          <w:szCs w:val="22"/>
        </w:rPr>
        <w:t xml:space="preserve">Write in Deloitte-neutral American English. Avoid regional idioms, colloquialisms, and sports metaphors.</w:t>
      </w:r>
    </w:p>
    <w:p>
      <w:pPr>
        <w:pStyle w:val="ListParagraph"/>
        <w:numPr>
          <w:ilvl w:val="0"/>
          <w:numId w:val="2"/>
        </w:numPr>
        <w:spacing w:after="80" w:line="280"/>
      </w:pPr>
      <w:r>
        <w:rPr>
          <w:rFonts w:ascii="Arial" w:cs="Arial" w:eastAsia="Arial" w:hAnsi="Arial"/>
          <w:sz w:val="22"/>
          <w:szCs w:val="22"/>
        </w:rPr>
        <w:t xml:space="preserve">Use the active voice. Subject, verb, object. Short sentences outperform long ones.</w:t>
      </w:r>
    </w:p>
    <w:p>
      <w:pPr>
        <w:pStyle w:val="ListParagraph"/>
        <w:numPr>
          <w:ilvl w:val="0"/>
          <w:numId w:val="2"/>
        </w:numPr>
        <w:spacing w:after="80" w:line="280"/>
      </w:pPr>
      <w:r>
        <w:rPr>
          <w:rFonts w:ascii="Arial" w:cs="Arial" w:eastAsia="Arial" w:hAnsi="Arial"/>
          <w:sz w:val="22"/>
          <w:szCs w:val="22"/>
        </w:rPr>
        <w:t xml:space="preserve">Lead with the client. Mention Deloitte later. Mention APEX only when the audience is internal or the context clearly allows it.</w:t>
      </w:r>
    </w:p>
    <w:p>
      <w:pPr>
        <w:pStyle w:val="ListParagraph"/>
        <w:numPr>
          <w:ilvl w:val="0"/>
          <w:numId w:val="2"/>
        </w:numPr>
        <w:spacing w:after="80" w:line="280"/>
      </w:pPr>
      <w:r>
        <w:rPr>
          <w:rFonts w:ascii="Arial" w:cs="Arial" w:eastAsia="Arial" w:hAnsi="Arial"/>
          <w:sz w:val="22"/>
          <w:szCs w:val="22"/>
        </w:rPr>
        <w:t xml:space="preserve">Every measurable claim requires a source. No source, no claim.</w:t>
      </w:r>
    </w:p>
    <w:p>
      <w:pPr>
        <w:pStyle w:val="ListParagraph"/>
        <w:numPr>
          <w:ilvl w:val="0"/>
          <w:numId w:val="2"/>
        </w:numPr>
        <w:spacing w:after="80" w:line="280"/>
      </w:pPr>
      <w:r>
        <w:rPr>
          <w:rFonts w:ascii="Arial" w:cs="Arial" w:eastAsia="Arial" w:hAnsi="Arial"/>
          <w:sz w:val="22"/>
          <w:szCs w:val="22"/>
        </w:rPr>
        <w:t xml:space="preserve">Apply the Independence language check in real time as you write. Do not defer it.</w:t>
      </w:r>
    </w:p>
    <w:p>
      <w:pPr>
        <w:pStyle w:val="Heading2"/>
        <w:spacing w:after="160" w:before="320"/>
      </w:pPr>
      <w:r>
        <w:rPr>
          <w:rFonts w:ascii="Arial" w:cs="Arial" w:eastAsia="Arial" w:hAnsi="Arial"/>
          <w:b/>
          <w:bCs/>
          <w:color w:val="1A1A1A"/>
          <w:sz w:val="28"/>
          <w:szCs w:val="28"/>
        </w:rPr>
        <w:t xml:space="preserve">C.4  Step 4 — Self-QA against the checklist</w:t>
      </w:r>
    </w:p>
    <w:p>
      <w:pPr>
        <w:spacing w:after="120" w:line="300"/>
      </w:pPr>
      <w:r>
        <w:rPr>
          <w:rFonts w:ascii="Arial" w:cs="Arial" w:eastAsia="Arial" w:hAnsi="Arial"/>
          <w:sz w:val="22"/>
          <w:szCs w:val="22"/>
        </w:rPr>
        <w:t xml:space="preserve">Before you send the draft to anyone, you run it through the Self-QA checklist in Section E.4. Do this twice — once immediately after drafting, once after a minimum two-hour break. The second pass catches what the first misses.</w:t>
      </w:r>
    </w:p>
    <w:p>
      <w:pPr>
        <w:pStyle w:val="Heading2"/>
        <w:spacing w:after="160" w:before="320"/>
      </w:pPr>
      <w:r>
        <w:rPr>
          <w:rFonts w:ascii="Arial" w:cs="Arial" w:eastAsia="Arial" w:hAnsi="Arial"/>
          <w:b/>
          <w:bCs/>
          <w:color w:val="1A1A1A"/>
          <w:sz w:val="28"/>
          <w:szCs w:val="28"/>
        </w:rPr>
        <w:t xml:space="preserve">C.5  Step 5 — Peer review</w:t>
      </w:r>
    </w:p>
    <w:p>
      <w:pPr>
        <w:spacing w:after="120" w:line="300"/>
      </w:pPr>
      <w:r>
        <w:rPr>
          <w:rFonts w:ascii="Arial" w:cs="Arial" w:eastAsia="Arial" w:hAnsi="Arial"/>
          <w:sz w:val="22"/>
          <w:szCs w:val="22"/>
        </w:rPr>
        <w:t xml:space="preserve">You exchange drafts with a designated peer in the offshore team. The peer runs the same checklist in Section E.4 independently. You incorporate their feedback before onshore hand-off. If you disagree with a peer comment, you mark it and flag it for onshore — you do not overrule it unilaterally.</w:t>
      </w:r>
    </w:p>
    <w:p>
      <w:pPr>
        <w:pStyle w:val="Heading2"/>
        <w:spacing w:after="160" w:before="320"/>
      </w:pPr>
      <w:r>
        <w:rPr>
          <w:rFonts w:ascii="Arial" w:cs="Arial" w:eastAsia="Arial" w:hAnsi="Arial"/>
          <w:b/>
          <w:bCs/>
          <w:color w:val="1A1A1A"/>
          <w:sz w:val="28"/>
          <w:szCs w:val="28"/>
        </w:rPr>
        <w:t xml:space="preserve">C.6  Step 6 — Onshore reviewer hand-off</w:t>
      </w:r>
    </w:p>
    <w:p>
      <w:pPr>
        <w:spacing w:after="120" w:line="300"/>
      </w:pPr>
      <w:r>
        <w:rPr>
          <w:rFonts w:ascii="Arial" w:cs="Arial" w:eastAsia="Arial" w:hAnsi="Arial"/>
          <w:sz w:val="22"/>
          <w:szCs w:val="22"/>
        </w:rPr>
        <w:t xml:space="preserve">You send the draft to the named onshore reviewer with three attached items:</w:t>
      </w:r>
    </w:p>
    <w:p>
      <w:pPr>
        <w:pStyle w:val="ListParagraph"/>
        <w:numPr>
          <w:ilvl w:val="0"/>
          <w:numId w:val="3"/>
        </w:numPr>
        <w:spacing w:after="80" w:line="280"/>
      </w:pPr>
      <w:r>
        <w:rPr>
          <w:rFonts w:ascii="Arial" w:cs="Arial" w:eastAsia="Arial" w:hAnsi="Arial"/>
          <w:sz w:val="22"/>
          <w:szCs w:val="22"/>
        </w:rPr>
        <w:t xml:space="preserve">The original brief</w:t>
      </w:r>
    </w:p>
    <w:p>
      <w:pPr>
        <w:pStyle w:val="ListParagraph"/>
        <w:numPr>
          <w:ilvl w:val="0"/>
          <w:numId w:val="3"/>
        </w:numPr>
        <w:spacing w:after="80" w:line="280"/>
      </w:pPr>
      <w:r>
        <w:rPr>
          <w:rFonts w:ascii="Arial" w:cs="Arial" w:eastAsia="Arial" w:hAnsi="Arial"/>
          <w:sz w:val="22"/>
          <w:szCs w:val="22"/>
        </w:rPr>
        <w:t xml:space="preserve">The one-page research summary from step 2</w:t>
      </w:r>
    </w:p>
    <w:p>
      <w:pPr>
        <w:pStyle w:val="ListParagraph"/>
        <w:numPr>
          <w:ilvl w:val="0"/>
          <w:numId w:val="3"/>
        </w:numPr>
        <w:spacing w:after="80" w:line="280"/>
      </w:pPr>
      <w:r>
        <w:rPr>
          <w:rFonts w:ascii="Arial" w:cs="Arial" w:eastAsia="Arial" w:hAnsi="Arial"/>
          <w:sz w:val="22"/>
          <w:szCs w:val="22"/>
        </w:rPr>
        <w:t xml:space="preserve">The completed Self-QA checklist with your peer reviewer's initials</w:t>
      </w:r>
    </w:p>
    <w:p>
      <w:pPr>
        <w:spacing w:after="120" w:line="300"/>
      </w:pPr>
      <w:r>
        <w:rPr>
          <w:rFonts w:ascii="Arial" w:cs="Arial" w:eastAsia="Arial" w:hAnsi="Arial"/>
          <w:sz w:val="22"/>
          <w:szCs w:val="22"/>
        </w:rPr>
        <w:t xml:space="preserve">The onshore reviewer returns the draft with one of three dispositions: approved, approved with edits, or rejected with rework instructions. Typical turnaround is forty-eight hours. Do not chase before then.</w:t>
      </w:r>
    </w:p>
    <w:p>
      <w:pPr>
        <w:pStyle w:val="Heading2"/>
        <w:spacing w:after="160" w:before="320"/>
      </w:pPr>
      <w:r>
        <w:rPr>
          <w:rFonts w:ascii="Arial" w:cs="Arial" w:eastAsia="Arial" w:hAnsi="Arial"/>
          <w:b/>
          <w:bCs/>
          <w:color w:val="1A1A1A"/>
          <w:sz w:val="28"/>
          <w:szCs w:val="28"/>
        </w:rPr>
        <w:t xml:space="preserve">C.7  Step 7 — Compliance clearance</w:t>
      </w:r>
    </w:p>
    <w:p>
      <w:pPr>
        <w:spacing w:after="120" w:line="300"/>
      </w:pPr>
      <w:r>
        <w:rPr>
          <w:rFonts w:ascii="Arial" w:cs="Arial" w:eastAsia="Arial" w:hAnsi="Arial"/>
          <w:sz w:val="22"/>
          <w:szCs w:val="22"/>
        </w:rPr>
        <w:t xml:space="preserve">The onshore reviewer will route compliance-sensitive drafts to the Deloitte Independence Office or the pursuit Quality Reviewer. This is out of your hands. You may be asked to revise in response. You will never initiate contact with Independence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C8C8C8" w:sz="4"/>
              <w:bottom w:val="single" w:color="C8C8C8" w:sz="4"/>
              <w:right w:val="single" w:color="C8C8C8" w:sz="4"/>
            </w:tcBorders>
            <w:shd w:fill="FDF3E0" w:val="clear"/>
            <w:tcMar>
              <w:top w:type="dxa" w:w="140"/>
              <w:left w:type="dxa" w:w="200"/>
              <w:bottom w:type="dxa" w:w="140"/>
              <w:right w:type="dxa" w:w="200"/>
            </w:tcMar>
          </w:tcPr>
          <w:p>
            <w:pPr>
              <w:spacing w:after="60"/>
            </w:pPr>
            <w:r>
              <w:rPr>
                <w:rFonts w:ascii="Arial" w:cs="Arial" w:eastAsia="Arial" w:hAnsi="Arial"/>
                <w:b/>
                <w:bCs/>
                <w:color w:val="B8860B"/>
                <w:spacing w:val="20"/>
                <w:sz w:val="18"/>
                <w:szCs w:val="18"/>
              </w:rPr>
              <w:t xml:space="preserve">WHEN COMPLIANCE IS MANDATORY</w:t>
            </w:r>
          </w:p>
          <w:p>
            <w:pPr>
              <w:spacing w:after="120" w:line="300"/>
            </w:pPr>
            <w:r>
              <w:rPr>
                <w:rFonts w:ascii="Arial" w:cs="Arial" w:eastAsia="Arial" w:hAnsi="Arial"/>
                <w:sz w:val="22"/>
                <w:szCs w:val="22"/>
              </w:rPr>
              <w:t xml:space="preserve">Any draft that will be externally distributed to a prospective client, a Microsoft contact, or published on a Deloitte social channel must have compliance clearance before release. Internal-only drafts for the onshore seller do not.</w:t>
            </w:r>
          </w:p>
          <w:p>
            <w:pPr>
              <w:spacing w:after="120" w:line="300"/>
            </w:pPr>
            <w:r>
              <w:rPr>
                <w:rFonts w:ascii="Arial" w:cs="Arial" w:eastAsia="Arial" w:hAnsi="Arial"/>
                <w:sz w:val="22"/>
                <w:szCs w:val="22"/>
              </w:rPr>
              <w:t xml:space="preserve">If you are ever unsure whether a draft is internal or external, treat it as external and route it for clearance.</w:t>
            </w:r>
          </w:p>
        </w:tc>
      </w:tr>
    </w:tbl>
    <w:p>
      <w:pPr>
        <w:pStyle w:val="Heading2"/>
        <w:spacing w:after="160" w:before="320"/>
      </w:pPr>
      <w:r>
        <w:rPr>
          <w:rFonts w:ascii="Arial" w:cs="Arial" w:eastAsia="Arial" w:hAnsi="Arial"/>
          <w:b/>
          <w:bCs/>
          <w:color w:val="1A1A1A"/>
          <w:sz w:val="28"/>
          <w:szCs w:val="28"/>
        </w:rPr>
        <w:t xml:space="preserve">C.8  Step 8 — Publish, send, archive</w:t>
      </w:r>
    </w:p>
    <w:p>
      <w:pPr>
        <w:spacing w:after="120" w:line="300"/>
      </w:pPr>
      <w:r>
        <w:rPr>
          <w:rFonts w:ascii="Arial" w:cs="Arial" w:eastAsia="Arial" w:hAnsi="Arial"/>
          <w:sz w:val="22"/>
          <w:szCs w:val="22"/>
        </w:rPr>
        <w:t xml:space="preserve">Once a draft is cleared, distribution is done by the onshore lead, not by you. Your final action is to archive the approved version in the team's SharePoint library with the naming convention:</w:t>
      </w:r>
    </w:p>
    <w:p>
      <w:pPr>
        <w:spacing w:after="120" w:line="300"/>
      </w:pPr>
      <w:r>
        <w:rPr>
          <w:rFonts w:ascii="Consolas" w:cs="Consolas" w:eastAsia="Consolas" w:hAnsi="Consolas"/>
          <w:sz w:val="20"/>
          <w:szCs w:val="20"/>
        </w:rPr>
        <w:t xml:space="preserve">[ACCOUNT]_[EDITION]_[CONTENT-TYPE]_[YYYY-MM-DD]_[REV].docx</w:t>
      </w:r>
    </w:p>
    <w:p>
      <w:pPr>
        <w:spacing w:after="120" w:line="300"/>
      </w:pPr>
      <w:r>
        <w:rPr>
          <w:rFonts w:ascii="Arial" w:cs="Arial" w:eastAsia="Arial" w:hAnsi="Arial"/>
          <w:sz w:val="22"/>
          <w:szCs w:val="22"/>
        </w:rPr>
        <w:t xml:space="preserve">Example: NIKE_RC_MEETING-PREP_2026-05-14_v3.docx. Consistent naming is the difference between an archive that is useful and one that is a swamp.</w:t>
      </w:r>
    </w:p>
    <w:p>
      <w:pPr>
        <w:pStyle w:val="Heading1"/>
        <w:pageBreakBefore/>
        <w:spacing w:after="240" w:before="0"/>
      </w:pPr>
      <w:r>
        <w:rPr>
          <w:rFonts w:ascii="Arial" w:cs="Arial" w:eastAsia="Arial" w:hAnsi="Arial"/>
          <w:b/>
          <w:bCs/>
          <w:color w:val="004B38"/>
          <w:sz w:val="36"/>
          <w:szCs w:val="36"/>
        </w:rPr>
        <w:t xml:space="preserve">Part D. The Content Types You Will Build</w:t>
      </w:r>
    </w:p>
    <w:p>
      <w:pPr>
        <w:spacing w:after="120" w:line="300"/>
      </w:pPr>
      <w:r>
        <w:rPr>
          <w:rFonts w:ascii="Arial" w:cs="Arial" w:eastAsia="Arial" w:hAnsi="Arial"/>
          <w:sz w:val="22"/>
          <w:szCs w:val="22"/>
        </w:rPr>
        <w:t xml:space="preserve">You are authorized to draft seven content types. Each has a defined structure, a defined length, and a defined review path. Invention beyond this list is not helpful — it slows the workflow and creates compliance risk.</w:t>
      </w:r>
    </w:p>
    <w:p>
      <w:pPr>
        <w:pStyle w:val="Heading2"/>
        <w:spacing w:after="160" w:before="320"/>
      </w:pPr>
      <w:r>
        <w:rPr>
          <w:rFonts w:ascii="Arial" w:cs="Arial" w:eastAsia="Arial" w:hAnsi="Arial"/>
          <w:b/>
          <w:bCs/>
          <w:color w:val="1A1A1A"/>
          <w:sz w:val="28"/>
          <w:szCs w:val="28"/>
        </w:rPr>
        <w:t xml:space="preserve">D.1  Account one-pager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an onshore seller everything they need about an account in a single page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page, eight hundred to twelve hundred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only — never distributed externally</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Company snapshot | Stated strategy | Microsoft footprint | Likely pain | Recommended APEX edition | Suggested entry point | Risks and red flags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Four hours of research, two hours of drafting, one hour of revision</w:t>
            </w:r>
          </w:p>
        </w:tc>
      </w:tr>
    </w:tbl>
    <w:p>
      <w:pPr>
        <w:pStyle w:val="Heading2"/>
        <w:spacing w:after="160" w:before="320"/>
      </w:pPr>
      <w:r>
        <w:rPr>
          <w:rFonts w:ascii="Arial" w:cs="Arial" w:eastAsia="Arial" w:hAnsi="Arial"/>
          <w:b/>
          <w:bCs/>
          <w:color w:val="1A1A1A"/>
          <w:sz w:val="28"/>
          <w:szCs w:val="28"/>
        </w:rPr>
        <w:t xml:space="preserve">D.2  Persona-tuned cold email and LinkedIn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Open a first conversation with a targeted persona</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Email: one hundred twenty to one hundred eighty words. LinkedIn: forty to sixty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requires compliance clearance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Grabber | One external data point | Unconsidered need | Single ask (fifteen-minute conversation)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Forbidden</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Any reference to pricing, contracts, SOW, “partnership” language, or unverified outcome claims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Two hours drafting, one hour revision</w:t>
            </w:r>
          </w:p>
        </w:tc>
      </w:tr>
    </w:tbl>
    <w:p>
      <w:pPr>
        <w:pStyle w:val="Heading2"/>
        <w:spacing w:after="160" w:before="320"/>
      </w:pPr>
      <w:r>
        <w:rPr>
          <w:rFonts w:ascii="Arial" w:cs="Arial" w:eastAsia="Arial" w:hAnsi="Arial"/>
          <w:b/>
          <w:bCs/>
          <w:color w:val="1A1A1A"/>
          <w:sz w:val="28"/>
          <w:szCs w:val="28"/>
        </w:rPr>
        <w:t xml:space="preserve">D.3  Industry primer and point-of-view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Establish Deloitte's thought leadership on a specific agentic AI topic in a specific industry</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Eight hundred to fifteen hundred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requires compliance clearance and attribution review</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Hook | Trend | Flawed approach | New way | Deloitte angle | Call to action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Attribution</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Any byline or quoted individual must be approved by that individual before publication</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Six hours drafting, two hours revision</w:t>
            </w:r>
          </w:p>
        </w:tc>
      </w:tr>
    </w:tbl>
    <w:p>
      <w:pPr>
        <w:pStyle w:val="Heading2"/>
        <w:spacing w:after="160" w:before="320"/>
      </w:pPr>
      <w:r>
        <w:rPr>
          <w:rFonts w:ascii="Arial" w:cs="Arial" w:eastAsia="Arial" w:hAnsi="Arial"/>
          <w:b/>
          <w:bCs/>
          <w:color w:val="1A1A1A"/>
          <w:sz w:val="28"/>
          <w:szCs w:val="28"/>
        </w:rPr>
        <w:t xml:space="preserve">D.4  Meeting prep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an onshore seller everything they need forty-eight hours before a client meeting</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Six to ten pages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only</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Meeting objective | Attendee profiles | Agenda outline | Three talking points | Two discovery questions per talking point | Known objections and prepared responses | One call-to-action option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Handoff</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Delivered in both Word and PDF, attached to the meeting invite by the onshore lead</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Six to eight hours end to end</w:t>
            </w:r>
          </w:p>
        </w:tc>
      </w:tr>
    </w:tbl>
    <w:p>
      <w:pPr>
        <w:pStyle w:val="Heading2"/>
        <w:spacing w:after="160" w:before="320"/>
      </w:pPr>
      <w:r>
        <w:rPr>
          <w:rFonts w:ascii="Arial" w:cs="Arial" w:eastAsia="Arial" w:hAnsi="Arial"/>
          <w:b/>
          <w:bCs/>
          <w:color w:val="1A1A1A"/>
          <w:sz w:val="28"/>
          <w:szCs w:val="28"/>
        </w:rPr>
        <w:t xml:space="preserve">D.5  Nurture and follow-up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Keep a prospective client warm between active conversations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Three to five touches over thirty to sixty days, each touch eighty to one hundred twenty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 requires compliance clearance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Each touch follows the message pyramid. Sequence opens with insight, moves to proof, closes with a single low-friction ask.</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Cadence rule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No more than two touches in any seven-day window. Never more than five total without a fresh trigger.</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Four hours for the full sequence</w:t>
            </w:r>
          </w:p>
        </w:tc>
      </w:tr>
    </w:tbl>
    <w:p>
      <w:pPr>
        <w:pStyle w:val="Heading2"/>
        <w:spacing w:after="160" w:before="320"/>
      </w:pPr>
      <w:r>
        <w:rPr>
          <w:rFonts w:ascii="Arial" w:cs="Arial" w:eastAsia="Arial" w:hAnsi="Arial"/>
          <w:b/>
          <w:bCs/>
          <w:color w:val="1A1A1A"/>
          <w:sz w:val="28"/>
          <w:szCs w:val="28"/>
        </w:rPr>
        <w:t xml:space="preserve">D.6  Objection-handling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Give an onshore seller a pre-written, pre-cleared response to a common objection</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Sixty to one hundred twenty words per snippet</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Internal use; may be recited by seller in client conversation</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Acknowledge | Reframe | Proof | Forward motion</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Source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Appendix C of the APEX Sellers Guide is your reference for approved positions</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hour per snippet</w:t>
            </w:r>
          </w:p>
        </w:tc>
      </w:tr>
    </w:tbl>
    <w:p>
      <w:pPr>
        <w:pStyle w:val="Heading2"/>
        <w:spacing w:after="160" w:before="320"/>
      </w:pPr>
      <w:r>
        <w:rPr>
          <w:rFonts w:ascii="Arial" w:cs="Arial" w:eastAsia="Arial" w:hAnsi="Arial"/>
          <w:b/>
          <w:bCs/>
          <w:color w:val="1A1A1A"/>
          <w:sz w:val="28"/>
          <w:szCs w:val="28"/>
        </w:rPr>
        <w:t xml:space="preserve">D.7  Case-study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9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Value</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Purpose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Retune an existing anonymized Deloitte reference for a new industry or persona context</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Length</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One page, five hundred to eight hundred words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Audience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Typically internal — external use requires client reference approval</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Structure</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Situation | Flawed approach | What Deloitte did | Measured outcomes | Transferable lessons</w:t>
            </w:r>
          </w:p>
        </w:tc>
      </w:tr>
      <w:tr>
        <w:tc>
          <w:tcPr>
            <w:tcW w:type="dxa" w:w="24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Rule</w:t>
            </w:r>
          </w:p>
        </w:tc>
        <w:tc>
          <w:tcPr>
            <w:tcW w:type="dxa" w:w="69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You never modify the measured outcomes. You only retune the framing, the industry context, and the persona language.</w:t>
            </w:r>
          </w:p>
        </w:tc>
      </w:tr>
      <w:tr>
        <w:tc>
          <w:tcPr>
            <w:tcW w:type="dxa" w:w="24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Time budget</w:t>
            </w:r>
          </w:p>
        </w:tc>
        <w:tc>
          <w:tcPr>
            <w:tcW w:type="dxa" w:w="69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Three to four hours</w:t>
            </w:r>
          </w:p>
        </w:tc>
      </w:tr>
    </w:tbl>
    <w:p>
      <w:pPr>
        <w:pStyle w:val="Heading1"/>
        <w:pageBreakBefore/>
        <w:spacing w:after="240" w:before="0"/>
      </w:pPr>
      <w:r>
        <w:rPr>
          <w:rFonts w:ascii="Arial" w:cs="Arial" w:eastAsia="Arial" w:hAnsi="Arial"/>
          <w:b/>
          <w:bCs/>
          <w:color w:val="004B38"/>
          <w:sz w:val="36"/>
          <w:szCs w:val="36"/>
        </w:rPr>
        <w:t xml:space="preserve">Part E. Templates and Checklists</w:t>
      </w:r>
    </w:p>
    <w:p>
      <w:pPr>
        <w:spacing w:after="120" w:line="300"/>
      </w:pPr>
      <w:r>
        <w:rPr>
          <w:rFonts w:ascii="Arial" w:cs="Arial" w:eastAsia="Arial" w:hAnsi="Arial"/>
          <w:sz w:val="22"/>
          <w:szCs w:val="22"/>
        </w:rPr>
        <w:t xml:space="preserve">The templates in this section are your day-to-day working surface. Copy them into your draft document and fill in the fields. Do not paraphrase the prompts — they are phrased the way they are for a reason.</w:t>
      </w:r>
    </w:p>
    <w:p>
      <w:pPr>
        <w:pStyle w:val="Heading2"/>
        <w:spacing w:after="160" w:before="320"/>
      </w:pPr>
      <w:r>
        <w:rPr>
          <w:rFonts w:ascii="Arial" w:cs="Arial" w:eastAsia="Arial" w:hAnsi="Arial"/>
          <w:b/>
          <w:bCs/>
          <w:color w:val="1A1A1A"/>
          <w:sz w:val="28"/>
          <w:szCs w:val="28"/>
        </w:rPr>
        <w:t xml:space="preserve">E.1  Why Change Planner</w:t>
      </w:r>
    </w:p>
    <w:p>
      <w:pPr>
        <w:spacing w:after="120" w:line="300"/>
      </w:pPr>
      <w:r>
        <w:rPr>
          <w:rFonts w:ascii="Arial" w:cs="Arial" w:eastAsia="Arial" w:hAnsi="Arial"/>
          <w:sz w:val="22"/>
          <w:szCs w:val="22"/>
        </w:rPr>
        <w:t xml:space="preserve">Use this planner for all acquisition content — content aimed at an account that is not yet working with Deloitte on agentic AI, or is working with us in a different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3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Prompt</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Target account or opportunity</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Who is this for?</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Business goal</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“You have been trying to …”</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Trend</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has changed is …”</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Flawed approach</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 common reaction is …”</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Consequence of no change</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“But the risk with that is …”</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New way</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“To avoid this, you need to …”</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Likely outcome</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“As a result …”</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Grabber</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 words-in-common, number-play, what-if, or prop opener</w:t>
            </w:r>
          </w:p>
        </w:tc>
      </w:tr>
    </w:tbl>
    <w:p>
      <w:pPr>
        <w:pStyle w:val="Heading2"/>
        <w:spacing w:after="160" w:before="320"/>
      </w:pPr>
      <w:r>
        <w:rPr>
          <w:rFonts w:ascii="Arial" w:cs="Arial" w:eastAsia="Arial" w:hAnsi="Arial"/>
          <w:b/>
          <w:bCs/>
          <w:color w:val="1A1A1A"/>
          <w:sz w:val="28"/>
          <w:szCs w:val="28"/>
        </w:rPr>
        <w:t xml:space="preserve">E.2  Why Evolve Planner</w:t>
      </w:r>
    </w:p>
    <w:p>
      <w:pPr>
        <w:spacing w:after="120" w:line="300"/>
      </w:pPr>
      <w:r>
        <w:rPr>
          <w:rFonts w:ascii="Arial" w:cs="Arial" w:eastAsia="Arial" w:hAnsi="Arial"/>
          <w:sz w:val="22"/>
          <w:szCs w:val="22"/>
        </w:rPr>
        <w:t xml:space="preserve">Use this planner for expansion content — content aimed at a client where Deloitte is already delivering and we want to grow the footprint. Expansion motion is structurally different from acquisition motion. The mistake offshore drafters most commonly make is using acquisition language on an existing client. That hurts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63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Prompt</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Target contact and client</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Who at the existing client is this aimed at?</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Document results</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Quantify the tenure and impact of the existing Deloitte engagement. What have we helped them achieve so far?</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Evolving pressures</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Describe pressures as a natural progression, not a surprise. “As the program matures, the next set of pressures we see is …”</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Hard truths</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Share missed opportunities you see from our vantage point. Framed constructively.</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Risk of no change</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Underscore the cost of not evolving. Usually this is competitive, not existential.</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Upside opportunity</w:t>
            </w:r>
          </w:p>
        </w:tc>
        <w:tc>
          <w:tcPr>
            <w:tcW w:type="dxa" w:w="6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Use “you” language. Paint the next state clearly.</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Quantified impact</w:t>
            </w:r>
          </w:p>
        </w:tc>
        <w:tc>
          <w:tcPr>
            <w:tcW w:type="dxa" w:w="6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Offer a proof point — another anonymized case or a hypothetical model</w:t>
            </w:r>
          </w:p>
        </w:tc>
      </w:tr>
    </w:tbl>
    <w:p>
      <w:pPr>
        <w:pStyle w:val="Heading2"/>
        <w:spacing w:after="160" w:before="320"/>
      </w:pPr>
      <w:r>
        <w:rPr>
          <w:rFonts w:ascii="Arial" w:cs="Arial" w:eastAsia="Arial" w:hAnsi="Arial"/>
          <w:b/>
          <w:bCs/>
          <w:color w:val="1A1A1A"/>
          <w:sz w:val="28"/>
          <w:szCs w:val="28"/>
        </w:rPr>
        <w:t xml:space="preserve">E.3  Message Pyramid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Layer</w:t>
            </w:r>
          </w:p>
        </w:tc>
        <w:tc>
          <w:tcPr>
            <w:tcW w:type="dxa" w:w="4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Prompt</w:t>
            </w:r>
          </w:p>
        </w:tc>
        <w:tc>
          <w:tcPr>
            <w:tcW w:type="dxa" w:w="4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Your answer</w:t>
            </w:r>
          </w:p>
        </w:tc>
      </w:tr>
      <w:tr>
        <w:tc>
          <w:tcPr>
            <w:tcW w:type="dxa" w:w="1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Is</w:t>
            </w:r>
          </w:p>
        </w:tc>
        <w:tc>
          <w:tcPr>
            <w:tcW w:type="dxa" w:w="4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Deloitte delivers and on what Microsoft capabilities</w:t>
            </w:r>
          </w:p>
        </w:tc>
        <w:tc>
          <w:tcPr>
            <w:tcW w:type="dxa" w:w="4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
            </w:r>
          </w:p>
        </w:tc>
      </w:tr>
      <w:tr>
        <w:tc>
          <w:tcPr>
            <w:tcW w:type="dxa" w:w="1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Do</w:t>
            </w:r>
          </w:p>
        </w:tc>
        <w:tc>
          <w:tcPr>
            <w:tcW w:type="dxa" w:w="4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the client will be able to do differently</w:t>
            </w:r>
          </w:p>
        </w:tc>
        <w:tc>
          <w:tcPr>
            <w:tcW w:type="dxa" w:w="4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
            </w:r>
          </w:p>
        </w:tc>
      </w:tr>
      <w:tr>
        <w:tc>
          <w:tcPr>
            <w:tcW w:type="dxa" w:w="1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Means</w:t>
            </w:r>
          </w:p>
        </w:tc>
        <w:tc>
          <w:tcPr>
            <w:tcW w:type="dxa" w:w="4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What business result that produces for the client</w:t>
            </w:r>
          </w:p>
        </w:tc>
        <w:tc>
          <w:tcPr>
            <w:tcW w:type="dxa" w:w="4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
            </w:r>
          </w:p>
        </w:tc>
      </w:tr>
    </w:tbl>
    <w:p>
      <w:pPr>
        <w:spacing w:after="120"/>
      </w:pPr>
      <w:r>
        <w:rPr>
          <w:rFonts w:ascii="Arial" w:cs="Arial" w:eastAsia="Arial" w:hAnsi="Arial"/>
          <w:sz w:val="22"/>
          <w:szCs w:val="22"/>
        </w:rPr>
        <w:t xml:space="preserve"/>
      </w:r>
    </w:p>
    <w:p>
      <w:pPr>
        <w:spacing w:after="120" w:line="300"/>
      </w:pPr>
      <w:r>
        <w:rPr>
          <w:rFonts w:ascii="Arial" w:cs="Arial" w:eastAsia="Arial" w:hAnsi="Arial"/>
          <w:sz w:val="22"/>
          <w:szCs w:val="22"/>
        </w:rPr>
        <w:t xml:space="preserve">Fill bottom-up (Is, then Do, then Means). Deliver top-down (Means, then Do, then Is).</w:t>
      </w:r>
    </w:p>
    <w:p>
      <w:pPr>
        <w:pStyle w:val="Heading2"/>
        <w:spacing w:after="160" w:before="320"/>
      </w:pPr>
      <w:r>
        <w:rPr>
          <w:rFonts w:ascii="Arial" w:cs="Arial" w:eastAsia="Arial" w:hAnsi="Arial"/>
          <w:b/>
          <w:bCs/>
          <w:color w:val="1A1A1A"/>
          <w:sz w:val="28"/>
          <w:szCs w:val="28"/>
        </w:rPr>
        <w:t xml:space="preserve">E.4  Self-QA checklist</w:t>
      </w:r>
    </w:p>
    <w:p>
      <w:pPr>
        <w:spacing w:after="120" w:line="300"/>
      </w:pPr>
      <w:r>
        <w:rPr>
          <w:rFonts w:ascii="Arial" w:cs="Arial" w:eastAsia="Arial" w:hAnsi="Arial"/>
          <w:sz w:val="22"/>
          <w:szCs w:val="22"/>
        </w:rPr>
        <w:t xml:space="preserve">Run every draft through this twenty-point checklist twice. Answer each as yes or no. A single no is grounds for revision before hand-off.</w:t>
      </w:r>
    </w:p>
    <w:p>
      <w:pPr>
        <w:spacing w:after="80" w:before="180"/>
      </w:pPr>
      <w:r>
        <w:rPr>
          <w:rFonts w:ascii="Arial" w:cs="Arial" w:eastAsia="Arial" w:hAnsi="Arial"/>
          <w:b/>
          <w:bCs/>
          <w:color w:val="1A1A1A"/>
          <w:sz w:val="22"/>
          <w:szCs w:val="22"/>
        </w:rPr>
        <w:t xml:space="preserve">Positioning (five items)</w:t>
      </w:r>
    </w:p>
    <w:p>
      <w:pPr>
        <w:pStyle w:val="ListParagraph"/>
        <w:numPr>
          <w:ilvl w:val="0"/>
          <w:numId w:val="3"/>
        </w:numPr>
        <w:spacing w:after="80" w:line="280"/>
      </w:pPr>
      <w:r>
        <w:rPr>
          <w:rFonts w:ascii="Arial" w:cs="Arial" w:eastAsia="Arial" w:hAnsi="Arial"/>
          <w:sz w:val="22"/>
          <w:szCs w:val="22"/>
        </w:rPr>
        <w:t xml:space="preserve">Does the draft lead with the client, not with Deloitte or APEX?</w:t>
      </w:r>
    </w:p>
    <w:p>
      <w:pPr>
        <w:pStyle w:val="ListParagraph"/>
        <w:numPr>
          <w:ilvl w:val="0"/>
          <w:numId w:val="3"/>
        </w:numPr>
        <w:spacing w:after="80" w:line="280"/>
      </w:pPr>
      <w:r>
        <w:rPr>
          <w:rFonts w:ascii="Arial" w:cs="Arial" w:eastAsia="Arial" w:hAnsi="Arial"/>
          <w:sz w:val="22"/>
          <w:szCs w:val="22"/>
        </w:rPr>
        <w:t xml:space="preserve">Does the draft pass the “Why Change” test before the “Why You” argument?</w:t>
      </w:r>
    </w:p>
    <w:p>
      <w:pPr>
        <w:pStyle w:val="ListParagraph"/>
        <w:numPr>
          <w:ilvl w:val="0"/>
          <w:numId w:val="3"/>
        </w:numPr>
        <w:spacing w:after="80" w:line="280"/>
      </w:pPr>
      <w:r>
        <w:rPr>
          <w:rFonts w:ascii="Arial" w:cs="Arial" w:eastAsia="Arial" w:hAnsi="Arial"/>
          <w:sz w:val="22"/>
          <w:szCs w:val="22"/>
        </w:rPr>
        <w:t xml:space="preserve">Does the draft pass the “Why Now” test with a specific external trend?</w:t>
      </w:r>
    </w:p>
    <w:p>
      <w:pPr>
        <w:pStyle w:val="ListParagraph"/>
        <w:numPr>
          <w:ilvl w:val="0"/>
          <w:numId w:val="3"/>
        </w:numPr>
        <w:spacing w:after="80" w:line="280"/>
      </w:pPr>
      <w:r>
        <w:rPr>
          <w:rFonts w:ascii="Arial" w:cs="Arial" w:eastAsia="Arial" w:hAnsi="Arial"/>
          <w:sz w:val="22"/>
          <w:szCs w:val="22"/>
        </w:rPr>
        <w:t xml:space="preserve">Does every claim pass the value-wedge test — important, unique, defensible?</w:t>
      </w:r>
    </w:p>
    <w:p>
      <w:pPr>
        <w:pStyle w:val="ListParagraph"/>
        <w:numPr>
          <w:ilvl w:val="0"/>
          <w:numId w:val="3"/>
        </w:numPr>
        <w:spacing w:after="80" w:line="280"/>
      </w:pPr>
      <w:r>
        <w:rPr>
          <w:rFonts w:ascii="Arial" w:cs="Arial" w:eastAsia="Arial" w:hAnsi="Arial"/>
          <w:sz w:val="22"/>
          <w:szCs w:val="22"/>
        </w:rPr>
        <w:t xml:space="preserve">Is the message pyramid inverted for delivery — means first, is last?</w:t>
      </w:r>
    </w:p>
    <w:p>
      <w:pPr>
        <w:spacing w:after="80" w:before="180"/>
      </w:pPr>
      <w:r>
        <w:rPr>
          <w:rFonts w:ascii="Arial" w:cs="Arial" w:eastAsia="Arial" w:hAnsi="Arial"/>
          <w:b/>
          <w:bCs/>
          <w:color w:val="1A1A1A"/>
          <w:sz w:val="22"/>
          <w:szCs w:val="22"/>
        </w:rPr>
        <w:t xml:space="preserve">Evidence (five items)</w:t>
      </w:r>
    </w:p>
    <w:p>
      <w:pPr>
        <w:pStyle w:val="ListParagraph"/>
        <w:numPr>
          <w:ilvl w:val="0"/>
          <w:numId w:val="3"/>
        </w:numPr>
        <w:spacing w:after="80" w:line="280"/>
      </w:pPr>
      <w:r>
        <w:rPr>
          <w:rFonts w:ascii="Arial" w:cs="Arial" w:eastAsia="Arial" w:hAnsi="Arial"/>
          <w:sz w:val="22"/>
          <w:szCs w:val="22"/>
        </w:rPr>
        <w:t xml:space="preserve">Is every measurable claim traceable to an approved source?</w:t>
      </w:r>
    </w:p>
    <w:p>
      <w:pPr>
        <w:pStyle w:val="ListParagraph"/>
        <w:numPr>
          <w:ilvl w:val="0"/>
          <w:numId w:val="3"/>
        </w:numPr>
        <w:spacing w:after="80" w:line="280"/>
      </w:pPr>
      <w:r>
        <w:rPr>
          <w:rFonts w:ascii="Arial" w:cs="Arial" w:eastAsia="Arial" w:hAnsi="Arial"/>
          <w:sz w:val="22"/>
          <w:szCs w:val="22"/>
        </w:rPr>
        <w:t xml:space="preserve">Are outcome numbers taken from Deloitte-approved references, not paraphrased from memory?</w:t>
      </w:r>
    </w:p>
    <w:p>
      <w:pPr>
        <w:pStyle w:val="ListParagraph"/>
        <w:numPr>
          <w:ilvl w:val="0"/>
          <w:numId w:val="3"/>
        </w:numPr>
        <w:spacing w:after="80" w:line="280"/>
      </w:pPr>
      <w:r>
        <w:rPr>
          <w:rFonts w:ascii="Arial" w:cs="Arial" w:eastAsia="Arial" w:hAnsi="Arial"/>
          <w:sz w:val="22"/>
          <w:szCs w:val="22"/>
        </w:rPr>
        <w:t xml:space="preserve">Is every external data point cited with a publicly linkable source?</w:t>
      </w:r>
    </w:p>
    <w:p>
      <w:pPr>
        <w:pStyle w:val="ListParagraph"/>
        <w:numPr>
          <w:ilvl w:val="0"/>
          <w:numId w:val="3"/>
        </w:numPr>
        <w:spacing w:after="80" w:line="280"/>
      </w:pPr>
      <w:r>
        <w:rPr>
          <w:rFonts w:ascii="Arial" w:cs="Arial" w:eastAsia="Arial" w:hAnsi="Arial"/>
          <w:sz w:val="22"/>
          <w:szCs w:val="22"/>
        </w:rPr>
        <w:t xml:space="preserve">Have you avoided any quote longer than fifteen words from any external source?</w:t>
      </w:r>
    </w:p>
    <w:p>
      <w:pPr>
        <w:pStyle w:val="ListParagraph"/>
        <w:numPr>
          <w:ilvl w:val="0"/>
          <w:numId w:val="3"/>
        </w:numPr>
        <w:spacing w:after="80" w:line="280"/>
      </w:pPr>
      <w:r>
        <w:rPr>
          <w:rFonts w:ascii="Arial" w:cs="Arial" w:eastAsia="Arial" w:hAnsi="Arial"/>
          <w:sz w:val="22"/>
          <w:szCs w:val="22"/>
        </w:rPr>
        <w:t xml:space="preserve">Have you used only one quote per external source?</w:t>
      </w:r>
    </w:p>
    <w:p>
      <w:pPr>
        <w:spacing w:after="80" w:before="180"/>
      </w:pPr>
      <w:r>
        <w:rPr>
          <w:rFonts w:ascii="Arial" w:cs="Arial" w:eastAsia="Arial" w:hAnsi="Arial"/>
          <w:b/>
          <w:bCs/>
          <w:color w:val="1A1A1A"/>
          <w:sz w:val="22"/>
          <w:szCs w:val="22"/>
        </w:rPr>
        <w:t xml:space="preserve">Independence language (five items)</w:t>
      </w:r>
    </w:p>
    <w:p>
      <w:pPr>
        <w:pStyle w:val="ListParagraph"/>
        <w:numPr>
          <w:ilvl w:val="0"/>
          <w:numId w:val="3"/>
        </w:numPr>
        <w:spacing w:after="80" w:line="280"/>
      </w:pPr>
      <w:r>
        <w:rPr>
          <w:rFonts w:ascii="Arial" w:cs="Arial" w:eastAsia="Arial" w:hAnsi="Arial"/>
          <w:sz w:val="22"/>
          <w:szCs w:val="22"/>
        </w:rPr>
        <w:t xml:space="preserve">Zero uses of “partner,” “partnership,” “alliance,” “strategic alliance” referencing Microsoft?</w:t>
      </w:r>
    </w:p>
    <w:p>
      <w:pPr>
        <w:pStyle w:val="ListParagraph"/>
        <w:numPr>
          <w:ilvl w:val="0"/>
          <w:numId w:val="3"/>
        </w:numPr>
        <w:spacing w:after="80" w:line="280"/>
      </w:pPr>
      <w:r>
        <w:rPr>
          <w:rFonts w:ascii="Arial" w:cs="Arial" w:eastAsia="Arial" w:hAnsi="Arial"/>
          <w:sz w:val="22"/>
          <w:szCs w:val="22"/>
        </w:rPr>
        <w:t xml:space="preserve">If referring to the Microsoft relationship, only approved substitutes used?</w:t>
      </w:r>
    </w:p>
    <w:p>
      <w:pPr>
        <w:pStyle w:val="ListParagraph"/>
        <w:numPr>
          <w:ilvl w:val="0"/>
          <w:numId w:val="3"/>
        </w:numPr>
        <w:spacing w:after="80" w:line="280"/>
      </w:pPr>
      <w:r>
        <w:rPr>
          <w:rFonts w:ascii="Arial" w:cs="Arial" w:eastAsia="Arial" w:hAnsi="Arial"/>
          <w:sz w:val="22"/>
          <w:szCs w:val="22"/>
        </w:rPr>
        <w:t xml:space="preserve">Any claim that the client “buys APEX” or “licenses APEX” removed?</w:t>
      </w:r>
    </w:p>
    <w:p>
      <w:pPr>
        <w:pStyle w:val="ListParagraph"/>
        <w:numPr>
          <w:ilvl w:val="0"/>
          <w:numId w:val="3"/>
        </w:numPr>
        <w:spacing w:after="80" w:line="280"/>
      </w:pPr>
      <w:r>
        <w:rPr>
          <w:rFonts w:ascii="Arial" w:cs="Arial" w:eastAsia="Arial" w:hAnsi="Arial"/>
          <w:sz w:val="22"/>
          <w:szCs w:val="22"/>
        </w:rPr>
        <w:t xml:space="preserve">The two-contract model preserved — Microsoft licenses platform, Deloitte delivers services?</w:t>
      </w:r>
    </w:p>
    <w:p>
      <w:pPr>
        <w:pStyle w:val="ListParagraph"/>
        <w:numPr>
          <w:ilvl w:val="0"/>
          <w:numId w:val="3"/>
        </w:numPr>
        <w:spacing w:after="80" w:line="280"/>
      </w:pPr>
      <w:r>
        <w:rPr>
          <w:rFonts w:ascii="Arial" w:cs="Arial" w:eastAsia="Arial" w:hAnsi="Arial"/>
          <w:sz w:val="22"/>
          <w:szCs w:val="22"/>
        </w:rPr>
        <w:t xml:space="preserve">No implied co-delivery, co-branding, or joint offering language?</w:t>
      </w:r>
    </w:p>
    <w:p>
      <w:pPr>
        <w:spacing w:after="80" w:before="180"/>
      </w:pPr>
      <w:r>
        <w:rPr>
          <w:rFonts w:ascii="Arial" w:cs="Arial" w:eastAsia="Arial" w:hAnsi="Arial"/>
          <w:b/>
          <w:bCs/>
          <w:color w:val="1A1A1A"/>
          <w:sz w:val="22"/>
          <w:szCs w:val="22"/>
        </w:rPr>
        <w:t xml:space="preserve">Craft (five items)</w:t>
      </w:r>
    </w:p>
    <w:p>
      <w:pPr>
        <w:pStyle w:val="ListParagraph"/>
        <w:numPr>
          <w:ilvl w:val="0"/>
          <w:numId w:val="3"/>
        </w:numPr>
        <w:spacing w:after="80" w:line="280"/>
      </w:pPr>
      <w:r>
        <w:rPr>
          <w:rFonts w:ascii="Arial" w:cs="Arial" w:eastAsia="Arial" w:hAnsi="Arial"/>
          <w:sz w:val="22"/>
          <w:szCs w:val="22"/>
        </w:rPr>
        <w:t xml:space="preserve">Active voice used throughout?</w:t>
      </w:r>
    </w:p>
    <w:p>
      <w:pPr>
        <w:pStyle w:val="ListParagraph"/>
        <w:numPr>
          <w:ilvl w:val="0"/>
          <w:numId w:val="3"/>
        </w:numPr>
        <w:spacing w:after="80" w:line="280"/>
      </w:pPr>
      <w:r>
        <w:rPr>
          <w:rFonts w:ascii="Arial" w:cs="Arial" w:eastAsia="Arial" w:hAnsi="Arial"/>
          <w:sz w:val="22"/>
          <w:szCs w:val="22"/>
        </w:rPr>
        <w:t xml:space="preserve">No jargon the target persona would not use in their own meetings?</w:t>
      </w:r>
    </w:p>
    <w:p>
      <w:pPr>
        <w:pStyle w:val="ListParagraph"/>
        <w:numPr>
          <w:ilvl w:val="0"/>
          <w:numId w:val="3"/>
        </w:numPr>
        <w:spacing w:after="80" w:line="280"/>
      </w:pPr>
      <w:r>
        <w:rPr>
          <w:rFonts w:ascii="Arial" w:cs="Arial" w:eastAsia="Arial" w:hAnsi="Arial"/>
          <w:sz w:val="22"/>
          <w:szCs w:val="22"/>
        </w:rPr>
        <w:t xml:space="preserve">Subject line or opening hook earns a second sentence of attention?</w:t>
      </w:r>
    </w:p>
    <w:p>
      <w:pPr>
        <w:pStyle w:val="ListParagraph"/>
        <w:numPr>
          <w:ilvl w:val="0"/>
          <w:numId w:val="3"/>
        </w:numPr>
        <w:spacing w:after="80" w:line="280"/>
      </w:pPr>
      <w:r>
        <w:rPr>
          <w:rFonts w:ascii="Arial" w:cs="Arial" w:eastAsia="Arial" w:hAnsi="Arial"/>
          <w:sz w:val="22"/>
          <w:szCs w:val="22"/>
        </w:rPr>
        <w:t xml:space="preserve">Exactly one call to action, phrased as low-friction?</w:t>
      </w:r>
    </w:p>
    <w:p>
      <w:pPr>
        <w:pStyle w:val="ListParagraph"/>
        <w:numPr>
          <w:ilvl w:val="0"/>
          <w:numId w:val="3"/>
        </w:numPr>
        <w:spacing w:after="80" w:line="280"/>
      </w:pPr>
      <w:r>
        <w:rPr>
          <w:rFonts w:ascii="Arial" w:cs="Arial" w:eastAsia="Arial" w:hAnsi="Arial"/>
          <w:sz w:val="22"/>
          <w:szCs w:val="22"/>
        </w:rPr>
        <w:t xml:space="preserve">Length appropriate for content type per Part D?</w:t>
      </w:r>
    </w:p>
    <w:p>
      <w:pPr>
        <w:pStyle w:val="Heading2"/>
        <w:spacing w:after="160" w:before="320"/>
      </w:pPr>
      <w:r>
        <w:rPr>
          <w:rFonts w:ascii="Arial" w:cs="Arial" w:eastAsia="Arial" w:hAnsi="Arial"/>
          <w:b/>
          <w:bCs/>
          <w:color w:val="1A1A1A"/>
          <w:sz w:val="28"/>
          <w:szCs w:val="28"/>
        </w:rPr>
        <w:t xml:space="preserve">E.5  Independence language checklist</w:t>
      </w:r>
    </w:p>
    <w:p>
      <w:pPr>
        <w:spacing w:after="120" w:line="300"/>
      </w:pPr>
      <w:r>
        <w:rPr>
          <w:rFonts w:ascii="Arial" w:cs="Arial" w:eastAsia="Arial" w:hAnsi="Arial"/>
          <w:sz w:val="22"/>
          <w:szCs w:val="22"/>
        </w:rPr>
        <w:t xml:space="preserve">This is a second-pass check applied specifically to Independence risk. Any failed item here is a hard stop — do not send to peer review until every item is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c>
          <w:tcPr>
            <w:tcW w:type="dxa" w:w="5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t>
            </w:r>
          </w:p>
        </w:tc>
        <w:tc>
          <w:tcPr>
            <w:tcW w:type="dxa" w:w="45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Check</w:t>
            </w:r>
          </w:p>
        </w:tc>
        <w:tc>
          <w:tcPr>
            <w:tcW w:type="dxa" w:w="43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Pass criterion</w:t>
            </w:r>
          </w:p>
        </w:tc>
      </w:tr>
      <w:tr>
        <w:tc>
          <w:tcPr>
            <w:tcW w:type="dxa" w:w="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1</w:t>
            </w:r>
          </w:p>
        </w:tc>
        <w:tc>
          <w:tcPr>
            <w:tcW w:type="dxa" w:w="4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Word search for “partner” and all variants</w:t>
            </w:r>
          </w:p>
        </w:tc>
        <w:tc>
          <w:tcPr>
            <w:tcW w:type="dxa" w:w="4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Zero hits</w:t>
            </w:r>
          </w:p>
        </w:tc>
      </w:tr>
      <w:tr>
        <w:tc>
          <w:tcPr>
            <w:tcW w:type="dxa" w:w="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2</w:t>
            </w:r>
          </w:p>
        </w:tc>
        <w:tc>
          <w:tcPr>
            <w:tcW w:type="dxa" w:w="4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Word search for “alliance”</w:t>
            </w:r>
          </w:p>
        </w:tc>
        <w:tc>
          <w:tcPr>
            <w:tcW w:type="dxa" w:w="4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Zero hits</w:t>
            </w:r>
          </w:p>
        </w:tc>
      </w:tr>
      <w:tr>
        <w:tc>
          <w:tcPr>
            <w:tcW w:type="dxa" w:w="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3</w:t>
            </w:r>
          </w:p>
        </w:tc>
        <w:tc>
          <w:tcPr>
            <w:tcW w:type="dxa" w:w="4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Word search for “joint” in context of Microsoft relationship</w:t>
            </w:r>
          </w:p>
        </w:tc>
        <w:tc>
          <w:tcPr>
            <w:tcW w:type="dxa" w:w="4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Zero hits</w:t>
            </w:r>
          </w:p>
        </w:tc>
      </w:tr>
      <w:tr>
        <w:tc>
          <w:tcPr>
            <w:tcW w:type="dxa" w:w="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4</w:t>
            </w:r>
          </w:p>
        </w:tc>
        <w:tc>
          <w:tcPr>
            <w:tcW w:type="dxa" w:w="4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named externally</w:t>
            </w:r>
          </w:p>
        </w:tc>
        <w:tc>
          <w:tcPr>
            <w:tcW w:type="dxa" w:w="4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Only with onshore approval</w:t>
            </w:r>
          </w:p>
        </w:tc>
      </w:tr>
      <w:tr>
        <w:tc>
          <w:tcPr>
            <w:tcW w:type="dxa" w:w="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5</w:t>
            </w:r>
          </w:p>
        </w:tc>
        <w:tc>
          <w:tcPr>
            <w:tcW w:type="dxa" w:w="4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Client named alongside Microsoft in a possessive construction</w:t>
            </w:r>
          </w:p>
        </w:tc>
        <w:tc>
          <w:tcPr>
            <w:tcW w:type="dxa" w:w="4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Rephrase to avoid implied commercial tie</w:t>
            </w:r>
          </w:p>
        </w:tc>
      </w:tr>
      <w:tr>
        <w:tc>
          <w:tcPr>
            <w:tcW w:type="dxa" w:w="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6</w:t>
            </w:r>
          </w:p>
        </w:tc>
        <w:tc>
          <w:tcPr>
            <w:tcW w:type="dxa" w:w="4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Any language implying Deloitte resells Microsoft products</w:t>
            </w:r>
          </w:p>
        </w:tc>
        <w:tc>
          <w:tcPr>
            <w:tcW w:type="dxa" w:w="4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Strike it</w:t>
            </w:r>
          </w:p>
        </w:tc>
      </w:tr>
      <w:tr>
        <w:tc>
          <w:tcPr>
            <w:tcW w:type="dxa" w:w="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7</w:t>
            </w:r>
          </w:p>
        </w:tc>
        <w:tc>
          <w:tcPr>
            <w:tcW w:type="dxa" w:w="45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Any language implying Microsoft sells Deloitte services</w:t>
            </w:r>
          </w:p>
        </w:tc>
        <w:tc>
          <w:tcPr>
            <w:tcW w:type="dxa" w:w="43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Strike it</w:t>
            </w:r>
          </w:p>
        </w:tc>
      </w:tr>
      <w:tr>
        <w:tc>
          <w:tcPr>
            <w:tcW w:type="dxa" w:w="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8</w:t>
            </w:r>
          </w:p>
        </w:tc>
        <w:tc>
          <w:tcPr>
            <w:tcW w:type="dxa" w:w="45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Any outcome figure cited</w:t>
            </w:r>
          </w:p>
        </w:tc>
        <w:tc>
          <w:tcPr>
            <w:tcW w:type="dxa" w:w="43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Source is in the approved reference library</w:t>
            </w:r>
          </w:p>
        </w:tc>
      </w:tr>
    </w:tbl>
    <w:p>
      <w:pPr>
        <w:pStyle w:val="Heading2"/>
        <w:spacing w:after="160" w:before="320"/>
      </w:pPr>
      <w:r>
        <w:rPr>
          <w:rFonts w:ascii="Arial" w:cs="Arial" w:eastAsia="Arial" w:hAnsi="Arial"/>
          <w:b/>
          <w:bCs/>
          <w:color w:val="1A1A1A"/>
          <w:sz w:val="28"/>
          <w:szCs w:val="28"/>
        </w:rPr>
        <w:t xml:space="preserve">E.6  Red-flag and green-flag account screener</w:t>
      </w:r>
    </w:p>
    <w:p>
      <w:pPr>
        <w:spacing w:after="120" w:line="300"/>
      </w:pPr>
      <w:r>
        <w:rPr>
          <w:rFonts w:ascii="Arial" w:cs="Arial" w:eastAsia="Arial" w:hAnsi="Arial"/>
          <w:sz w:val="22"/>
          <w:szCs w:val="22"/>
        </w:rPr>
        <w:t xml:space="preserve">Use this one-page screener at the start of any account research. It tells you quickly whether the account is worth building content for, or whether to raise a flag with onshore before spending the research time.</w:t>
      </w:r>
    </w:p>
    <w:p>
      <w:pPr>
        <w:spacing w:after="80" w:before="180"/>
      </w:pPr>
      <w:r>
        <w:rPr>
          <w:rFonts w:ascii="Arial" w:cs="Arial" w:eastAsia="Arial" w:hAnsi="Arial"/>
          <w:b/>
          <w:bCs/>
          <w:color w:val="1A1A1A"/>
          <w:sz w:val="22"/>
          <w:szCs w:val="22"/>
        </w:rPr>
        <w:t xml:space="preserve">Ten green flags</w:t>
      </w:r>
    </w:p>
    <w:p>
      <w:pPr>
        <w:pStyle w:val="ListParagraph"/>
        <w:numPr>
          <w:ilvl w:val="0"/>
          <w:numId w:val="2"/>
        </w:numPr>
        <w:spacing w:after="80" w:line="280"/>
      </w:pPr>
      <w:r>
        <w:rPr>
          <w:rFonts w:ascii="Arial" w:cs="Arial" w:eastAsia="Arial" w:hAnsi="Arial"/>
          <w:sz w:val="22"/>
          <w:szCs w:val="22"/>
        </w:rPr>
        <w:t xml:space="preserve">Existing Microsoft footprint — E3 or E5 licenses, Azure spend, Dynamics 365, or Fabric in production</w:t>
      </w:r>
    </w:p>
    <w:p>
      <w:pPr>
        <w:pStyle w:val="ListParagraph"/>
        <w:numPr>
          <w:ilvl w:val="0"/>
          <w:numId w:val="2"/>
        </w:numPr>
        <w:spacing w:after="80" w:line="280"/>
      </w:pPr>
      <w:r>
        <w:rPr>
          <w:rFonts w:ascii="Arial" w:cs="Arial" w:eastAsia="Arial" w:hAnsi="Arial"/>
          <w:sz w:val="22"/>
          <w:szCs w:val="22"/>
        </w:rPr>
        <w:t xml:space="preserve">Publicly stated AI strategy or agentic AI pilot announced in the last twelve months</w:t>
      </w:r>
    </w:p>
    <w:p>
      <w:pPr>
        <w:pStyle w:val="ListParagraph"/>
        <w:numPr>
          <w:ilvl w:val="0"/>
          <w:numId w:val="2"/>
        </w:numPr>
        <w:spacing w:after="80" w:line="280"/>
      </w:pPr>
      <w:r>
        <w:rPr>
          <w:rFonts w:ascii="Arial" w:cs="Arial" w:eastAsia="Arial" w:hAnsi="Arial"/>
          <w:sz w:val="22"/>
          <w:szCs w:val="22"/>
        </w:rPr>
        <w:t xml:space="preserve">CFO or CIO named as executive sponsor of a digital or AI transformation</w:t>
      </w:r>
    </w:p>
    <w:p>
      <w:pPr>
        <w:pStyle w:val="ListParagraph"/>
        <w:numPr>
          <w:ilvl w:val="0"/>
          <w:numId w:val="2"/>
        </w:numPr>
        <w:spacing w:after="80" w:line="280"/>
      </w:pPr>
      <w:r>
        <w:rPr>
          <w:rFonts w:ascii="Arial" w:cs="Arial" w:eastAsia="Arial" w:hAnsi="Arial"/>
          <w:sz w:val="22"/>
          <w:szCs w:val="22"/>
        </w:rPr>
        <w:t xml:space="preserve">Consumer Industry account in the Deloitte Microsoft practice pursuit list</w:t>
      </w:r>
    </w:p>
    <w:p>
      <w:pPr>
        <w:pStyle w:val="ListParagraph"/>
        <w:numPr>
          <w:ilvl w:val="0"/>
          <w:numId w:val="2"/>
        </w:numPr>
        <w:spacing w:after="80" w:line="280"/>
      </w:pPr>
      <w:r>
        <w:rPr>
          <w:rFonts w:ascii="Arial" w:cs="Arial" w:eastAsia="Arial" w:hAnsi="Arial"/>
          <w:sz w:val="22"/>
          <w:szCs w:val="22"/>
        </w:rPr>
        <w:t xml:space="preserve">Prior Deloitte engagement at the account in any service line</w:t>
      </w:r>
    </w:p>
    <w:p>
      <w:pPr>
        <w:pStyle w:val="ListParagraph"/>
        <w:numPr>
          <w:ilvl w:val="0"/>
          <w:numId w:val="2"/>
        </w:numPr>
        <w:spacing w:after="80" w:line="280"/>
      </w:pPr>
      <w:r>
        <w:rPr>
          <w:rFonts w:ascii="Arial" w:cs="Arial" w:eastAsia="Arial" w:hAnsi="Arial"/>
          <w:sz w:val="22"/>
          <w:szCs w:val="22"/>
        </w:rPr>
        <w:t xml:space="preserve">Public reference to data-platform modernization or canonical-schema effort</w:t>
      </w:r>
    </w:p>
    <w:p>
      <w:pPr>
        <w:pStyle w:val="ListParagraph"/>
        <w:numPr>
          <w:ilvl w:val="0"/>
          <w:numId w:val="2"/>
        </w:numPr>
        <w:spacing w:after="80" w:line="280"/>
      </w:pPr>
      <w:r>
        <w:rPr>
          <w:rFonts w:ascii="Arial" w:cs="Arial" w:eastAsia="Arial" w:hAnsi="Arial"/>
          <w:sz w:val="22"/>
          <w:szCs w:val="22"/>
        </w:rPr>
        <w:t xml:space="preserve">Recent leadership change creating a natural decision window</w:t>
      </w:r>
    </w:p>
    <w:p>
      <w:pPr>
        <w:pStyle w:val="ListParagraph"/>
        <w:numPr>
          <w:ilvl w:val="0"/>
          <w:numId w:val="2"/>
        </w:numPr>
        <w:spacing w:after="80" w:line="280"/>
      </w:pPr>
      <w:r>
        <w:rPr>
          <w:rFonts w:ascii="Arial" w:cs="Arial" w:eastAsia="Arial" w:hAnsi="Arial"/>
          <w:sz w:val="22"/>
          <w:szCs w:val="22"/>
        </w:rPr>
        <w:t xml:space="preserve">Measurable compliance or regulatory pressure increasing in the industry</w:t>
      </w:r>
    </w:p>
    <w:p>
      <w:pPr>
        <w:pStyle w:val="ListParagraph"/>
        <w:numPr>
          <w:ilvl w:val="0"/>
          <w:numId w:val="2"/>
        </w:numPr>
        <w:spacing w:after="80" w:line="280"/>
      </w:pPr>
      <w:r>
        <w:rPr>
          <w:rFonts w:ascii="Arial" w:cs="Arial" w:eastAsia="Arial" w:hAnsi="Arial"/>
          <w:sz w:val="22"/>
          <w:szCs w:val="22"/>
        </w:rPr>
        <w:t xml:space="preserve">Stated pressure on knowledge-worker productivity or SG&amp;A efficiency</w:t>
      </w:r>
    </w:p>
    <w:p>
      <w:pPr>
        <w:pStyle w:val="ListParagraph"/>
        <w:numPr>
          <w:ilvl w:val="0"/>
          <w:numId w:val="2"/>
        </w:numPr>
        <w:spacing w:after="80" w:line="280"/>
      </w:pPr>
      <w:r>
        <w:rPr>
          <w:rFonts w:ascii="Arial" w:cs="Arial" w:eastAsia="Arial" w:hAnsi="Arial"/>
          <w:sz w:val="22"/>
          <w:szCs w:val="22"/>
        </w:rPr>
        <w:t xml:space="preserve">Publicly stated SAP, AWS, or Oracle footprint that Microsoft displacement could target</w:t>
      </w:r>
    </w:p>
    <w:p>
      <w:pPr>
        <w:spacing w:after="80" w:before="180"/>
      </w:pPr>
      <w:r>
        <w:rPr>
          <w:rFonts w:ascii="Arial" w:cs="Arial" w:eastAsia="Arial" w:hAnsi="Arial"/>
          <w:b/>
          <w:bCs/>
          <w:color w:val="1A1A1A"/>
          <w:sz w:val="22"/>
          <w:szCs w:val="22"/>
        </w:rPr>
        <w:t xml:space="preserve">Ten red flags — qualify out immediately</w:t>
      </w:r>
    </w:p>
    <w:p>
      <w:pPr>
        <w:pStyle w:val="ListParagraph"/>
        <w:numPr>
          <w:ilvl w:val="0"/>
          <w:numId w:val="2"/>
        </w:numPr>
        <w:spacing w:after="80" w:line="280"/>
      </w:pPr>
      <w:r>
        <w:rPr>
          <w:rFonts w:ascii="Arial" w:cs="Arial" w:eastAsia="Arial" w:hAnsi="Arial"/>
          <w:sz w:val="22"/>
          <w:szCs w:val="22"/>
        </w:rPr>
        <w:t xml:space="preserve">Deloitte is the external auditor and no Independence path has been established</w:t>
      </w:r>
    </w:p>
    <w:p>
      <w:pPr>
        <w:pStyle w:val="ListParagraph"/>
        <w:numPr>
          <w:ilvl w:val="0"/>
          <w:numId w:val="2"/>
        </w:numPr>
        <w:spacing w:after="80" w:line="280"/>
      </w:pPr>
      <w:r>
        <w:rPr>
          <w:rFonts w:ascii="Arial" w:cs="Arial" w:eastAsia="Arial" w:hAnsi="Arial"/>
          <w:sz w:val="22"/>
          <w:szCs w:val="22"/>
        </w:rPr>
        <w:t xml:space="preserve">Account has committed to a competing hyperscaler as sole cloud in the last ninety days</w:t>
      </w:r>
    </w:p>
    <w:p>
      <w:pPr>
        <w:pStyle w:val="ListParagraph"/>
        <w:numPr>
          <w:ilvl w:val="0"/>
          <w:numId w:val="2"/>
        </w:numPr>
        <w:spacing w:after="80" w:line="280"/>
      </w:pPr>
      <w:r>
        <w:rPr>
          <w:rFonts w:ascii="Arial" w:cs="Arial" w:eastAsia="Arial" w:hAnsi="Arial"/>
          <w:sz w:val="22"/>
          <w:szCs w:val="22"/>
        </w:rPr>
        <w:t xml:space="preserve">No Microsoft footprint and no budget line item for one</w:t>
      </w:r>
    </w:p>
    <w:p>
      <w:pPr>
        <w:pStyle w:val="ListParagraph"/>
        <w:numPr>
          <w:ilvl w:val="0"/>
          <w:numId w:val="2"/>
        </w:numPr>
        <w:spacing w:after="80" w:line="280"/>
      </w:pPr>
      <w:r>
        <w:rPr>
          <w:rFonts w:ascii="Arial" w:cs="Arial" w:eastAsia="Arial" w:hAnsi="Arial"/>
          <w:sz w:val="22"/>
          <w:szCs w:val="22"/>
        </w:rPr>
        <w:t xml:space="preserve">Active litigation, restructuring, or distressed financials</w:t>
      </w:r>
    </w:p>
    <w:p>
      <w:pPr>
        <w:pStyle w:val="ListParagraph"/>
        <w:numPr>
          <w:ilvl w:val="0"/>
          <w:numId w:val="2"/>
        </w:numPr>
        <w:spacing w:after="80" w:line="280"/>
      </w:pPr>
      <w:r>
        <w:rPr>
          <w:rFonts w:ascii="Arial" w:cs="Arial" w:eastAsia="Arial" w:hAnsi="Arial"/>
          <w:sz w:val="22"/>
          <w:szCs w:val="22"/>
        </w:rPr>
        <w:t xml:space="preserve">Stated policy against external consulting on AI</w:t>
      </w:r>
    </w:p>
    <w:p>
      <w:pPr>
        <w:pStyle w:val="ListParagraph"/>
        <w:numPr>
          <w:ilvl w:val="0"/>
          <w:numId w:val="2"/>
        </w:numPr>
        <w:spacing w:after="80" w:line="280"/>
      </w:pPr>
      <w:r>
        <w:rPr>
          <w:rFonts w:ascii="Arial" w:cs="Arial" w:eastAsia="Arial" w:hAnsi="Arial"/>
          <w:sz w:val="22"/>
          <w:szCs w:val="22"/>
        </w:rPr>
        <w:t xml:space="preserve">Any sign of ethical, sanctions, or ESG exposure that would require Deloitte conflict review</w:t>
      </w:r>
    </w:p>
    <w:p>
      <w:pPr>
        <w:pStyle w:val="ListParagraph"/>
        <w:numPr>
          <w:ilvl w:val="0"/>
          <w:numId w:val="2"/>
        </w:numPr>
        <w:spacing w:after="80" w:line="280"/>
      </w:pPr>
      <w:r>
        <w:rPr>
          <w:rFonts w:ascii="Arial" w:cs="Arial" w:eastAsia="Arial" w:hAnsi="Arial"/>
          <w:sz w:val="22"/>
          <w:szCs w:val="22"/>
        </w:rPr>
        <w:t xml:space="preserve">Industry or geography outside our authorized pursuit scope</w:t>
      </w:r>
    </w:p>
    <w:p>
      <w:pPr>
        <w:pStyle w:val="ListParagraph"/>
        <w:numPr>
          <w:ilvl w:val="0"/>
          <w:numId w:val="2"/>
        </w:numPr>
        <w:spacing w:after="80" w:line="280"/>
      </w:pPr>
      <w:r>
        <w:rPr>
          <w:rFonts w:ascii="Arial" w:cs="Arial" w:eastAsia="Arial" w:hAnsi="Arial"/>
          <w:sz w:val="22"/>
          <w:szCs w:val="22"/>
        </w:rPr>
        <w:t xml:space="preserve">Previous failed Deloitte engagement with unresolved issues</w:t>
      </w:r>
    </w:p>
    <w:p>
      <w:pPr>
        <w:pStyle w:val="ListParagraph"/>
        <w:numPr>
          <w:ilvl w:val="0"/>
          <w:numId w:val="2"/>
        </w:numPr>
        <w:spacing w:after="80" w:line="280"/>
      </w:pPr>
      <w:r>
        <w:rPr>
          <w:rFonts w:ascii="Arial" w:cs="Arial" w:eastAsia="Arial" w:hAnsi="Arial"/>
          <w:sz w:val="22"/>
          <w:szCs w:val="22"/>
        </w:rPr>
        <w:t xml:space="preserve">Client explicit request not to be marketed to</w:t>
      </w:r>
    </w:p>
    <w:p>
      <w:pPr>
        <w:pStyle w:val="ListParagraph"/>
        <w:numPr>
          <w:ilvl w:val="0"/>
          <w:numId w:val="2"/>
        </w:numPr>
        <w:spacing w:after="80" w:line="280"/>
      </w:pPr>
      <w:r>
        <w:rPr>
          <w:rFonts w:ascii="Arial" w:cs="Arial" w:eastAsia="Arial" w:hAnsi="Arial"/>
          <w:sz w:val="22"/>
          <w:szCs w:val="22"/>
        </w:rPr>
        <w:t xml:space="preserve">Account not on the approved target list and not added by the onshore lead</w:t>
      </w:r>
    </w:p>
    <w:p>
      <w:pPr>
        <w:pStyle w:val="Heading1"/>
        <w:pageBreakBefore/>
        <w:spacing w:after="240" w:before="0"/>
      </w:pPr>
      <w:r>
        <w:rPr>
          <w:rFonts w:ascii="Arial" w:cs="Arial" w:eastAsia="Arial" w:hAnsi="Arial"/>
          <w:b/>
          <w:bCs/>
          <w:color w:val="004B38"/>
          <w:sz w:val="36"/>
          <w:szCs w:val="36"/>
        </w:rPr>
        <w:t xml:space="preserve">Part F. What You Must Never Do</w:t>
      </w:r>
    </w:p>
    <w:p>
      <w:pPr>
        <w:spacing w:after="120" w:line="300"/>
      </w:pPr>
      <w:r>
        <w:rPr>
          <w:rFonts w:ascii="Arial" w:cs="Arial" w:eastAsia="Arial" w:hAnsi="Arial"/>
          <w:sz w:val="22"/>
          <w:szCs w:val="22"/>
        </w:rPr>
        <w:t xml:space="preserve">This section exists because the cost of a compliance mistake at Deloitte is disproportionate to the time it takes to prevent one. Treat Part F as the bright lines. You do not cross them.</w:t>
      </w:r>
    </w:p>
    <w:p>
      <w:pPr>
        <w:pStyle w:val="Heading2"/>
        <w:spacing w:after="160" w:before="320"/>
      </w:pPr>
      <w:r>
        <w:rPr>
          <w:rFonts w:ascii="Arial" w:cs="Arial" w:eastAsia="Arial" w:hAnsi="Arial"/>
          <w:b/>
          <w:bCs/>
          <w:color w:val="1A1A1A"/>
          <w:sz w:val="28"/>
          <w:szCs w:val="28"/>
        </w:rPr>
        <w:t xml:space="preserve">F.1  Forbidden language list</w:t>
      </w:r>
    </w:p>
    <w:p>
      <w:pPr>
        <w:spacing w:after="120" w:line="300"/>
      </w:pPr>
      <w:r>
        <w:rPr>
          <w:rFonts w:ascii="Arial" w:cs="Arial" w:eastAsia="Arial" w:hAnsi="Arial"/>
          <w:sz w:val="22"/>
          <w:szCs w:val="22"/>
        </w:rPr>
        <w:t xml:space="preserve">Zero tolerance. Running a find-all for each of these should return zero hits in any draft before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Forbidden</w:t>
            </w:r>
          </w:p>
        </w:tc>
        <w:tc>
          <w:tcPr>
            <w:tcW w:type="dxa" w:w="516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Approved substitute</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partner / partnership</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Deloitte's Microsoft practice  |  DMTSP</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alliance / strategic alliance</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delivery on the Microsoft platform</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joint offering</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agent-delivery services on Microsoft-native infrastructure</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we sell Microsoft</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the client licenses Microsoft capabilities</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Microsoft and Deloitte co-deliver</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delivers on the Microsoft platform</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APEX license  |  APEX subscription</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(remove — APEX is internal)</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buy APEX  |  purchase APEX</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engage Deloitte for agent-delivery services</w:t>
            </w:r>
          </w:p>
        </w:tc>
      </w:tr>
      <w:tr>
        <w:tc>
          <w:tcPr>
            <w:tcW w:type="dxa" w:w="42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guaranteed ROI  |  guaranteed outcomes</w:t>
            </w:r>
          </w:p>
        </w:tc>
        <w:tc>
          <w:tcPr>
            <w:tcW w:type="dxa" w:w="516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illustrative or measured outcomes from prior engagements</w:t>
            </w:r>
          </w:p>
        </w:tc>
      </w:tr>
      <w:tr>
        <w:tc>
          <w:tcPr>
            <w:tcW w:type="dxa" w:w="42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 is certain  |  Deloitte guarantees</w:t>
            </w:r>
          </w:p>
        </w:tc>
        <w:tc>
          <w:tcPr>
            <w:tcW w:type="dxa" w:w="516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Deloitte's experience has shown  |  measured outcomes suggest</w:t>
            </w:r>
          </w:p>
        </w:tc>
      </w:tr>
    </w:tbl>
    <w:p>
      <w:pPr>
        <w:pStyle w:val="Heading2"/>
        <w:spacing w:after="160" w:before="320"/>
      </w:pPr>
      <w:r>
        <w:rPr>
          <w:rFonts w:ascii="Arial" w:cs="Arial" w:eastAsia="Arial" w:hAnsi="Arial"/>
          <w:b/>
          <w:bCs/>
          <w:color w:val="1A1A1A"/>
          <w:sz w:val="28"/>
          <w:szCs w:val="28"/>
        </w:rPr>
        <w:t xml:space="preserve">F.2  Actions requiring onshore approval</w:t>
      </w:r>
    </w:p>
    <w:p>
      <w:pPr>
        <w:spacing w:after="120" w:line="300"/>
      </w:pPr>
      <w:r>
        <w:rPr>
          <w:rFonts w:ascii="Arial" w:cs="Arial" w:eastAsia="Arial" w:hAnsi="Arial"/>
          <w:sz w:val="22"/>
          <w:szCs w:val="22"/>
        </w:rPr>
        <w:t xml:space="preserve">You do not take any of these actions on your own initiative. You propose them in writing and wait for approval.</w:t>
      </w:r>
    </w:p>
    <w:p>
      <w:pPr>
        <w:pStyle w:val="ListParagraph"/>
        <w:numPr>
          <w:ilvl w:val="0"/>
          <w:numId w:val="2"/>
        </w:numPr>
        <w:spacing w:after="80" w:line="280"/>
      </w:pPr>
      <w:r>
        <w:rPr>
          <w:rFonts w:ascii="Arial" w:cs="Arial" w:eastAsia="Arial" w:hAnsi="Arial"/>
          <w:sz w:val="22"/>
          <w:szCs w:val="22"/>
        </w:rPr>
        <w:t xml:space="preserve">Using the name “APEX” in any externally distributed artifact</w:t>
      </w:r>
    </w:p>
    <w:p>
      <w:pPr>
        <w:pStyle w:val="ListParagraph"/>
        <w:numPr>
          <w:ilvl w:val="0"/>
          <w:numId w:val="2"/>
        </w:numPr>
        <w:spacing w:after="80" w:line="280"/>
      </w:pPr>
      <w:r>
        <w:rPr>
          <w:rFonts w:ascii="Arial" w:cs="Arial" w:eastAsia="Arial" w:hAnsi="Arial"/>
          <w:sz w:val="22"/>
          <w:szCs w:val="22"/>
        </w:rPr>
        <w:t xml:space="preserve">Naming any individual Deloitte leader in any externally distributed artifact</w:t>
      </w:r>
    </w:p>
    <w:p>
      <w:pPr>
        <w:pStyle w:val="ListParagraph"/>
        <w:numPr>
          <w:ilvl w:val="0"/>
          <w:numId w:val="2"/>
        </w:numPr>
        <w:spacing w:after="80" w:line="280"/>
      </w:pPr>
      <w:r>
        <w:rPr>
          <w:rFonts w:ascii="Arial" w:cs="Arial" w:eastAsia="Arial" w:hAnsi="Arial"/>
          <w:sz w:val="22"/>
          <w:szCs w:val="22"/>
        </w:rPr>
        <w:t xml:space="preserve">Citing a specific client reference, even anonymized</w:t>
      </w:r>
    </w:p>
    <w:p>
      <w:pPr>
        <w:pStyle w:val="ListParagraph"/>
        <w:numPr>
          <w:ilvl w:val="0"/>
          <w:numId w:val="2"/>
        </w:numPr>
        <w:spacing w:after="80" w:line="280"/>
      </w:pPr>
      <w:r>
        <w:rPr>
          <w:rFonts w:ascii="Arial" w:cs="Arial" w:eastAsia="Arial" w:hAnsi="Arial"/>
          <w:sz w:val="22"/>
          <w:szCs w:val="22"/>
        </w:rPr>
        <w:t xml:space="preserve">Making an outcome claim with a specific percentage or dollar figure</w:t>
      </w:r>
    </w:p>
    <w:p>
      <w:pPr>
        <w:pStyle w:val="ListParagraph"/>
        <w:numPr>
          <w:ilvl w:val="0"/>
          <w:numId w:val="2"/>
        </w:numPr>
        <w:spacing w:after="80" w:line="280"/>
      </w:pPr>
      <w:r>
        <w:rPr>
          <w:rFonts w:ascii="Arial" w:cs="Arial" w:eastAsia="Arial" w:hAnsi="Arial"/>
          <w:sz w:val="22"/>
          <w:szCs w:val="22"/>
        </w:rPr>
        <w:t xml:space="preserve">Using a Microsoft product name in a headline or call to action</w:t>
      </w:r>
    </w:p>
    <w:p>
      <w:pPr>
        <w:pStyle w:val="ListParagraph"/>
        <w:numPr>
          <w:ilvl w:val="0"/>
          <w:numId w:val="2"/>
        </w:numPr>
        <w:spacing w:after="80" w:line="280"/>
      </w:pPr>
      <w:r>
        <w:rPr>
          <w:rFonts w:ascii="Arial" w:cs="Arial" w:eastAsia="Arial" w:hAnsi="Arial"/>
          <w:sz w:val="22"/>
          <w:szCs w:val="22"/>
        </w:rPr>
        <w:t xml:space="preserve">Publishing any content to a public channel</w:t>
      </w:r>
    </w:p>
    <w:p>
      <w:pPr>
        <w:pStyle w:val="ListParagraph"/>
        <w:numPr>
          <w:ilvl w:val="0"/>
          <w:numId w:val="2"/>
        </w:numPr>
        <w:spacing w:after="80" w:line="280"/>
      </w:pPr>
      <w:r>
        <w:rPr>
          <w:rFonts w:ascii="Arial" w:cs="Arial" w:eastAsia="Arial" w:hAnsi="Arial"/>
          <w:sz w:val="22"/>
          <w:szCs w:val="22"/>
        </w:rPr>
        <w:t xml:space="preserve">Contacting any Microsoft individual, client individual, or external party</w:t>
      </w:r>
    </w:p>
    <w:p>
      <w:pPr>
        <w:pStyle w:val="ListParagraph"/>
        <w:numPr>
          <w:ilvl w:val="0"/>
          <w:numId w:val="2"/>
        </w:numPr>
        <w:spacing w:after="80" w:line="280"/>
      </w:pPr>
      <w:r>
        <w:rPr>
          <w:rFonts w:ascii="Arial" w:cs="Arial" w:eastAsia="Arial" w:hAnsi="Arial"/>
          <w:sz w:val="22"/>
          <w:szCs w:val="22"/>
        </w:rPr>
        <w:t xml:space="preserve">Creating a new content type not listed in Part D</w:t>
      </w:r>
    </w:p>
    <w:p>
      <w:pPr>
        <w:pStyle w:val="ListParagraph"/>
        <w:numPr>
          <w:ilvl w:val="0"/>
          <w:numId w:val="2"/>
        </w:numPr>
        <w:spacing w:after="80" w:line="280"/>
      </w:pPr>
      <w:r>
        <w:rPr>
          <w:rFonts w:ascii="Arial" w:cs="Arial" w:eastAsia="Arial" w:hAnsi="Arial"/>
          <w:sz w:val="22"/>
          <w:szCs w:val="22"/>
        </w:rPr>
        <w:t xml:space="preserve">Using any new generative AI tool not already approved by Deloitte for your workstream</w:t>
      </w:r>
    </w:p>
    <w:p>
      <w:pPr>
        <w:pStyle w:val="Heading2"/>
        <w:spacing w:after="160" w:before="320"/>
      </w:pPr>
      <w:r>
        <w:rPr>
          <w:rFonts w:ascii="Arial" w:cs="Arial" w:eastAsia="Arial" w:hAnsi="Arial"/>
          <w:b/>
          <w:bCs/>
          <w:color w:val="1A1A1A"/>
          <w:sz w:val="28"/>
          <w:szCs w:val="28"/>
        </w:rPr>
        <w:t xml:space="preserve">F.3  Actions requiring Independence Office clearance</w:t>
      </w:r>
    </w:p>
    <w:p>
      <w:pPr>
        <w:spacing w:after="120" w:line="300"/>
      </w:pPr>
      <w:r>
        <w:rPr>
          <w:rFonts w:ascii="Arial" w:cs="Arial" w:eastAsia="Arial" w:hAnsi="Arial"/>
          <w:sz w:val="22"/>
          <w:szCs w:val="22"/>
        </w:rPr>
        <w:t xml:space="preserve">These actions are escalated by the onshore lead to the Deloitte Independence Office. You never initiate this contact. You may be asked to supply the draft and the research trail.</w:t>
      </w:r>
    </w:p>
    <w:p>
      <w:pPr>
        <w:pStyle w:val="ListParagraph"/>
        <w:numPr>
          <w:ilvl w:val="0"/>
          <w:numId w:val="2"/>
        </w:numPr>
        <w:spacing w:after="80" w:line="280"/>
      </w:pPr>
      <w:r>
        <w:rPr>
          <w:rFonts w:ascii="Arial" w:cs="Arial" w:eastAsia="Arial" w:hAnsi="Arial"/>
          <w:sz w:val="22"/>
          <w:szCs w:val="22"/>
        </w:rPr>
        <w:t xml:space="preserve">Any externally distributed artifact naming a client that Deloitte audits</w:t>
      </w:r>
    </w:p>
    <w:p>
      <w:pPr>
        <w:pStyle w:val="ListParagraph"/>
        <w:numPr>
          <w:ilvl w:val="0"/>
          <w:numId w:val="2"/>
        </w:numPr>
        <w:spacing w:after="80" w:line="280"/>
      </w:pPr>
      <w:r>
        <w:rPr>
          <w:rFonts w:ascii="Arial" w:cs="Arial" w:eastAsia="Arial" w:hAnsi="Arial"/>
          <w:sz w:val="22"/>
          <w:szCs w:val="22"/>
        </w:rPr>
        <w:t xml:space="preserve">Any externally distributed artifact linking Deloitte commercial activity to a specific Microsoft product SKU</w:t>
      </w:r>
    </w:p>
    <w:p>
      <w:pPr>
        <w:pStyle w:val="ListParagraph"/>
        <w:numPr>
          <w:ilvl w:val="0"/>
          <w:numId w:val="2"/>
        </w:numPr>
        <w:spacing w:after="80" w:line="280"/>
      </w:pPr>
      <w:r>
        <w:rPr>
          <w:rFonts w:ascii="Arial" w:cs="Arial" w:eastAsia="Arial" w:hAnsi="Arial"/>
          <w:sz w:val="22"/>
          <w:szCs w:val="22"/>
        </w:rPr>
        <w:t xml:space="preserve">Any artifact using co-branded imagery with Microsoft</w:t>
      </w:r>
    </w:p>
    <w:p>
      <w:pPr>
        <w:pStyle w:val="ListParagraph"/>
        <w:numPr>
          <w:ilvl w:val="0"/>
          <w:numId w:val="2"/>
        </w:numPr>
        <w:spacing w:after="80" w:line="280"/>
      </w:pPr>
      <w:r>
        <w:rPr>
          <w:rFonts w:ascii="Arial" w:cs="Arial" w:eastAsia="Arial" w:hAnsi="Arial"/>
          <w:sz w:val="22"/>
          <w:szCs w:val="22"/>
        </w:rPr>
        <w:t xml:space="preserve">Any artifact describing financial outcomes attributable jointly to Deloitte and Microsoft</w:t>
      </w:r>
    </w:p>
    <w:p>
      <w:pPr>
        <w:pStyle w:val="ListParagraph"/>
        <w:numPr>
          <w:ilvl w:val="0"/>
          <w:numId w:val="2"/>
        </w:numPr>
        <w:spacing w:after="80" w:line="280"/>
      </w:pPr>
      <w:r>
        <w:rPr>
          <w:rFonts w:ascii="Arial" w:cs="Arial" w:eastAsia="Arial" w:hAnsi="Arial"/>
          <w:sz w:val="22"/>
          <w:szCs w:val="22"/>
        </w:rPr>
        <w:t xml:space="preserve">Any draft contract, SOW, or commercial proposal language</w:t>
      </w:r>
    </w:p>
    <w:p>
      <w:pPr>
        <w:pStyle w:val="Heading2"/>
        <w:spacing w:after="160" w:before="320"/>
      </w:pPr>
      <w:r>
        <w:rPr>
          <w:rFonts w:ascii="Arial" w:cs="Arial" w:eastAsia="Arial" w:hAnsi="Arial"/>
          <w:b/>
          <w:bCs/>
          <w:color w:val="1A1A1A"/>
          <w:sz w:val="28"/>
          <w:szCs w:val="28"/>
        </w:rPr>
        <w:t xml:space="preserve">F.4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80"/>
        <w:gridCol w:w="2480"/>
      </w:tblGrid>
      <w:tr>
        <w:tc>
          <w:tcPr>
            <w:tcW w:type="dxa" w:w="300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Situation</w:t>
            </w:r>
          </w:p>
        </w:tc>
        <w:tc>
          <w:tcPr>
            <w:tcW w:type="dxa" w:w="38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Escalate to</w:t>
            </w:r>
          </w:p>
        </w:tc>
        <w:tc>
          <w:tcPr>
            <w:tcW w:type="dxa" w:w="2480"/>
            <w:tcBorders>
              <w:top w:val="single" w:color="C8C8C8" w:sz="4"/>
              <w:left w:val="single" w:color="C8C8C8" w:sz="4"/>
              <w:bottom w:val="single" w:color="C8C8C8" w:sz="4"/>
              <w:right w:val="single" w:color="C8C8C8" w:sz="4"/>
            </w:tcBorders>
            <w:shd w:fill="007A5A" w:val="clear"/>
            <w:tcMar>
              <w:top w:type="dxa" w:w="90"/>
              <w:left w:type="dxa" w:w="140"/>
              <w:bottom w:type="dxa" w:w="90"/>
              <w:right w:type="dxa" w:w="140"/>
            </w:tcMar>
          </w:tcPr>
          <w:p>
            <w:r>
              <w:rPr>
                <w:rFonts w:ascii="Arial" w:cs="Arial" w:eastAsia="Arial" w:hAnsi="Arial"/>
                <w:b/>
                <w:bCs/>
                <w:color w:val="FFFFFF"/>
                <w:sz w:val="20"/>
                <w:szCs w:val="20"/>
              </w:rPr>
              <w:t xml:space="preserve">Within</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Missing or unclear brief</w:t>
            </w:r>
          </w:p>
        </w:tc>
        <w:tc>
          <w:tcPr>
            <w:tcW w:type="dxa" w:w="38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lead</w:t>
            </w:r>
          </w:p>
        </w:tc>
        <w:tc>
          <w:tcPr>
            <w:tcW w:type="dxa" w:w="2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Same business day</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Suspected compliance issue in existing content</w:t>
            </w:r>
          </w:p>
        </w:tc>
        <w:tc>
          <w:tcPr>
            <w:tcW w:type="dxa" w:w="38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lead immediately, then pursuit QR</w:t>
            </w:r>
          </w:p>
        </w:tc>
        <w:tc>
          <w:tcPr>
            <w:tcW w:type="dxa" w:w="2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Within two hours of discovery</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Peer review disagreement you cannot resolve</w:t>
            </w:r>
          </w:p>
        </w:tc>
        <w:tc>
          <w:tcPr>
            <w:tcW w:type="dxa" w:w="38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reviewer</w:t>
            </w:r>
          </w:p>
        </w:tc>
        <w:tc>
          <w:tcPr>
            <w:tcW w:type="dxa" w:w="2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Before hand-off</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Source conflict — two references disagree on a fact</w:t>
            </w:r>
          </w:p>
        </w:tc>
        <w:tc>
          <w:tcPr>
            <w:tcW w:type="dxa" w:w="38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reviewer</w:t>
            </w:r>
          </w:p>
        </w:tc>
        <w:tc>
          <w:tcPr>
            <w:tcW w:type="dxa" w:w="2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Before using either source</w:t>
            </w:r>
          </w:p>
        </w:tc>
      </w:tr>
      <w:tr>
        <w:tc>
          <w:tcPr>
            <w:tcW w:type="dxa" w:w="300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External contact reaches out to you directly</w:t>
            </w:r>
          </w:p>
        </w:tc>
        <w:tc>
          <w:tcPr>
            <w:tcW w:type="dxa" w:w="38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lead — do not reply without guidance</w:t>
            </w:r>
          </w:p>
        </w:tc>
        <w:tc>
          <w:tcPr>
            <w:tcW w:type="dxa" w:w="2480"/>
            <w:tcBorders>
              <w:top w:val="single" w:color="C8C8C8" w:sz="4"/>
              <w:left w:val="single" w:color="C8C8C8" w:sz="4"/>
              <w:bottom w:val="single" w:color="C8C8C8" w:sz="4"/>
              <w:right w:val="single" w:color="C8C8C8" w:sz="4"/>
            </w:tcBorders>
            <w:shd w:fill="FFFFFF" w:val="clear"/>
            <w:tcMar>
              <w:top w:type="dxa" w:w="90"/>
              <w:left w:type="dxa" w:w="140"/>
              <w:bottom w:type="dxa" w:w="90"/>
              <w:right w:type="dxa" w:w="140"/>
            </w:tcMar>
          </w:tcPr>
          <w:p>
            <w:r>
              <w:rPr>
                <w:rFonts w:ascii="Arial" w:cs="Arial" w:eastAsia="Arial" w:hAnsi="Arial"/>
                <w:b w:val="false"/>
                <w:bCs w:val="false"/>
                <w:color w:val="1A1A1A"/>
                <w:sz w:val="20"/>
                <w:szCs w:val="20"/>
              </w:rPr>
              <w:t xml:space="preserve">Immediately</w:t>
            </w:r>
          </w:p>
        </w:tc>
      </w:tr>
      <w:tr>
        <w:tc>
          <w:tcPr>
            <w:tcW w:type="dxa" w:w="300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Uncertainty about Independence language</w:t>
            </w:r>
          </w:p>
        </w:tc>
        <w:tc>
          <w:tcPr>
            <w:tcW w:type="dxa" w:w="38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Onshore lead</w:t>
            </w:r>
          </w:p>
        </w:tc>
        <w:tc>
          <w:tcPr>
            <w:tcW w:type="dxa" w:w="2480"/>
            <w:tcBorders>
              <w:top w:val="single" w:color="C8C8C8" w:sz="4"/>
              <w:left w:val="single" w:color="C8C8C8" w:sz="4"/>
              <w:bottom w:val="single" w:color="C8C8C8" w:sz="4"/>
              <w:right w:val="single" w:color="C8C8C8" w:sz="4"/>
            </w:tcBorders>
            <w:shd w:fill="F2F2F2" w:val="clear"/>
            <w:tcMar>
              <w:top w:type="dxa" w:w="90"/>
              <w:left w:type="dxa" w:w="140"/>
              <w:bottom w:type="dxa" w:w="90"/>
              <w:right w:type="dxa" w:w="140"/>
            </w:tcMar>
          </w:tcPr>
          <w:p>
            <w:r>
              <w:rPr>
                <w:rFonts w:ascii="Arial" w:cs="Arial" w:eastAsia="Arial" w:hAnsi="Arial"/>
                <w:b w:val="false"/>
                <w:bCs w:val="false"/>
                <w:color w:val="1A1A1A"/>
                <w:sz w:val="20"/>
                <w:szCs w:val="20"/>
              </w:rPr>
              <w:t xml:space="preserve">Before hand-off</w:t>
            </w:r>
          </w:p>
        </w:tc>
      </w:tr>
    </w:tbl>
    <w:p>
      <w:pPr>
        <w:pStyle w:val="Heading1"/>
        <w:pageBreakBefore/>
        <w:spacing w:after="240" w:before="0"/>
      </w:pPr>
      <w:r>
        <w:rPr>
          <w:rFonts w:ascii="Arial" w:cs="Arial" w:eastAsia="Arial" w:hAnsi="Arial"/>
          <w:b/>
          <w:bCs/>
          <w:color w:val="004B38"/>
          <w:sz w:val="36"/>
          <w:szCs w:val="36"/>
        </w:rPr>
        <w:t xml:space="preserve">Part G. Your First 30 Days</w:t>
      </w:r>
    </w:p>
    <w:p>
      <w:pPr>
        <w:spacing w:after="120" w:line="300"/>
      </w:pPr>
      <w:r>
        <w:rPr>
          <w:rFonts w:ascii="Arial" w:cs="Arial" w:eastAsia="Arial" w:hAnsi="Arial"/>
          <w:sz w:val="22"/>
          <w:szCs w:val="22"/>
        </w:rPr>
        <w:t xml:space="preserve">This ramp plan turns an offshore contributor from onboarded to productive in four weeks. Milestones are mandatory; your onshore lead will check them.</w:t>
      </w:r>
    </w:p>
    <w:p>
      <w:pPr>
        <w:pStyle w:val="Heading2"/>
        <w:spacing w:after="160" w:before="320"/>
      </w:pPr>
      <w:r>
        <w:rPr>
          <w:rFonts w:ascii="Arial" w:cs="Arial" w:eastAsia="Arial" w:hAnsi="Arial"/>
          <w:b/>
          <w:bCs/>
          <w:color w:val="1A1A1A"/>
          <w:sz w:val="28"/>
          <w:szCs w:val="28"/>
        </w:rPr>
        <w:t xml:space="preserve">Week 1 — Read and internalize</w:t>
      </w:r>
    </w:p>
    <w:p>
      <w:pPr>
        <w:pStyle w:val="ListParagraph"/>
        <w:numPr>
          <w:ilvl w:val="0"/>
          <w:numId w:val="2"/>
        </w:numPr>
        <w:spacing w:after="80" w:line="280"/>
      </w:pPr>
      <w:r>
        <w:rPr>
          <w:rFonts w:ascii="Arial" w:cs="Arial" w:eastAsia="Arial" w:hAnsi="Arial"/>
          <w:sz w:val="22"/>
          <w:szCs w:val="22"/>
        </w:rPr>
        <w:t xml:space="preserve">Read this playbook in full, twice. Second read is with a highlighter.</w:t>
      </w:r>
    </w:p>
    <w:p>
      <w:pPr>
        <w:pStyle w:val="ListParagraph"/>
        <w:numPr>
          <w:ilvl w:val="0"/>
          <w:numId w:val="2"/>
        </w:numPr>
        <w:spacing w:after="80" w:line="280"/>
      </w:pPr>
      <w:r>
        <w:rPr>
          <w:rFonts w:ascii="Arial" w:cs="Arial" w:eastAsia="Arial" w:hAnsi="Arial"/>
          <w:sz w:val="22"/>
          <w:szCs w:val="22"/>
        </w:rPr>
        <w:t xml:space="preserve">Read Parts A and F of this playbook one more time. Then read them again.</w:t>
      </w:r>
    </w:p>
    <w:p>
      <w:pPr>
        <w:pStyle w:val="ListParagraph"/>
        <w:numPr>
          <w:ilvl w:val="0"/>
          <w:numId w:val="2"/>
        </w:numPr>
        <w:spacing w:after="80" w:line="280"/>
      </w:pPr>
      <w:r>
        <w:rPr>
          <w:rFonts w:ascii="Arial" w:cs="Arial" w:eastAsia="Arial" w:hAnsi="Arial"/>
          <w:sz w:val="22"/>
          <w:szCs w:val="22"/>
        </w:rPr>
        <w:t xml:space="preserve">Complete the onshore-led walk-through of the APEX Sellers Guide table of contents. You will not read the full guide; you will learn how to navigate it.</w:t>
      </w:r>
    </w:p>
    <w:p>
      <w:pPr>
        <w:pStyle w:val="ListParagraph"/>
        <w:numPr>
          <w:ilvl w:val="0"/>
          <w:numId w:val="2"/>
        </w:numPr>
        <w:spacing w:after="80" w:line="280"/>
      </w:pPr>
      <w:r>
        <w:rPr>
          <w:rFonts w:ascii="Arial" w:cs="Arial" w:eastAsia="Arial" w:hAnsi="Arial"/>
          <w:sz w:val="22"/>
          <w:szCs w:val="22"/>
        </w:rPr>
        <w:t xml:space="preserve">Shadow a peer on one live draft from step 1 through step 8. Observe only.</w:t>
      </w:r>
    </w:p>
    <w:p>
      <w:pPr>
        <w:pStyle w:val="ListParagraph"/>
        <w:numPr>
          <w:ilvl w:val="0"/>
          <w:numId w:val="2"/>
        </w:numPr>
        <w:spacing w:after="80" w:line="280"/>
      </w:pPr>
      <w:r>
        <w:rPr>
          <w:rFonts w:ascii="Arial" w:cs="Arial" w:eastAsia="Arial" w:hAnsi="Arial"/>
          <w:sz w:val="22"/>
          <w:szCs w:val="22"/>
        </w:rPr>
        <w:t xml:space="preserve">Deliverable: a one-page written summary of this playbook in your own words. Your onshore lead grades it.</w:t>
      </w:r>
    </w:p>
    <w:p>
      <w:pPr>
        <w:pStyle w:val="Heading2"/>
        <w:spacing w:after="160" w:before="320"/>
      </w:pPr>
      <w:r>
        <w:rPr>
          <w:rFonts w:ascii="Arial" w:cs="Arial" w:eastAsia="Arial" w:hAnsi="Arial"/>
          <w:b/>
          <w:bCs/>
          <w:color w:val="1A1A1A"/>
          <w:sz w:val="28"/>
          <w:szCs w:val="28"/>
        </w:rPr>
        <w:t xml:space="preserve">Week 2 — Supervised first drafts</w:t>
      </w:r>
    </w:p>
    <w:p>
      <w:pPr>
        <w:pStyle w:val="ListParagraph"/>
        <w:numPr>
          <w:ilvl w:val="0"/>
          <w:numId w:val="2"/>
        </w:numPr>
        <w:spacing w:after="80" w:line="280"/>
      </w:pPr>
      <w:r>
        <w:rPr>
          <w:rFonts w:ascii="Arial" w:cs="Arial" w:eastAsia="Arial" w:hAnsi="Arial"/>
          <w:sz w:val="22"/>
          <w:szCs w:val="22"/>
        </w:rPr>
        <w:t xml:space="preserve">Produce two account one-pagers (D.1) under direct supervision</w:t>
      </w:r>
    </w:p>
    <w:p>
      <w:pPr>
        <w:pStyle w:val="ListParagraph"/>
        <w:numPr>
          <w:ilvl w:val="0"/>
          <w:numId w:val="2"/>
        </w:numPr>
        <w:spacing w:after="80" w:line="280"/>
      </w:pPr>
      <w:r>
        <w:rPr>
          <w:rFonts w:ascii="Arial" w:cs="Arial" w:eastAsia="Arial" w:hAnsi="Arial"/>
          <w:sz w:val="22"/>
          <w:szCs w:val="22"/>
        </w:rPr>
        <w:t xml:space="preserve">Produce one objection-handling snippet (D.6)</w:t>
      </w:r>
    </w:p>
    <w:p>
      <w:pPr>
        <w:pStyle w:val="ListParagraph"/>
        <w:numPr>
          <w:ilvl w:val="0"/>
          <w:numId w:val="2"/>
        </w:numPr>
        <w:spacing w:after="80" w:line="280"/>
      </w:pPr>
      <w:r>
        <w:rPr>
          <w:rFonts w:ascii="Arial" w:cs="Arial" w:eastAsia="Arial" w:hAnsi="Arial"/>
          <w:sz w:val="22"/>
          <w:szCs w:val="22"/>
        </w:rPr>
        <w:t xml:space="preserve">Run full Self-QA on each, including the Independence language checklist</w:t>
      </w:r>
    </w:p>
    <w:p>
      <w:pPr>
        <w:pStyle w:val="ListParagraph"/>
        <w:numPr>
          <w:ilvl w:val="0"/>
          <w:numId w:val="2"/>
        </w:numPr>
        <w:spacing w:after="80" w:line="280"/>
      </w:pPr>
      <w:r>
        <w:rPr>
          <w:rFonts w:ascii="Arial" w:cs="Arial" w:eastAsia="Arial" w:hAnsi="Arial"/>
          <w:sz w:val="22"/>
          <w:szCs w:val="22"/>
        </w:rPr>
        <w:t xml:space="preserve">Submit for peer review and onshore hand-off</w:t>
      </w:r>
    </w:p>
    <w:p>
      <w:pPr>
        <w:pStyle w:val="ListParagraph"/>
        <w:numPr>
          <w:ilvl w:val="0"/>
          <w:numId w:val="2"/>
        </w:numPr>
        <w:spacing w:after="80" w:line="280"/>
      </w:pPr>
      <w:r>
        <w:rPr>
          <w:rFonts w:ascii="Arial" w:cs="Arial" w:eastAsia="Arial" w:hAnsi="Arial"/>
          <w:sz w:val="22"/>
          <w:szCs w:val="22"/>
        </w:rPr>
        <w:t xml:space="preserve">Deliverable: three approved artifacts in the SharePoint archive</w:t>
      </w:r>
    </w:p>
    <w:p>
      <w:pPr>
        <w:pStyle w:val="Heading2"/>
        <w:spacing w:after="160" w:before="320"/>
      </w:pPr>
      <w:r>
        <w:rPr>
          <w:rFonts w:ascii="Arial" w:cs="Arial" w:eastAsia="Arial" w:hAnsi="Arial"/>
          <w:b/>
          <w:bCs/>
          <w:color w:val="1A1A1A"/>
          <w:sz w:val="28"/>
          <w:szCs w:val="28"/>
        </w:rPr>
        <w:t xml:space="preserve">Week 3 — Semi-independent production</w:t>
      </w:r>
    </w:p>
    <w:p>
      <w:pPr>
        <w:pStyle w:val="ListParagraph"/>
        <w:numPr>
          <w:ilvl w:val="0"/>
          <w:numId w:val="2"/>
        </w:numPr>
        <w:spacing w:after="80" w:line="280"/>
      </w:pPr>
      <w:r>
        <w:rPr>
          <w:rFonts w:ascii="Arial" w:cs="Arial" w:eastAsia="Arial" w:hAnsi="Arial"/>
          <w:sz w:val="22"/>
          <w:szCs w:val="22"/>
        </w:rPr>
        <w:t xml:space="preserve">Produce one persona-tuned cold email (D.2) and one nurture sequence (D.5)</w:t>
      </w:r>
    </w:p>
    <w:p>
      <w:pPr>
        <w:pStyle w:val="ListParagraph"/>
        <w:numPr>
          <w:ilvl w:val="0"/>
          <w:numId w:val="2"/>
        </w:numPr>
        <w:spacing w:after="80" w:line="280"/>
      </w:pPr>
      <w:r>
        <w:rPr>
          <w:rFonts w:ascii="Arial" w:cs="Arial" w:eastAsia="Arial" w:hAnsi="Arial"/>
          <w:sz w:val="22"/>
          <w:szCs w:val="22"/>
        </w:rPr>
        <w:t xml:space="preserve">Produce one meeting prep pack (D.4) with shadow support from a peer</w:t>
      </w:r>
    </w:p>
    <w:p>
      <w:pPr>
        <w:pStyle w:val="ListParagraph"/>
        <w:numPr>
          <w:ilvl w:val="0"/>
          <w:numId w:val="2"/>
        </w:numPr>
        <w:spacing w:after="80" w:line="280"/>
      </w:pPr>
      <w:r>
        <w:rPr>
          <w:rFonts w:ascii="Arial" w:cs="Arial" w:eastAsia="Arial" w:hAnsi="Arial"/>
          <w:sz w:val="22"/>
          <w:szCs w:val="22"/>
        </w:rPr>
        <w:t xml:space="preserve">Begin research for an industry primer (D.3) — do not draft yet</w:t>
      </w:r>
    </w:p>
    <w:p>
      <w:pPr>
        <w:pStyle w:val="ListParagraph"/>
        <w:numPr>
          <w:ilvl w:val="0"/>
          <w:numId w:val="2"/>
        </w:numPr>
        <w:spacing w:after="80" w:line="280"/>
      </w:pPr>
      <w:r>
        <w:rPr>
          <w:rFonts w:ascii="Arial" w:cs="Arial" w:eastAsia="Arial" w:hAnsi="Arial"/>
          <w:sz w:val="22"/>
          <w:szCs w:val="22"/>
        </w:rPr>
        <w:t xml:space="preserve">Deliverable: three approved artifacts plus the research pack for the primer</w:t>
      </w:r>
    </w:p>
    <w:p>
      <w:pPr>
        <w:pStyle w:val="Heading2"/>
        <w:spacing w:after="160" w:before="320"/>
      </w:pPr>
      <w:r>
        <w:rPr>
          <w:rFonts w:ascii="Arial" w:cs="Arial" w:eastAsia="Arial" w:hAnsi="Arial"/>
          <w:b/>
          <w:bCs/>
          <w:color w:val="1A1A1A"/>
          <w:sz w:val="28"/>
          <w:szCs w:val="28"/>
        </w:rPr>
        <w:t xml:space="preserve">Week 4 — Full workflow</w:t>
      </w:r>
    </w:p>
    <w:p>
      <w:pPr>
        <w:pStyle w:val="ListParagraph"/>
        <w:numPr>
          <w:ilvl w:val="0"/>
          <w:numId w:val="2"/>
        </w:numPr>
        <w:spacing w:after="80" w:line="280"/>
      </w:pPr>
      <w:r>
        <w:rPr>
          <w:rFonts w:ascii="Arial" w:cs="Arial" w:eastAsia="Arial" w:hAnsi="Arial"/>
          <w:sz w:val="22"/>
          <w:szCs w:val="22"/>
        </w:rPr>
        <w:t xml:space="preserve">Draft and publish the industry primer (D.3) through full workflow</w:t>
      </w:r>
    </w:p>
    <w:p>
      <w:pPr>
        <w:pStyle w:val="ListParagraph"/>
        <w:numPr>
          <w:ilvl w:val="0"/>
          <w:numId w:val="2"/>
        </w:numPr>
        <w:spacing w:after="80" w:line="280"/>
      </w:pPr>
      <w:r>
        <w:rPr>
          <w:rFonts w:ascii="Arial" w:cs="Arial" w:eastAsia="Arial" w:hAnsi="Arial"/>
          <w:sz w:val="22"/>
          <w:szCs w:val="22"/>
        </w:rPr>
        <w:t xml:space="preserve">Produce one case-study adaptation (D.7)</w:t>
      </w:r>
    </w:p>
    <w:p>
      <w:pPr>
        <w:pStyle w:val="ListParagraph"/>
        <w:numPr>
          <w:ilvl w:val="0"/>
          <w:numId w:val="2"/>
        </w:numPr>
        <w:spacing w:after="80" w:line="280"/>
      </w:pPr>
      <w:r>
        <w:rPr>
          <w:rFonts w:ascii="Arial" w:cs="Arial" w:eastAsia="Arial" w:hAnsi="Arial"/>
          <w:sz w:val="22"/>
          <w:szCs w:val="22"/>
        </w:rPr>
        <w:t xml:space="preserve">Produce two meeting prep packs (D.4) independently</w:t>
      </w:r>
    </w:p>
    <w:p>
      <w:pPr>
        <w:pStyle w:val="ListParagraph"/>
        <w:numPr>
          <w:ilvl w:val="0"/>
          <w:numId w:val="2"/>
        </w:numPr>
        <w:spacing w:after="80" w:line="280"/>
      </w:pPr>
      <w:r>
        <w:rPr>
          <w:rFonts w:ascii="Arial" w:cs="Arial" w:eastAsia="Arial" w:hAnsi="Arial"/>
          <w:sz w:val="22"/>
          <w:szCs w:val="22"/>
        </w:rPr>
        <w:t xml:space="preserve">Deliverable: four approved artifacts and a thirty-minute retrospective with your onshore lead on what worked and what to refine</w:t>
      </w:r>
    </w:p>
    <w:p>
      <w:pPr>
        <w:pBdr>
          <w:bottom w:val="single" w:color="007A5A" w:sz="8" w:space="1"/>
        </w:pBdr>
        <w:spacing w:after="120" w:before="120"/>
      </w:pPr>
      <w:r>
        <w:t xml:space="preserve"/>
      </w:r>
    </w:p>
    <w:p>
      <w:pPr>
        <w:spacing w:after="120" w:line="300"/>
      </w:pPr>
      <w:r>
        <w:rPr>
          <w:rFonts w:ascii="Arial" w:cs="Arial" w:eastAsia="Arial" w:hAnsi="Arial"/>
          <w:i/>
          <w:iCs/>
          <w:color w:val="595959"/>
          <w:sz w:val="20"/>
          <w:szCs w:val="20"/>
        </w:rPr>
        <w:t>End of Playbook v1.0.  Questions, corrections, and improvement suggestions go to Keven Markham.</w:t>
      </w:r>
    </w:p>
    <w:p>
      <w:pPr>
        <w:pBdr>
          <w:bottom w:val="single" w:color="007A5A" w:sz="8" w:space="1"/>
        </w:pBdr>
        <w:spacing w:before="360" w:after="180"/>
      </w:pPr>
      <w:r>
        <w:rPr>
          <w:rFonts w:ascii="Arial" w:cs="Arial" w:eastAsia="Arial" w:hAnsi="Arial"/>
          <w:b/>
          <w:bCs/>
          <w:color w:val="007A5A"/>
          <w:sz w:val="32"/>
          <w:szCs w:val="32"/>
        </w:rPr>
        <w:t xml:space="preserve">Part H. APEX v0.2 Updates (April 2026)</w:t>
      </w:r>
    </w:p>
    <w:p>
      <w:pPr>
        <w:spacing w:after="120" w:line="300"/>
      </w:pPr>
      <w:r>
        <w:rPr>
          <w:rFonts w:ascii="Arial" w:cs="Arial" w:eastAsia="Arial" w:hAnsi="Arial"/>
          <w:sz w:val="22"/>
          <w:szCs w:val="22"/>
        </w:rPr>
        <w:t xml:space="preserve">APEX v0.2 introduced substantial new content to the Sellers Guide (now v1.4). This part gives offshore contributors the minimum mental model needed to tag and produce content against the new material. Do not attempt to explain these concepts in client-facing content without onshore review — they are architecture-level topics.</w:t>
      </w:r>
    </w:p>
    <w:p>
      <w:pPr>
        <w:spacing w:before="280" w:after="140"/>
      </w:pPr>
      <w:r>
        <w:rPr>
          <w:rFonts w:ascii="Arial" w:cs="Arial" w:eastAsia="Arial" w:hAnsi="Arial"/>
          <w:b/>
          <w:bCs/>
          <w:color w:val="1F3864"/>
          <w:sz w:val="26"/>
          <w:szCs w:val="26"/>
        </w:rPr>
        <w:t xml:space="preserve">H.1  New Sellers Guide sections you will hear referenced</w:t>
      </w:r>
    </w:p>
    <w:p>
      <w:pPr>
        <w:spacing w:after="120" w:line="300"/>
      </w:pPr>
      <w:r>
        <w:rPr>
          <w:rFonts w:ascii="Arial" w:cs="Arial" w:eastAsia="Arial" w:hAnsi="Arial"/>
          <w:sz w:val="22"/>
          <w:szCs w:val="22"/>
        </w:rPr>
        <w:t xml:space="preserve">The following sections were added in v1.4 of the Sellers Guide. When an onshore reviewer mentions any of these by number, treat it as authoritative and route any questions through the standard QR flow.</w:t>
      </w:r>
    </w:p>
    <w:p>
      <w:pPr>
        <w:pStyle w:val="ListParagraph"/>
        <w:numPr>
          <w:ilvl w:val="0"/>
          <w:numId w:val="2"/>
        </w:numPr>
        <w:spacing w:after="80" w:line="280"/>
      </w:pPr>
      <w:r>
        <w:rPr>
          <w:rFonts w:ascii="Arial" w:cs="Arial" w:eastAsia="Arial" w:hAnsi="Arial"/>
          <w:b/>
          <w:bCs/>
          <w:sz w:val="22"/>
          <w:szCs w:val="22"/>
        </w:rPr>
        <w:t xml:space="preserve">§6.11 Microsoft Orchestrator Agent Types — </w:t>
      </w:r>
      <w:r>
        <w:rPr>
          <w:rFonts w:ascii="Arial" w:cs="Arial" w:eastAsia="Arial" w:hAnsi="Arial"/>
          <w:sz w:val="22"/>
          <w:szCs w:val="22"/>
        </w:rPr>
        <w:t xml:space="preserve">Semantic Kernel, Copilot Studio, and Agent365 (E7). Three Microsoft runtimes that compose rather than compete. APEX engagements at scale use all three.</w:t>
      </w:r>
    </w:p>
    <w:p>
      <w:pPr>
        <w:pStyle w:val="ListParagraph"/>
        <w:numPr>
          <w:ilvl w:val="0"/>
          <w:numId w:val="2"/>
        </w:numPr>
        <w:spacing w:after="80" w:line="280"/>
      </w:pPr>
      <w:r>
        <w:rPr>
          <w:rFonts w:ascii="Arial" w:cs="Arial" w:eastAsia="Arial" w:hAnsi="Arial"/>
          <w:b/>
          <w:bCs/>
          <w:sz w:val="22"/>
          <w:szCs w:val="22"/>
        </w:rPr>
        <w:t xml:space="preserve">§6.12 File-First Context Architecture — </w:t>
      </w:r>
      <w:r>
        <w:rPr>
          <w:rFonts w:ascii="Arial" w:cs="Arial" w:eastAsia="Arial" w:hAnsi="Arial"/>
          <w:sz w:val="22"/>
          <w:szCs w:val="22"/>
        </w:rPr>
        <w:t xml:space="preserve">the paradigm shift from vector-first retrieval to file-first agent identity. Credits the OpenClaw community pattern as the paradigm source.</w:t>
      </w:r>
    </w:p>
    <w:p>
      <w:pPr>
        <w:pStyle w:val="ListParagraph"/>
        <w:numPr>
          <w:ilvl w:val="0"/>
          <w:numId w:val="2"/>
        </w:numPr>
        <w:spacing w:after="80" w:line="280"/>
      </w:pPr>
      <w:r>
        <w:rPr>
          <w:rFonts w:ascii="Arial" w:cs="Arial" w:eastAsia="Arial" w:hAnsi="Arial"/>
          <w:b/>
          <w:bCs/>
          <w:sz w:val="22"/>
          <w:szCs w:val="22"/>
        </w:rPr>
        <w:t xml:space="preserve">§6.13 Parent-Child Agent Orchestration + Redis — </w:t>
      </w:r>
      <w:r>
        <w:rPr>
          <w:rFonts w:ascii="Arial" w:cs="Arial" w:eastAsia="Arial" w:hAnsi="Arial"/>
          <w:sz w:val="22"/>
          <w:szCs w:val="22"/>
        </w:rPr>
        <w:t xml:space="preserve">production-grade orchestration primitives (cancellation token, budget envelope, status channel) plus the Redis hot-path cache with strict governance rules — control-plane only, never data-plane.</w:t>
      </w:r>
    </w:p>
    <w:p>
      <w:pPr>
        <w:pStyle w:val="ListParagraph"/>
        <w:numPr>
          <w:ilvl w:val="0"/>
          <w:numId w:val="2"/>
        </w:numPr>
        <w:spacing w:after="80" w:line="280"/>
      </w:pPr>
      <w:r>
        <w:rPr>
          <w:rFonts w:ascii="Arial" w:cs="Arial" w:eastAsia="Arial" w:hAnsi="Arial"/>
          <w:b/>
          <w:bCs/>
          <w:sz w:val="22"/>
          <w:szCs w:val="22"/>
        </w:rPr>
        <w:t xml:space="preserve">Seven Practice deep-dives — </w:t>
      </w:r>
      <w:r>
        <w:rPr>
          <w:rFonts w:ascii="Arial" w:cs="Arial" w:eastAsia="Arial" w:hAnsi="Arial"/>
          <w:sz w:val="22"/>
          <w:szCs w:val="22"/>
        </w:rPr>
        <w:t xml:space="preserve">§9.11 RC, §10.10 HLS, §11.10 ER, §12.10 AXLE, §13.13 TMT, §14.9 TH, §15.9 ICE. Each covers data foundations, agent consumption, governance, and envelope linkages for its Practice.</w:t>
      </w:r>
    </w:p>
    <w:p>
      <w:pPr>
        <w:pStyle w:val="ListParagraph"/>
        <w:numPr>
          <w:ilvl w:val="0"/>
          <w:numId w:val="2"/>
        </w:numPr>
        <w:spacing w:after="80" w:line="280"/>
      </w:pPr>
      <w:r>
        <w:rPr>
          <w:rFonts w:ascii="Arial" w:cs="Arial" w:eastAsia="Arial" w:hAnsi="Arial"/>
          <w:b/>
          <w:bCs/>
          <w:sz w:val="22"/>
          <w:szCs w:val="22"/>
        </w:rPr>
        <w:t xml:space="preserve">§2.2C Human Oversight Spectrum — </w:t>
      </w:r>
      <w:r>
        <w:rPr>
          <w:rFonts w:ascii="Arial" w:cs="Arial" w:eastAsia="Arial" w:hAnsi="Arial"/>
          <w:sz w:val="22"/>
          <w:szCs w:val="22"/>
        </w:rPr>
        <w:t xml:space="preserve">HITL (Human-in-the-Loop) for consequential decisions, HOTL (Human-on-the-Loop) for routine monitoring, HIC (Human-in-Command) for strategic governance.</w:t>
      </w:r>
    </w:p>
    <w:p>
      <w:pPr>
        <w:pStyle w:val="ListParagraph"/>
        <w:numPr>
          <w:ilvl w:val="0"/>
          <w:numId w:val="2"/>
        </w:numPr>
        <w:spacing w:after="80" w:line="280"/>
      </w:pPr>
      <w:r>
        <w:rPr>
          <w:rFonts w:ascii="Arial" w:cs="Arial" w:eastAsia="Arial" w:hAnsi="Arial"/>
          <w:b/>
          <w:bCs/>
          <w:sz w:val="22"/>
          <w:szCs w:val="22"/>
        </w:rPr>
        <w:t xml:space="preserve">§6.10 &amp; §8.8 Audit — </w:t>
      </w:r>
      <w:r>
        <w:rPr>
          <w:rFonts w:ascii="Arial" w:cs="Arial" w:eastAsia="Arial" w:hAnsi="Arial"/>
          <w:sz w:val="22"/>
          <w:szCs w:val="22"/>
        </w:rPr>
        <w:t xml:space="preserve">the APEX audit row (what agents emit, 14 required fields, version-pinned) and the audit architecture (how Purview stores and surfaces it end-to-end).</w:t>
      </w:r>
    </w:p>
    <w:p>
      <w:pPr>
        <w:pStyle w:val="ListParagraph"/>
        <w:numPr>
          <w:ilvl w:val="0"/>
          <w:numId w:val="2"/>
        </w:numPr>
        <w:spacing w:after="80" w:line="280"/>
      </w:pPr>
      <w:r>
        <w:rPr>
          <w:rFonts w:ascii="Arial" w:cs="Arial" w:eastAsia="Arial" w:hAnsi="Arial"/>
          <w:b/>
          <w:bCs/>
          <w:sz w:val="22"/>
          <w:szCs w:val="22"/>
        </w:rPr>
        <w:t xml:space="preserve">§4.8 Complementary Platforms — </w:t>
      </w:r>
      <w:r>
        <w:rPr>
          <w:rFonts w:ascii="Arial" w:cs="Arial" w:eastAsia="Arial" w:hAnsi="Arial"/>
          <w:sz w:val="22"/>
          <w:szCs w:val="22"/>
        </w:rPr>
        <w:t xml:space="preserve">how APEX composes with Palantir, C3.ai, Databricks, Snowflake, Salesforce, ServiceNow, UiPath, IBM watsonx, and Google Vertex. Never as competitors, always as composable.</w:t>
      </w:r>
    </w:p>
    <w:p>
      <w:pPr>
        <w:spacing w:before="280" w:after="140"/>
      </w:pPr>
      <w:r>
        <w:rPr>
          <w:rFonts w:ascii="Arial" w:cs="Arial" w:eastAsia="Arial" w:hAnsi="Arial"/>
          <w:b/>
          <w:bCs/>
          <w:color w:val="1F3864"/>
          <w:sz w:val="26"/>
          <w:szCs w:val="26"/>
        </w:rPr>
        <w:t xml:space="preserve">H.2  New talking points cleared for offshore drafts</w:t>
      </w:r>
    </w:p>
    <w:p>
      <w:pPr>
        <w:spacing w:after="120" w:line="300"/>
      </w:pPr>
      <w:r>
        <w:rPr>
          <w:rFonts w:ascii="Arial" w:cs="Arial" w:eastAsia="Arial" w:hAnsi="Arial"/>
          <w:sz w:val="22"/>
          <w:szCs w:val="22"/>
        </w:rPr>
        <w:t xml:space="preserve">The following positioning statements are cleared for offshore-drafted content at Tier 2 (broad functional audience). Use them verbatim; paraphrasing invalidates the Independence review.</w:t>
      </w:r>
    </w:p>
    <w:p>
      <w:pPr>
        <w:spacing w:before="200" w:after="100"/>
      </w:pPr>
      <w:r>
        <w:rPr>
          <w:rFonts w:ascii="Arial" w:cs="Arial" w:eastAsia="Arial" w:hAnsi="Arial"/>
          <w:b/>
          <w:bCs/>
          <w:sz w:val="22"/>
          <w:szCs w:val="22"/>
        </w:rPr>
        <w:t xml:space="preserve">On Microsoft orchestrators</w:t>
      </w:r>
    </w:p>
    <w:p>
      <w:pPr>
        <w:pBdr>
          <w:left w:val="single" w:color="007A5A" w:sz="12" w:space="6"/>
        </w:pBdr>
        <w:spacing w:before="120" w:after="120" w:line="300"/>
        <w:ind w:left="360" w:right="360"/>
      </w:pPr>
      <w:r>
        <w:rPr>
          <w:rFonts w:ascii="Arial" w:cs="Arial" w:eastAsia="Arial" w:hAnsi="Arial"/>
          <w:i/>
          <w:iCs/>
          <w:color w:val="303030"/>
          <w:sz w:val="22"/>
          <w:szCs w:val="22"/>
        </w:rPr>
        <w:t xml:space="preserve">“Microsoft now ships three orchestrator runtimes — Semantic Kernel, Copilot Studio, and Agent365. They compose rather than compete. APEX engagements at scale use all three, with the trace_id binding every cross-runtime call into one forensic thread.”</w:t>
      </w:r>
    </w:p>
    <w:p>
      <w:pPr>
        <w:spacing w:before="200" w:after="100"/>
      </w:pPr>
      <w:r>
        <w:rPr>
          <w:rFonts w:ascii="Arial" w:cs="Arial" w:eastAsia="Arial" w:hAnsi="Arial"/>
          <w:b/>
          <w:bCs/>
          <w:sz w:val="22"/>
          <w:szCs w:val="22"/>
        </w:rPr>
        <w:t xml:space="preserve">On file-first context</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agents wake with the same cognitive baseline every session. Identity, canonical schema, and governance rules are carried in files, not retrieved at runtime. Vectors and graphs remain useful for unstructured content and relationship traversal; the hybrid model preserves every investment.”</w:t>
      </w:r>
    </w:p>
    <w:p>
      <w:pPr>
        <w:spacing w:before="200" w:after="100"/>
      </w:pPr>
      <w:r>
        <w:rPr>
          <w:rFonts w:ascii="Arial" w:cs="Arial" w:eastAsia="Arial" w:hAnsi="Arial"/>
          <w:b/>
          <w:bCs/>
          <w:sz w:val="22"/>
          <w:szCs w:val="22"/>
        </w:rPr>
        <w:t xml:space="preserve">On the oversight spectrum</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scales agent autonomy through a designed spectrum: Human-in-the-Loop for consequential decisions, Human-on-the-Loop for routine monitoring, Human-in-Command for strategic governance. Every service declares which mode applies to which decision class.”</w:t>
      </w:r>
    </w:p>
    <w:p>
      <w:pPr>
        <w:spacing w:before="200" w:after="100"/>
      </w:pPr>
      <w:r>
        <w:rPr>
          <w:rFonts w:ascii="Arial" w:cs="Arial" w:eastAsia="Arial" w:hAnsi="Arial"/>
          <w:b/>
          <w:bCs/>
          <w:sz w:val="22"/>
          <w:szCs w:val="22"/>
        </w:rPr>
        <w:t xml:space="preserve">On the audit row</w:t>
      </w:r>
    </w:p>
    <w:p>
      <w:pPr>
        <w:pBdr>
          <w:left w:val="single" w:color="007A5A" w:sz="12" w:space="6"/>
        </w:pBdr>
        <w:spacing w:before="120" w:after="120" w:line="300"/>
        <w:ind w:left="360" w:right="360"/>
      </w:pPr>
      <w:r>
        <w:rPr>
          <w:rFonts w:ascii="Arial" w:cs="Arial" w:eastAsia="Arial" w:hAnsi="Arial"/>
          <w:i/>
          <w:iCs/>
          <w:color w:val="303030"/>
          <w:sz w:val="22"/>
          <w:szCs w:val="22"/>
        </w:rPr>
        <w:t xml:space="preserve">“Every APEX agent decision writes a structured, version-pinned, tamper-evident audit row. A regulator can reconstruct any decision through Purview lineage without custom tooling.”</w:t>
      </w:r>
    </w:p>
    <w:p>
      <w:pPr>
        <w:spacing w:before="200" w:after="100"/>
      </w:pPr>
      <w:r>
        <w:rPr>
          <w:rFonts w:ascii="Arial" w:cs="Arial" w:eastAsia="Arial" w:hAnsi="Arial"/>
          <w:b/>
          <w:bCs/>
          <w:sz w:val="22"/>
          <w:szCs w:val="22"/>
        </w:rPr>
        <w:t xml:space="preserve">On complementary platforms</w:t>
      </w:r>
    </w:p>
    <w:p>
      <w:pPr>
        <w:pBdr>
          <w:left w:val="single" w:color="007A5A" w:sz="12" w:space="6"/>
        </w:pBdr>
        <w:spacing w:before="120" w:after="120" w:line="300"/>
        <w:ind w:left="360" w:right="360"/>
      </w:pPr>
      <w:r>
        <w:rPr>
          <w:rFonts w:ascii="Arial" w:cs="Arial" w:eastAsia="Arial" w:hAnsi="Arial"/>
          <w:i/>
          <w:iCs/>
          <w:color w:val="303030"/>
          <w:sz w:val="22"/>
          <w:szCs w:val="22"/>
        </w:rPr>
        <w:t xml:space="preserve">“APEX does not replace Palantir, C3.ai, Databricks, or Snowflake. APEX orchestrates across them. The Microsoft platform is the agentic substrate; the complementary platforms remain load-bearing where the client invested.”</w:t>
      </w:r>
    </w:p>
    <w:p>
      <w:pPr>
        <w:spacing w:before="280" w:after="140"/>
      </w:pPr>
      <w:r>
        <w:rPr>
          <w:rFonts w:ascii="Arial" w:cs="Arial" w:eastAsia="Arial" w:hAnsi="Arial"/>
          <w:b/>
          <w:bCs/>
          <w:color w:val="1F3864"/>
          <w:sz w:val="26"/>
          <w:szCs w:val="26"/>
        </w:rPr>
        <w:t xml:space="preserve">H.3  New objection responses</w:t>
      </w:r>
    </w:p>
    <w:p>
      <w:pPr>
        <w:spacing w:before="200" w:after="100"/>
      </w:pPr>
      <w:r>
        <w:rPr>
          <w:rFonts w:ascii="Arial" w:cs="Arial" w:eastAsia="Arial" w:hAnsi="Arial"/>
          <w:b/>
          <w:bCs/>
          <w:sz w:val="22"/>
          <w:szCs w:val="22"/>
        </w:rPr>
        <w:t xml:space="preserve">“Why Microsoft when our stack is AWS / GCP?”</w:t>
      </w:r>
    </w:p>
    <w:p>
      <w:pPr>
        <w:spacing w:after="120" w:line="300"/>
      </w:pPr>
      <w:r>
        <w:rPr>
          <w:rFonts w:ascii="Arial" w:cs="Arial" w:eastAsia="Arial" w:hAnsi="Arial"/>
          <w:sz w:val="22"/>
          <w:szCs w:val="22"/>
        </w:rPr>
        <w:t xml:space="preserve">“APEX is Microsoft-native because of the four-plane composition — Fabric, Foundry, Purview, Entra. If your strategic stack is AWS or GCP for new AI workloads, APEX may not be the right answer, and we will tell you honestly in discovery. Many APEX clients coexist with other clouds where those clouds are load-bearing for non-agentic workloads.”</w:t>
      </w:r>
    </w:p>
    <w:p>
      <w:pPr>
        <w:spacing w:before="200" w:after="100"/>
      </w:pPr>
      <w:r>
        <w:rPr>
          <w:rFonts w:ascii="Arial" w:cs="Arial" w:eastAsia="Arial" w:hAnsi="Arial"/>
          <w:b/>
          <w:bCs/>
          <w:sz w:val="22"/>
          <w:szCs w:val="22"/>
        </w:rPr>
        <w:t xml:space="preserve">“Doesn’t file-first context conflict with our vector store?”</w:t>
      </w:r>
    </w:p>
    <w:p>
      <w:pPr>
        <w:spacing w:after="120" w:line="300"/>
      </w:pPr>
      <w:r>
        <w:rPr>
          <w:rFonts w:ascii="Arial" w:cs="Arial" w:eastAsia="Arial" w:hAnsi="Arial"/>
          <w:sz w:val="22"/>
          <w:szCs w:val="22"/>
        </w:rPr>
        <w:t xml:space="preserve">“File-first is complementary to vectors. Files carry identity and canonical schema; vectors carry unstructured semantic search; graphs carry relationships. The hybrid model keeps your vector investment useful — it just is not the carrier of agent identity anymore.”</w:t>
      </w:r>
    </w:p>
    <w:p>
      <w:pPr>
        <w:spacing w:before="200" w:after="100"/>
      </w:pPr>
      <w:r>
        <w:rPr>
          <w:rFonts w:ascii="Arial" w:cs="Arial" w:eastAsia="Arial" w:hAnsi="Arial"/>
          <w:b/>
          <w:bCs/>
          <w:sz w:val="22"/>
          <w:szCs w:val="22"/>
        </w:rPr>
        <w:t xml:space="preserve">“We don’t have Microsoft E7 — is Agent365 required?”</w:t>
      </w:r>
    </w:p>
    <w:p>
      <w:pPr>
        <w:spacing w:after="120" w:line="300"/>
      </w:pPr>
      <w:r>
        <w:rPr>
          <w:rFonts w:ascii="Arial" w:cs="Arial" w:eastAsia="Arial" w:hAnsi="Arial"/>
          <w:sz w:val="22"/>
          <w:szCs w:val="22"/>
        </w:rPr>
        <w:t xml:space="preserve">“No. APEX works with Semantic Kernel and Copilot Studio without E7. Agent365 is a governance accelerator for enterprises with E7 licensing; it reduces the custom-governance lift but is not a prerequisite.”</w:t>
      </w:r>
    </w:p>
    <w:p>
      <w:pPr>
        <w:spacing w:before="200" w:after="100"/>
      </w:pPr>
      <w:r>
        <w:rPr>
          <w:rFonts w:ascii="Arial" w:cs="Arial" w:eastAsia="Arial" w:hAnsi="Arial"/>
          <w:b/>
          <w:bCs/>
          <w:sz w:val="22"/>
          <w:szCs w:val="22"/>
        </w:rPr>
        <w:t xml:space="preserve">“Is Redis caching our data?”</w:t>
      </w:r>
    </w:p>
    <w:p>
      <w:pPr>
        <w:spacing w:after="120" w:line="300"/>
      </w:pPr>
      <w:r>
        <w:rPr>
          <w:rFonts w:ascii="Arial" w:cs="Arial" w:eastAsia="Arial" w:hAnsi="Arial"/>
          <w:sz w:val="22"/>
          <w:szCs w:val="22"/>
        </w:rPr>
        <w:t xml:space="preserve">“Redis is strictly control-plane only — cancel tokens, budget counters, heartbeats, HITL deadlines, session state. Your canonical data never touches Redis. It lives in Fabric Gold, served to agents through typed MCP tools with full audit row emission.”</w:t>
      </w:r>
    </w:p>
    <w:p>
      <w:pPr>
        <w:spacing w:before="280" w:after="140"/>
      </w:pPr>
      <w:r>
        <w:rPr>
          <w:rFonts w:ascii="Arial" w:cs="Arial" w:eastAsia="Arial" w:hAnsi="Arial"/>
          <w:b/>
          <w:bCs/>
          <w:color w:val="1F3864"/>
          <w:sz w:val="26"/>
          <w:szCs w:val="26"/>
        </w:rPr>
        <w:t xml:space="preserve">H.4  Forbidden language — additions to §F.1</w:t>
      </w:r>
    </w:p>
    <w:p>
      <w:pPr>
        <w:spacing w:after="120" w:line="300"/>
      </w:pPr>
      <w:r>
        <w:rPr>
          <w:rFonts w:ascii="Arial" w:cs="Arial" w:eastAsia="Arial" w:hAnsi="Arial"/>
          <w:sz w:val="22"/>
          <w:szCs w:val="22"/>
        </w:rPr>
        <w:t xml:space="preserve">Never write these phrases in any externally-distributed content. Each is either architecturally wrong or Independence-problematic:</w:t>
      </w:r>
    </w:p>
    <w:p>
      <w:pPr>
        <w:pStyle w:val="ListParagraph"/>
        <w:numPr>
          <w:ilvl w:val="0"/>
          <w:numId w:val="2"/>
        </w:numPr>
        <w:spacing w:after="80" w:line="280"/>
      </w:pPr>
      <w:r>
        <w:rPr>
          <w:rFonts w:ascii="Arial" w:cs="Arial" w:eastAsia="Arial" w:hAnsi="Arial"/>
          <w:b/>
          <w:bCs/>
          <w:sz w:val="22"/>
          <w:szCs w:val="22"/>
        </w:rPr>
        <w:t xml:space="preserve">“APEX uses Palantir ontology” / “APEX includes C3.ai” / “APEX is built on Databricks / Snowflake” — </w:t>
      </w:r>
      <w:r>
        <w:rPr>
          <w:rFonts w:ascii="Arial" w:cs="Arial" w:eastAsia="Arial" w:hAnsi="Arial"/>
          <w:sz w:val="22"/>
          <w:szCs w:val="22"/>
        </w:rPr>
        <w:t xml:space="preserve">these platforms are complementary, not ingredients of APEX.</w:t>
      </w:r>
    </w:p>
    <w:p>
      <w:pPr>
        <w:pStyle w:val="ListParagraph"/>
        <w:numPr>
          <w:ilvl w:val="0"/>
          <w:numId w:val="2"/>
        </w:numPr>
        <w:spacing w:after="80" w:line="280"/>
      </w:pPr>
      <w:r>
        <w:rPr>
          <w:rFonts w:ascii="Arial" w:cs="Arial" w:eastAsia="Arial" w:hAnsi="Arial"/>
          <w:b/>
          <w:bCs/>
          <w:sz w:val="22"/>
          <w:szCs w:val="22"/>
        </w:rPr>
        <w:t xml:space="preserve">“The OpenClaw partnership” / “Deloitte-OpenClaw alliance” — </w:t>
      </w:r>
      <w:r>
        <w:rPr>
          <w:rFonts w:ascii="Arial" w:cs="Arial" w:eastAsia="Arial" w:hAnsi="Arial"/>
          <w:sz w:val="22"/>
          <w:szCs w:val="22"/>
        </w:rPr>
        <w:t xml:space="preserve">OpenClaw is a credited community pattern. It is not a partnership, an alliance, or a commercial relationship.</w:t>
      </w:r>
    </w:p>
    <w:p>
      <w:pPr>
        <w:pStyle w:val="ListParagraph"/>
        <w:numPr>
          <w:ilvl w:val="0"/>
          <w:numId w:val="2"/>
        </w:numPr>
        <w:spacing w:after="80" w:line="280"/>
      </w:pPr>
      <w:r>
        <w:rPr>
          <w:rFonts w:ascii="Arial" w:cs="Arial" w:eastAsia="Arial" w:hAnsi="Arial"/>
          <w:b/>
          <w:bCs/>
          <w:sz w:val="22"/>
          <w:szCs w:val="22"/>
        </w:rPr>
        <w:t xml:space="preserve">“Redis stores APEX data” / “Redis caches customer records” — </w:t>
      </w:r>
      <w:r>
        <w:rPr>
          <w:rFonts w:ascii="Arial" w:cs="Arial" w:eastAsia="Arial" w:hAnsi="Arial"/>
          <w:sz w:val="22"/>
          <w:szCs w:val="22"/>
        </w:rPr>
        <w:t xml:space="preserve">Redis is control-plane only. Data-plane content lives in Fabric Gold.</w:t>
      </w:r>
    </w:p>
    <w:p>
      <w:pPr>
        <w:pStyle w:val="ListParagraph"/>
        <w:numPr>
          <w:ilvl w:val="0"/>
          <w:numId w:val="2"/>
        </w:numPr>
        <w:spacing w:after="80" w:line="280"/>
      </w:pPr>
      <w:r>
        <w:rPr>
          <w:rFonts w:ascii="Arial" w:cs="Arial" w:eastAsia="Arial" w:hAnsi="Arial"/>
          <w:b/>
          <w:bCs/>
          <w:sz w:val="22"/>
          <w:szCs w:val="22"/>
        </w:rPr>
        <w:t xml:space="preserve">“APEX is fully autonomous” / “APEX replaces human approval” — </w:t>
      </w:r>
      <w:r>
        <w:rPr>
          <w:rFonts w:ascii="Arial" w:cs="Arial" w:eastAsia="Arial" w:hAnsi="Arial"/>
          <w:sz w:val="22"/>
          <w:szCs w:val="22"/>
        </w:rPr>
        <w:t xml:space="preserve">APEX uses the oversight spectrum. Human governance is always present, across HITL, HOTL, or HIC modes.</w:t>
      </w:r>
    </w:p>
    <w:p>
      <w:pPr>
        <w:pStyle w:val="ListParagraph"/>
        <w:numPr>
          <w:ilvl w:val="0"/>
          <w:numId w:val="2"/>
        </w:numPr>
        <w:spacing w:after="80" w:line="280"/>
      </w:pPr>
      <w:r>
        <w:rPr>
          <w:rFonts w:ascii="Arial" w:cs="Arial" w:eastAsia="Arial" w:hAnsi="Arial"/>
          <w:b/>
          <w:bCs/>
          <w:sz w:val="22"/>
          <w:szCs w:val="22"/>
        </w:rPr>
        <w:t xml:space="preserve">“APEX includes Agent365” / “APEX ships with E7” — </w:t>
      </w:r>
      <w:r>
        <w:rPr>
          <w:rFonts w:ascii="Arial" w:cs="Arial" w:eastAsia="Arial" w:hAnsi="Arial"/>
          <w:sz w:val="22"/>
          <w:szCs w:val="22"/>
        </w:rPr>
        <w:t xml:space="preserve">Agent365 is a Microsoft E7 tier the client may license. APEX leverages it when available; APEX does not include or resell it.</w:t>
      </w:r>
    </w:p>
    <w:p>
      <w:pPr>
        <w:pStyle w:val="ListParagraph"/>
        <w:numPr>
          <w:ilvl w:val="0"/>
          <w:numId w:val="2"/>
        </w:numPr>
        <w:spacing w:after="80" w:line="280"/>
      </w:pPr>
      <w:r>
        <w:rPr>
          <w:rFonts w:ascii="Arial" w:cs="Arial" w:eastAsia="Arial" w:hAnsi="Arial"/>
          <w:b/>
          <w:bCs/>
          <w:sz w:val="22"/>
          <w:szCs w:val="22"/>
        </w:rPr>
        <w:t xml:space="preserve">“Our audit row is cryptographic blockchain” — </w:t>
      </w:r>
      <w:r>
        <w:rPr>
          <w:rFonts w:ascii="Arial" w:cs="Arial" w:eastAsia="Arial" w:hAnsi="Arial"/>
          <w:sz w:val="22"/>
          <w:szCs w:val="22"/>
        </w:rPr>
        <w:t xml:space="preserve">the audit row uses content hashes and Git SHAs, not blockchain. Do not overclaim the mechanism.</w:t>
      </w:r>
    </w:p>
    <w:p>
      <w:pPr>
        <w:spacing w:before="280" w:after="140"/>
      </w:pPr>
      <w:r>
        <w:rPr>
          <w:rFonts w:ascii="Arial" w:cs="Arial" w:eastAsia="Arial" w:hAnsi="Arial"/>
          <w:b/>
          <w:bCs/>
          <w:color w:val="1F3864"/>
          <w:sz w:val="26"/>
          <w:szCs w:val="26"/>
        </w:rPr>
        <w:t xml:space="preserve">H.5  Required qualifications when referencing the new content</w:t>
      </w:r>
    </w:p>
    <w:p>
      <w:pPr>
        <w:pStyle w:val="ListParagraph"/>
        <w:numPr>
          <w:ilvl w:val="0"/>
          <w:numId w:val="2"/>
        </w:numPr>
        <w:spacing w:after="80" w:line="280"/>
      </w:pPr>
      <w:r>
        <w:rPr>
          <w:rFonts w:ascii="Arial" w:cs="Arial" w:eastAsia="Arial" w:hAnsi="Arial"/>
          <w:b/>
          <w:bCs/>
          <w:sz w:val="22"/>
          <w:szCs w:val="22"/>
        </w:rPr>
        <w:t xml:space="preserve">File-first context → </w:t>
      </w:r>
      <w:r>
        <w:rPr>
          <w:rFonts w:ascii="Arial" w:cs="Arial" w:eastAsia="Arial" w:hAnsi="Arial"/>
          <w:sz w:val="22"/>
          <w:szCs w:val="22"/>
        </w:rPr>
        <w:t xml:space="preserve">always credit OpenClaw as the community pattern. Never imply Deloitte invented file-first.</w:t>
      </w:r>
    </w:p>
    <w:p>
      <w:pPr>
        <w:pStyle w:val="ListParagraph"/>
        <w:numPr>
          <w:ilvl w:val="0"/>
          <w:numId w:val="2"/>
        </w:numPr>
        <w:spacing w:after="80" w:line="280"/>
      </w:pPr>
      <w:r>
        <w:rPr>
          <w:rFonts w:ascii="Arial" w:cs="Arial" w:eastAsia="Arial" w:hAnsi="Arial"/>
          <w:b/>
          <w:bCs/>
          <w:sz w:val="22"/>
          <w:szCs w:val="22"/>
        </w:rPr>
        <w:t xml:space="preserve">Microsoft orchestrators → </w:t>
      </w:r>
      <w:r>
        <w:rPr>
          <w:rFonts w:ascii="Arial" w:cs="Arial" w:eastAsia="Arial" w:hAnsi="Arial"/>
          <w:sz w:val="22"/>
          <w:szCs w:val="22"/>
        </w:rPr>
        <w:t xml:space="preserve">always name all three (SK, Copilot Studio, Agent365). Never single-source without onshore review.</w:t>
      </w:r>
    </w:p>
    <w:p>
      <w:pPr>
        <w:pStyle w:val="ListParagraph"/>
        <w:numPr>
          <w:ilvl w:val="0"/>
          <w:numId w:val="2"/>
        </w:numPr>
        <w:spacing w:after="80" w:line="280"/>
      </w:pPr>
      <w:r>
        <w:rPr>
          <w:rFonts w:ascii="Arial" w:cs="Arial" w:eastAsia="Arial" w:hAnsi="Arial"/>
          <w:b/>
          <w:bCs/>
          <w:sz w:val="22"/>
          <w:szCs w:val="22"/>
        </w:rPr>
        <w:t xml:space="preserve">Audit row → </w:t>
      </w:r>
      <w:r>
        <w:rPr>
          <w:rFonts w:ascii="Arial" w:cs="Arial" w:eastAsia="Arial" w:hAnsi="Arial"/>
          <w:sz w:val="22"/>
          <w:szCs w:val="22"/>
        </w:rPr>
        <w:t xml:space="preserve">always note it is version-pinned to manifest, policy, and prompt SHAs with content-addressable evidence.</w:t>
      </w:r>
    </w:p>
    <w:p>
      <w:pPr>
        <w:pStyle w:val="ListParagraph"/>
        <w:numPr>
          <w:ilvl w:val="0"/>
          <w:numId w:val="2"/>
        </w:numPr>
        <w:spacing w:after="80" w:line="280"/>
      </w:pPr>
      <w:r>
        <w:rPr>
          <w:rFonts w:ascii="Arial" w:cs="Arial" w:eastAsia="Arial" w:hAnsi="Arial"/>
          <w:b/>
          <w:bCs/>
          <w:sz w:val="22"/>
          <w:szCs w:val="22"/>
        </w:rPr>
        <w:t xml:space="preserve">Redis → </w:t>
      </w:r>
      <w:r>
        <w:rPr>
          <w:rFonts w:ascii="Arial" w:cs="Arial" w:eastAsia="Arial" w:hAnsi="Arial"/>
          <w:sz w:val="22"/>
          <w:szCs w:val="22"/>
        </w:rPr>
        <w:t xml:space="preserve">always qualify “control-plane only.” Data-plane references are forbidden per §F.1.</w:t>
      </w:r>
    </w:p>
    <w:p>
      <w:pPr>
        <w:pStyle w:val="ListParagraph"/>
        <w:numPr>
          <w:ilvl w:val="0"/>
          <w:numId w:val="2"/>
        </w:numPr>
        <w:spacing w:after="80" w:line="280"/>
      </w:pPr>
      <w:r>
        <w:rPr>
          <w:rFonts w:ascii="Arial" w:cs="Arial" w:eastAsia="Arial" w:hAnsi="Arial"/>
          <w:b/>
          <w:bCs/>
          <w:sz w:val="22"/>
          <w:szCs w:val="22"/>
        </w:rPr>
        <w:t xml:space="preserve">Oversight spectrum → </w:t>
      </w:r>
      <w:r>
        <w:rPr>
          <w:rFonts w:ascii="Arial" w:cs="Arial" w:eastAsia="Arial" w:hAnsi="Arial"/>
          <w:sz w:val="22"/>
          <w:szCs w:val="22"/>
        </w:rPr>
        <w:t xml:space="preserve">always name all three modes (HITL, HOTL, HIC). Never imply binary autonomous-vs-supervised.</w:t>
      </w:r>
    </w:p>
    <w:p>
      <w:pPr>
        <w:pStyle w:val="ListParagraph"/>
        <w:numPr>
          <w:ilvl w:val="0"/>
          <w:numId w:val="2"/>
        </w:numPr>
        <w:spacing w:after="80" w:line="280"/>
      </w:pPr>
      <w:r>
        <w:rPr>
          <w:rFonts w:ascii="Arial" w:cs="Arial" w:eastAsia="Arial" w:hAnsi="Arial"/>
          <w:b/>
          <w:bCs/>
          <w:sz w:val="22"/>
          <w:szCs w:val="22"/>
        </w:rPr>
        <w:t xml:space="preserve">Practices → </w:t>
      </w:r>
      <w:r>
        <w:rPr>
          <w:rFonts w:ascii="Arial" w:cs="Arial" w:eastAsia="Arial" w:hAnsi="Arial"/>
          <w:sz w:val="22"/>
          <w:szCs w:val="22"/>
        </w:rPr>
        <w:t xml:space="preserve">there are seven, acronym-correct: RC, HLS, ER, AXLE, TMT, TH, ICE. Tagging errors cause cross-Practice content leakage.</w:t>
      </w:r>
    </w:p>
    <w:p>
      <w:pPr>
        <w:pStyle w:val="ListParagraph"/>
        <w:numPr>
          <w:ilvl w:val="0"/>
          <w:numId w:val="2"/>
        </w:numPr>
        <w:spacing w:after="80" w:line="280"/>
      </w:pPr>
      <w:r>
        <w:rPr>
          <w:rFonts w:ascii="Arial" w:cs="Arial" w:eastAsia="Arial" w:hAnsi="Arial"/>
          <w:b/>
          <w:bCs/>
          <w:sz w:val="22"/>
          <w:szCs w:val="22"/>
        </w:rPr>
        <w:t xml:space="preserve">AXLE → </w:t>
      </w:r>
      <w:r>
        <w:rPr>
          <w:rFonts w:ascii="Arial" w:cs="Arial" w:eastAsia="Arial" w:hAnsi="Arial"/>
          <w:sz w:val="22"/>
          <w:szCs w:val="22"/>
        </w:rPr>
        <w:t xml:space="preserve">always clarify it is both the APEX Industrial Practice AND a sibling Deloitte framework for automotive. They coexist, federate, and are sometimes both engaged in the same client.</w:t>
      </w:r>
    </w:p>
    <w:p>
      <w:pPr>
        <w:spacing w:before="280" w:after="140"/>
      </w:pPr>
      <w:r>
        <w:rPr>
          <w:rFonts w:ascii="Arial" w:cs="Arial" w:eastAsia="Arial" w:hAnsi="Arial"/>
          <w:b/>
          <w:bCs/>
          <w:color w:val="1F3864"/>
          <w:sz w:val="26"/>
          <w:szCs w:val="26"/>
        </w:rPr>
        <w:t xml:space="preserve">H.6  Updated Appendix map in the Sellers Guide</w:t>
      </w:r>
    </w:p>
    <w:p>
      <w:pPr>
        <w:spacing w:after="120" w:line="300"/>
      </w:pPr>
      <w:r>
        <w:rPr>
          <w:rFonts w:ascii="Arial" w:cs="Arial" w:eastAsia="Arial" w:hAnsi="Arial"/>
          <w:sz w:val="22"/>
          <w:szCs w:val="22"/>
        </w:rPr>
        <w:t xml:space="preserve">The Sellers Guide now has 25 appendices, A through Y. Key entries you may tag against:</w:t>
      </w:r>
    </w:p>
    <w:p>
      <w:pPr>
        <w:pStyle w:val="ListParagraph"/>
        <w:numPr>
          <w:ilvl w:val="0"/>
          <w:numId w:val="2"/>
        </w:numPr>
        <w:spacing w:after="80" w:line="280"/>
      </w:pPr>
      <w:r>
        <w:rPr>
          <w:rFonts w:ascii="Arial" w:cs="Arial" w:eastAsia="Arial" w:hAnsi="Arial"/>
          <w:b/>
          <w:bCs/>
          <w:sz w:val="22"/>
          <w:szCs w:val="22"/>
        </w:rPr>
        <w:t xml:space="preserve">Appendix F — </w:t>
      </w:r>
      <w:r>
        <w:rPr>
          <w:rFonts w:ascii="Arial" w:cs="Arial" w:eastAsia="Arial" w:hAnsi="Arial"/>
          <w:sz w:val="22"/>
          <w:szCs w:val="22"/>
        </w:rPr>
        <w:t xml:space="preserve">Data Platform Co-Existence (Fabric with Databricks / Snowflake)</w:t>
      </w:r>
    </w:p>
    <w:p>
      <w:pPr>
        <w:pStyle w:val="ListParagraph"/>
        <w:numPr>
          <w:ilvl w:val="0"/>
          <w:numId w:val="2"/>
        </w:numPr>
        <w:spacing w:after="80" w:line="280"/>
      </w:pPr>
      <w:r>
        <w:rPr>
          <w:rFonts w:ascii="Arial" w:cs="Arial" w:eastAsia="Arial" w:hAnsi="Arial"/>
          <w:b/>
          <w:bCs/>
          <w:sz w:val="22"/>
          <w:szCs w:val="22"/>
        </w:rPr>
        <w:t xml:space="preserve">Appendix T — </w:t>
      </w:r>
      <w:r>
        <w:rPr>
          <w:rFonts w:ascii="Arial" w:cs="Arial" w:eastAsia="Arial" w:hAnsi="Arial"/>
          <w:sz w:val="22"/>
          <w:szCs w:val="22"/>
        </w:rPr>
        <w:t xml:space="preserve">KPI Expectations per Industry and Function</w:t>
      </w:r>
    </w:p>
    <w:p>
      <w:pPr>
        <w:pStyle w:val="ListParagraph"/>
        <w:numPr>
          <w:ilvl w:val="0"/>
          <w:numId w:val="2"/>
        </w:numPr>
        <w:spacing w:after="80" w:line="280"/>
      </w:pPr>
      <w:r>
        <w:rPr>
          <w:rFonts w:ascii="Arial" w:cs="Arial" w:eastAsia="Arial" w:hAnsi="Arial"/>
          <w:b/>
          <w:bCs/>
          <w:sz w:val="22"/>
          <w:szCs w:val="22"/>
        </w:rPr>
        <w:t xml:space="preserve">Appendix U — </w:t>
      </w:r>
      <w:r>
        <w:rPr>
          <w:rFonts w:ascii="Arial" w:cs="Arial" w:eastAsia="Arial" w:hAnsi="Arial"/>
          <w:sz w:val="22"/>
          <w:szCs w:val="22"/>
        </w:rPr>
        <w:t xml:space="preserve">Cost Calculation (Fabric + Agentic AI)</w:t>
      </w:r>
    </w:p>
    <w:p>
      <w:pPr>
        <w:pStyle w:val="ListParagraph"/>
        <w:numPr>
          <w:ilvl w:val="0"/>
          <w:numId w:val="2"/>
        </w:numPr>
        <w:spacing w:after="80" w:line="280"/>
      </w:pPr>
      <w:r>
        <w:rPr>
          <w:rFonts w:ascii="Arial" w:cs="Arial" w:eastAsia="Arial" w:hAnsi="Arial"/>
          <w:b/>
          <w:bCs/>
          <w:sz w:val="22"/>
          <w:szCs w:val="22"/>
        </w:rPr>
        <w:t xml:space="preserve">Appendix V — </w:t>
      </w:r>
      <w:r>
        <w:rPr>
          <w:rFonts w:ascii="Arial" w:cs="Arial" w:eastAsia="Arial" w:hAnsi="Arial"/>
          <w:sz w:val="22"/>
          <w:szCs w:val="22"/>
        </w:rPr>
        <w:t xml:space="preserve">Cross-Reference Index (problem-indexed navigation)</w:t>
      </w:r>
    </w:p>
    <w:p>
      <w:pPr>
        <w:pStyle w:val="ListParagraph"/>
        <w:numPr>
          <w:ilvl w:val="0"/>
          <w:numId w:val="2"/>
        </w:numPr>
        <w:spacing w:after="80" w:line="280"/>
      </w:pPr>
      <w:r>
        <w:rPr>
          <w:rFonts w:ascii="Arial" w:cs="Arial" w:eastAsia="Arial" w:hAnsi="Arial"/>
          <w:b/>
          <w:bCs/>
          <w:sz w:val="22"/>
          <w:szCs w:val="22"/>
        </w:rPr>
        <w:t xml:space="preserve">Appendix W — </w:t>
      </w:r>
      <w:r>
        <w:rPr>
          <w:rFonts w:ascii="Arial" w:cs="Arial" w:eastAsia="Arial" w:hAnsi="Arial"/>
          <w:sz w:val="22"/>
          <w:szCs w:val="22"/>
        </w:rPr>
        <w:t xml:space="preserve">Discovery-to-SOW Artifact Set (templates)</w:t>
      </w:r>
    </w:p>
    <w:p>
      <w:pPr>
        <w:pStyle w:val="ListParagraph"/>
        <w:numPr>
          <w:ilvl w:val="0"/>
          <w:numId w:val="2"/>
        </w:numPr>
        <w:spacing w:after="80" w:line="280"/>
      </w:pPr>
      <w:r>
        <w:rPr>
          <w:rFonts w:ascii="Arial" w:cs="Arial" w:eastAsia="Arial" w:hAnsi="Arial"/>
          <w:b/>
          <w:bCs/>
          <w:sz w:val="22"/>
          <w:szCs w:val="22"/>
        </w:rPr>
        <w:t xml:space="preserve">Appendix Y — </w:t>
      </w:r>
      <w:r>
        <w:rPr>
          <w:rFonts w:ascii="Arial" w:cs="Arial" w:eastAsia="Arial" w:hAnsi="Arial"/>
          <w:sz w:val="22"/>
          <w:szCs w:val="22"/>
        </w:rPr>
        <w:t xml:space="preserve">Comprehensive Glossary of Terms</w:t>
      </w:r>
    </w:p>
    <w:p>
      <w:pPr>
        <w:spacing w:before="280" w:after="140"/>
      </w:pPr>
      <w:r>
        <w:rPr>
          <w:rFonts w:ascii="Arial" w:cs="Arial" w:eastAsia="Arial" w:hAnsi="Arial"/>
          <w:b/>
          <w:bCs/>
          <w:color w:val="1F3864"/>
          <w:sz w:val="26"/>
          <w:szCs w:val="26"/>
        </w:rPr>
        <w:t xml:space="preserve">H.7  Reference</w:t>
      </w:r>
    </w:p>
    <w:p>
      <w:pPr>
        <w:spacing w:after="120" w:line="300"/>
      </w:pPr>
      <w:r>
        <w:rPr>
          <w:rFonts w:ascii="Arial" w:cs="Arial" w:eastAsia="Arial" w:hAnsi="Arial"/>
          <w:sz w:val="22"/>
          <w:szCs w:val="22"/>
        </w:rPr>
        <w:t xml:space="preserve">APEX Sellers Guide v1.4 is the authoritative reference for everything in this Part. All talking points, objection responses, and qualifications above derive directly from it. When uncertain, cite the Sellers Guide section number (for example, §6.12) and route to your onshore reviewer. Never paraphrase the positioning statements in Part H.2 without review — they are the Independence-cleared wording.</w:t>
      </w:r>
    </w:p>
    <w:p>
      <w:pPr>
        <w:spacing w:after="120" w:line="300"/>
      </w:pPr>
      <w:r>
        <w:rPr>
          <w:rFonts w:ascii="Arial" w:cs="Arial" w:eastAsia="Arial" w:hAnsi="Arial"/>
          <w:sz w:val="22"/>
          <w:szCs w:val="22"/>
        </w:rPr>
        <w:t xml:space="preserve">— end of Part H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5A" w:sz="6" w:space="4"/>
      </w:pBdr>
      <w:tabs>
        <w:tab w:val="center" w:pos="4680"/>
        <w:tab w:val="right" w:pos="9360"/>
      </w:tabs>
      <w:spacing w:before="60"/>
    </w:pPr>
    <w:r>
      <w:rPr>
        <w:rFonts w:ascii="Arial" w:cs="Arial" w:eastAsia="Arial" w:hAnsi="Arial"/>
        <w:color w:val="595959"/>
        <w:sz w:val="18"/>
        <w:szCs w:val="18"/>
      </w:rPr>
      <w:t xml:space="preserve">v1.0  |  Owner: Keven Markham</w:t>
    </w:r>
    <w:r>
      <w:rPr>
        <w:rFonts w:ascii="Arial" w:cs="Arial" w:eastAsia="Arial" w:hAnsi="Arial"/>
        <w:b/>
        <w:bCs/>
        <w:color w:val="007A5A"/>
        <w:sz w:val="18"/>
        <w:szCs w:val="18"/>
      </w:rPr>
      <w:t xml:space="preserve">	Deloitte Confidential — Internal Use Only</w:t>
    </w:r>
    <w:r>
      <w:rPr>
        <w:rFonts w:ascii="Arial" w:cs="Arial" w:eastAsia="Arial" w:hAnsi="Arial"/>
        <w:color w:val="595959"/>
        <w:sz w:val="18"/>
        <w:szCs w:val="18"/>
      </w:rPr>
      <w:t xml:space="preserve">	Page </w:t>
    </w:r>
    <w:r>
      <w:rPr>
        <w:rFonts w:ascii="Arial" w:cs="Arial" w:eastAsia="Arial" w:hAnsi="Arial"/>
        <w:b/>
        <w:bCs/>
        <w:color w:val="1A1A1A"/>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5A" w:sz="6" w:space="4"/>
      </w:pBdr>
      <w:tabs>
        <w:tab w:val="right" w:pos="9360"/>
      </w:tabs>
      <w:spacing w:after="60"/>
    </w:pPr>
    <w:r>
      <w:rPr>
        <w:rFonts w:ascii="Arial" w:cs="Arial" w:eastAsia="Arial" w:hAnsi="Arial"/>
        <w:b/>
        <w:bCs/>
        <w:color w:val="007A5A"/>
        <w:spacing w:val="30"/>
        <w:sz w:val="18"/>
        <w:szCs w:val="18"/>
      </w:rPr>
      <w:t xml:space="preserve">APEX Marketing Playbook</w:t>
    </w:r>
    <w:r>
      <w:rPr>
        <w:rFonts w:ascii="Arial" w:cs="Arial" w:eastAsia="Arial" w:hAnsi="Arial"/>
        <w:color w:val="595959"/>
        <w:sz w:val="18"/>
        <w:szCs w:val="18"/>
      </w:rPr>
      <w:t xml:space="preserve">	Deloitte DMTSP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4B3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4B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Marketing Playbook — Offshore Start-Up Guide</dc:title>
  <dc:creator>Keven Markham</dc:creator>
  <dc:description>Step-by-step operating manual for offshore contributors supporting APEX marketing motion.</dc:description>
  <cp:lastModifiedBy>Un-named</cp:lastModifiedBy>
  <cp:revision>1</cp:revision>
  <dcterms:created xsi:type="dcterms:W3CDTF">2026-04-22T14:42:45.561Z</dcterms:created>
  <dcterms:modified xsi:type="dcterms:W3CDTF">2026-04-22T14:42:45.561Z</dcterms:modified>
</cp:coreProperties>
</file>

<file path=docProps/custom.xml><?xml version="1.0" encoding="utf-8"?>
<Properties xmlns="http://schemas.openxmlformats.org/officeDocument/2006/custom-properties" xmlns:vt="http://schemas.openxmlformats.org/officeDocument/2006/docPropsVTypes"/>
</file>