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sz w:val="44"/>
          <w:szCs w:val="44"/>
        </w:rPr>
        <w:t xml:space="preserve">APEX Sellers Guide · Runtime Addendum</w:t>
      </w:r>
    </w:p>
    <w:p>
      <w:pPr>
        <w:spacing w:after="60"/>
      </w:pPr>
      <w:r>
        <w:rPr>
          <w:rFonts w:ascii="Arial" w:cs="Arial" w:eastAsia="Arial" w:hAnsi="Arial"/>
          <w:i/>
          <w:iCs/>
          <w:color w:val="666666"/>
          <w:sz w:val="22"/>
          <w:szCs w:val="22"/>
        </w:rPr>
        <w:t xml:space="preserve">DMTSP Consumer Industry · Addendum to the Professional APEX Sellers Guide</w:t>
      </w:r>
    </w:p>
    <w:p>
      <w:pPr>
        <w:spacing w:after="240"/>
      </w:pPr>
      <w:r>
        <w:rPr>
          <w:rFonts w:ascii="Arial" w:cs="Arial" w:eastAsia="Arial" w:hAnsi="Arial"/>
          <w:color w:val="999999"/>
          <w:sz w:val="18"/>
          <w:szCs w:val="18"/>
        </w:rPr>
        <w:t xml:space="preserve">Internal use — Deloitte Microsoft Technology Solutions &amp; Practices</w:t>
      </w:r>
    </w:p>
    <w:p>
      <w:pPr>
        <w:pBdr>
          <w:bottom w:val="single" w:color="2E75B6" w:sz="6" w:space="1"/>
        </w:pBdr>
        <w:spacing w:after="240" w:before="240"/>
      </w:pPr>
      <w:r>
        <w:t xml:space="preserve"/>
      </w:r>
    </w:p>
    <w:p>
      <w:pPr>
        <w:pStyle w:val="Heading2"/>
      </w:pPr>
      <w:r>
        <w:t xml:space="preserve">Purpose</w:t>
      </w:r>
    </w:p>
    <w:p>
      <w:pPr>
        <w:spacing w:after="120"/>
      </w:pPr>
      <w:r>
        <w:t xml:space="preserve">This addendum extends the Sellers Guide with content that emerged after initial publication: the Runtime Plane (gateway, safety, evaluation, observability), the Cost envelope as the sixth commercial envelope, and the connection between the LEDGER vision and the evaluation harness. These additions do not replace prior content; they fill gaps that sophisticated architect and CIO buyers ask about directly. Use the sections below as drop-in updates to the corresponding chapters of the main Sellers Guide.</w:t>
      </w:r>
    </w:p>
    <w:p>
      <w:pPr>
        <w:spacing w:after="120"/>
      </w:pPr>
      <w:r>
        <w:rPr>
          <w:i/>
          <w:iCs/>
        </w:rPr>
        <w:t xml:space="preserve">Independence compliance reminder: </w:t>
      </w:r>
      <w:r>
        <w:t xml:space="preserve">Throughout this addendum, the Deloitte–Microsoft relationship is described as "Deloitte's Microsoft practice," "DMTSP," or "Microsoft-native deployment." Never "partner," "alliance," or "strategic alliance."</w:t>
      </w:r>
    </w:p>
    <w:p>
      <w:pPr>
        <w:pBdr>
          <w:bottom w:val="single" w:color="2E75B6" w:sz="6" w:space="1"/>
        </w:pBdr>
        <w:spacing w:after="240" w:before="240"/>
      </w:pPr>
      <w:r>
        <w:t xml:space="preserve"/>
      </w:r>
    </w:p>
    <w:p>
      <w:pPr>
        <w:pStyle w:val="Heading1"/>
      </w:pPr>
      <w:r>
        <w:t xml:space="preserve">Section 1 · Runtime Discipline</w:t>
      </w:r>
    </w:p>
    <w:p>
      <w:pPr>
        <w:spacing w:after="120"/>
      </w:pPr>
      <w:r>
        <w:rPr>
          <w:i/>
          <w:iCs/>
        </w:rPr>
        <w:t xml:space="preserve">New section — suggested placement: after Chapter 5</w:t>
      </w:r>
    </w:p>
    <w:p>
      <w:pPr>
        <w:pStyle w:val="Heading2"/>
      </w:pPr>
      <w:r>
        <w:t xml:space="preserve">Why this matters in a sales conversation</w:t>
      </w:r>
    </w:p>
    <w:p>
      <w:pPr>
        <w:spacing w:after="120"/>
      </w:pPr>
      <w:r>
        <w:t xml:space="preserve">Every sophisticated agentic-AI buyer eventually asks four operational questions. Sellers who can answer them cleanly move the pursuit forward; sellers who cannot, don't. APEX's Runtime Plane is how Deloitte answers all four — with Microsoft-native primitives, not custom engineering.</w:t>
      </w:r>
    </w:p>
    <w:p>
      <w:pPr>
        <w:pStyle w:val="Heading2"/>
      </w:pPr>
      <w:r>
        <w:t xml:space="preserve">Model Gateway — the egress plane</w:t>
      </w:r>
    </w:p>
    <w:p>
      <w:pPr>
        <w:spacing w:after="120"/>
      </w:pPr>
      <w:r>
        <w:t xml:space="preserve">Azure API Management sits in front of every Azure AI Foundry agent call. One egress point, one governance surface, one place to meter and control.</w:t>
      </w:r>
    </w:p>
    <w:p>
      <w:pPr>
        <w:pStyle w:val="ListParagraph"/>
        <w:numPr>
          <w:ilvl w:val="0"/>
          <w:numId w:val="2"/>
        </w:numPr>
        <w:spacing w:after="60"/>
      </w:pPr>
      <w:r>
        <w:t xml:space="preserve">Rate limits per service_code and per tenant — noisy-neighbor protection for shared model capacity</w:t>
      </w:r>
    </w:p>
    <w:p>
      <w:pPr>
        <w:pStyle w:val="ListParagraph"/>
        <w:numPr>
          <w:ilvl w:val="0"/>
          <w:numId w:val="2"/>
        </w:numPr>
        <w:spacing w:after="60"/>
      </w:pPr>
      <w:r>
        <w:t xml:space="preserve">Token metering rolls up to cost_per_decision on the audit row</w:t>
      </w:r>
    </w:p>
    <w:p>
      <w:pPr>
        <w:pStyle w:val="ListParagraph"/>
        <w:numPr>
          <w:ilvl w:val="0"/>
          <w:numId w:val="2"/>
        </w:numPr>
        <w:spacing w:after="60"/>
      </w:pPr>
      <w:r>
        <w:t xml:space="preserve">PII redaction at the prompt boundary — before data leaves the tenant</w:t>
      </w:r>
    </w:p>
    <w:p>
      <w:pPr>
        <w:pStyle w:val="ListParagraph"/>
        <w:numPr>
          <w:ilvl w:val="0"/>
          <w:numId w:val="2"/>
        </w:numPr>
        <w:spacing w:after="60"/>
      </w:pPr>
      <w:r>
        <w:t xml:space="preserve">Model version routing — primary (GPT-4o), fallback (GPT-4o-mini), cheap-tier for structured extraction</w:t>
      </w:r>
    </w:p>
    <w:p>
      <w:pPr>
        <w:pStyle w:val="ListParagraph"/>
        <w:numPr>
          <w:ilvl w:val="0"/>
          <w:numId w:val="2"/>
        </w:numPr>
        <w:spacing w:after="60"/>
      </w:pPr>
      <w:r>
        <w:t xml:space="preserve">Response caching for deterministic-prompt calls (cache-hit flag on audit row)</w:t>
      </w:r>
    </w:p>
    <w:p>
      <w:pPr>
        <w:pStyle w:val="ListParagraph"/>
        <w:numPr>
          <w:ilvl w:val="0"/>
          <w:numId w:val="2"/>
        </w:numPr>
        <w:spacing w:after="60"/>
      </w:pPr>
      <w:r>
        <w:t xml:space="preserve">Circuit breakers fail-soft to fallback models instead of blocking orchestrations</w:t>
      </w:r>
    </w:p>
    <w:p>
      <w:pPr>
        <w:pBdr>
          <w:left w:val="single" w:color="B8860B" w:sz="24" w:space="8"/>
        </w:pBdr>
        <w:shd w:fill="F4F0E8" w:val="clear"/>
        <w:spacing w:after="180" w:before="120"/>
        <w:ind w:left="360" w:right="360"/>
      </w:pPr>
      <w:r>
        <w:rPr>
          <w:i/>
          <w:iCs/>
        </w:rPr>
        <w:t xml:space="preserve">Objection handler — "what does it cost to run?"
APEX meters every model call through APIM with token-level granularity. Cost per decision is bound to the audit row, which means the CFO view is a Power BI dashboard over Log Analytics — not a quarterly reconciliation. Sellers should never quote agentic-AI cost as an abstract number; always reference cost_per_decision and offer to walk the dashboard.</w:t>
      </w:r>
    </w:p>
    <w:p>
      <w:pPr>
        <w:pStyle w:val="Heading2"/>
      </w:pPr>
      <w:r>
        <w:t xml:space="preserve">Safety Plane — input and output inspection</w:t>
      </w:r>
    </w:p>
    <w:p>
      <w:pPr>
        <w:spacing w:after="120"/>
      </w:pPr>
      <w:r>
        <w:t xml:space="preserve">Every prompt and every response passes through Microsoft-native safety primitives at the boundary of the agent call. Safety verdicts are written to the audit row, bound to the decision_id.</w:t>
      </w:r>
    </w:p>
    <w:p>
      <w:pPr>
        <w:pStyle w:val="ListParagraph"/>
        <w:numPr>
          <w:ilvl w:val="0"/>
          <w:numId w:val="2"/>
        </w:numPr>
        <w:spacing w:after="60"/>
      </w:pPr>
      <w:r>
        <w:t xml:space="preserve">Azure AI Content Safety — text and image moderation across four harm categories; tunable thresholds per service</w:t>
      </w:r>
    </w:p>
    <w:p>
      <w:pPr>
        <w:pStyle w:val="ListParagraph"/>
        <w:numPr>
          <w:ilvl w:val="0"/>
          <w:numId w:val="2"/>
        </w:numPr>
        <w:spacing w:after="60"/>
      </w:pPr>
      <w:r>
        <w:t xml:space="preserve">Prompt Shields — detects jailbreak attempts and indirect prompt injection from retrieved documents or context</w:t>
      </w:r>
    </w:p>
    <w:p>
      <w:pPr>
        <w:pStyle w:val="ListParagraph"/>
        <w:numPr>
          <w:ilvl w:val="0"/>
          <w:numId w:val="2"/>
        </w:numPr>
        <w:spacing w:after="60"/>
      </w:pPr>
      <w:r>
        <w:t xml:space="preserve">Groundedness Detection — verifies agent output is supported by retrieved context; flags hallucination before release</w:t>
      </w:r>
    </w:p>
    <w:p>
      <w:pPr>
        <w:pStyle w:val="ListParagraph"/>
        <w:numPr>
          <w:ilvl w:val="0"/>
          <w:numId w:val="2"/>
        </w:numPr>
        <w:spacing w:after="60"/>
      </w:pPr>
      <w:r>
        <w:t xml:space="preserve">Protected Material Detection — flags copyrighted text or code in outputs (critical for IP-exposed surfaces)</w:t>
      </w:r>
    </w:p>
    <w:p>
      <w:pPr>
        <w:pStyle w:val="ListParagraph"/>
        <w:numPr>
          <w:ilvl w:val="0"/>
          <w:numId w:val="2"/>
        </w:numPr>
        <w:spacing w:after="60"/>
      </w:pPr>
      <w:r>
        <w:t xml:space="preserve">Custom safety policies — per-Practice overlays on top of the Microsoft baseline</w:t>
      </w:r>
    </w:p>
    <w:p>
      <w:pPr>
        <w:pBdr>
          <w:left w:val="single" w:color="B8860B" w:sz="24" w:space="8"/>
        </w:pBdr>
        <w:shd w:fill="F4F0E8" w:val="clear"/>
        <w:spacing w:after="180" w:before="120"/>
        <w:ind w:left="360" w:right="360"/>
      </w:pPr>
      <w:r>
        <w:rPr>
          <w:i/>
          <w:iCs/>
        </w:rPr>
        <w:t xml:space="preserve">Objection handler — "what about hallucinations?"
APEX does not assume the model is trustworthy. Every response flows through Groundedness Detection before release to the user. If the output is not supported by retrieved context, the HITL gate fires. The safety verdict is on the audit row — meaning "we checked" is a query, not an assurance.</w:t>
      </w:r>
    </w:p>
    <w:p>
      <w:pPr>
        <w:pStyle w:val="Heading2"/>
      </w:pPr>
      <w:r>
        <w:t xml:space="preserve">Evaluation Plane — continuous quality</w:t>
      </w:r>
    </w:p>
    <w:p>
      <w:pPr>
        <w:spacing w:after="120"/>
      </w:pPr>
      <w:r>
        <w:t xml:space="preserve">No production APEX agent ships without a continuously-running evaluation harness. Offline and online, pre- and post-deployment.</w:t>
      </w:r>
    </w:p>
    <w:p>
      <w:pPr>
        <w:pStyle w:val="Heading3"/>
      </w:pPr>
      <w:r>
        <w:t xml:space="preserve">Offline evaluation</w:t>
      </w:r>
    </w:p>
    <w:p>
      <w:pPr>
        <w:pStyle w:val="ListParagraph"/>
        <w:numPr>
          <w:ilvl w:val="0"/>
          <w:numId w:val="2"/>
        </w:numPr>
        <w:spacing w:after="60"/>
      </w:pPr>
      <w:r>
        <w:t xml:space="preserve">Golden datasets per Practice — curated input-output pairs reviewed by SMEs</w:t>
      </w:r>
    </w:p>
    <w:p>
      <w:pPr>
        <w:pStyle w:val="ListParagraph"/>
        <w:numPr>
          <w:ilvl w:val="0"/>
          <w:numId w:val="2"/>
        </w:numPr>
        <w:spacing w:after="60"/>
      </w:pPr>
      <w:r>
        <w:t xml:space="preserve">Regression suites on every agent version; breaking changes blocked at CI</w:t>
      </w:r>
    </w:p>
    <w:p>
      <w:pPr>
        <w:pStyle w:val="ListParagraph"/>
        <w:numPr>
          <w:ilvl w:val="0"/>
          <w:numId w:val="2"/>
        </w:numPr>
        <w:spacing w:after="60"/>
      </w:pPr>
      <w:r>
        <w:t xml:space="preserve">Red-team prompts generated by PyRIT (Microsoft's AI red-teaming toolkit)</w:t>
      </w:r>
    </w:p>
    <w:p>
      <w:pPr>
        <w:pStyle w:val="ListParagraph"/>
        <w:numPr>
          <w:ilvl w:val="0"/>
          <w:numId w:val="2"/>
        </w:numPr>
        <w:spacing w:after="60"/>
      </w:pPr>
      <w:r>
        <w:t xml:space="preserve">Foundry Promptflow evaluators — relevance, coherence, fluency, groundedness scored per response</w:t>
      </w:r>
    </w:p>
    <w:p>
      <w:pPr>
        <w:pStyle w:val="Heading3"/>
      </w:pPr>
      <w:r>
        <w:t xml:space="preserve">Online evaluation</w:t>
      </w:r>
    </w:p>
    <w:p>
      <w:pPr>
        <w:pStyle w:val="ListParagraph"/>
        <w:numPr>
          <w:ilvl w:val="0"/>
          <w:numId w:val="2"/>
        </w:numPr>
        <w:spacing w:after="60"/>
      </w:pPr>
      <w:r>
        <w:t xml:space="preserve">Shadow mode — new agent version runs alongside production with zero user impact</w:t>
      </w:r>
    </w:p>
    <w:p>
      <w:pPr>
        <w:pStyle w:val="ListParagraph"/>
        <w:numPr>
          <w:ilvl w:val="0"/>
          <w:numId w:val="2"/>
        </w:numPr>
        <w:spacing w:after="60"/>
      </w:pPr>
      <w:r>
        <w:t xml:space="preserve">A/B testing — traffic-split experiments with statistical-significance gates on KPI impact</w:t>
      </w:r>
    </w:p>
    <w:p>
      <w:pPr>
        <w:pStyle w:val="ListParagraph"/>
        <w:numPr>
          <w:ilvl w:val="0"/>
          <w:numId w:val="2"/>
        </w:numPr>
        <w:spacing w:after="60"/>
      </w:pPr>
      <w:r>
        <w:t xml:space="preserve">Canary rollouts — 1% → 10% → 50% → 100% with automated rollback on safety or quality regression</w:t>
      </w:r>
    </w:p>
    <w:p>
      <w:pPr>
        <w:pStyle w:val="ListParagraph"/>
        <w:numPr>
          <w:ilvl w:val="0"/>
          <w:numId w:val="2"/>
        </w:numPr>
        <w:spacing w:after="60"/>
      </w:pPr>
      <w:r>
        <w:t xml:space="preserve">Drift detection — input distribution, output distribution, and KPI-correlation shifts surfaced to the service owner</w:t>
      </w:r>
    </w:p>
    <w:p>
      <w:pPr>
        <w:pBdr>
          <w:left w:val="single" w:color="B8860B" w:sz="24" w:space="8"/>
        </w:pBdr>
        <w:shd w:fill="F4F0E8" w:val="clear"/>
        <w:spacing w:after="180" w:before="120"/>
        <w:ind w:left="360" w:right="360"/>
      </w:pPr>
      <w:r>
        <w:rPr>
          <w:i/>
          <w:iCs/>
        </w:rPr>
        <w:t xml:space="preserve">Objection handler — "how do you know it's actually working?"
Every production APEX agent runs a continuously-executing eval harness. Nothing ships without passing golden-set regression. Nothing rolls out without shadow-mode validation. And the feedback loop closes: audit rows become eval cases, eval cases shape the next version. The agent materially improves month over month. Ask about the current golden-set size for the relevant Practice — that is the credibility signal.</w:t>
      </w:r>
    </w:p>
    <w:p>
      <w:pPr>
        <w:pStyle w:val="Heading2"/>
      </w:pPr>
      <w:r>
        <w:t xml:space="preserve">Observability Plane — always-on telemetry</w:t>
      </w:r>
    </w:p>
    <w:p>
      <w:pPr>
        <w:spacing w:after="120"/>
      </w:pPr>
      <w:r>
        <w:t xml:space="preserve">Runtime telemetry across every agent, every tool call, every orchestration. The distinction from audit rows: audit rows are decision evidence; observability is operational evidence. Both exist.</w:t>
      </w:r>
    </w:p>
    <w:p>
      <w:pPr>
        <w:pStyle w:val="ListParagraph"/>
        <w:numPr>
          <w:ilvl w:val="0"/>
          <w:numId w:val="2"/>
        </w:numPr>
        <w:spacing w:after="60"/>
      </w:pPr>
      <w:r>
        <w:t xml:space="preserve">Application Insights — traces, metrics, logs per agent, per orchestration, per tool call</w:t>
      </w:r>
    </w:p>
    <w:p>
      <w:pPr>
        <w:pStyle w:val="ListParagraph"/>
        <w:numPr>
          <w:ilvl w:val="0"/>
          <w:numId w:val="2"/>
        </w:numPr>
        <w:spacing w:after="60"/>
      </w:pPr>
      <w:r>
        <w:t xml:space="preserve">Log Analytics — cross-service KQL queries; joins across Fabric, Foundry, APIM, and Entra logs</w:t>
      </w:r>
    </w:p>
    <w:p>
      <w:pPr>
        <w:pStyle w:val="ListParagraph"/>
        <w:numPr>
          <w:ilvl w:val="0"/>
          <w:numId w:val="2"/>
        </w:numPr>
        <w:spacing w:after="60"/>
      </w:pPr>
      <w:r>
        <w:t xml:space="preserve">Foundry tracing — hierarchical spans (agent → tool → model call) with full input/output capture</w:t>
      </w:r>
    </w:p>
    <w:p>
      <w:pPr>
        <w:pStyle w:val="ListParagraph"/>
        <w:numPr>
          <w:ilvl w:val="0"/>
          <w:numId w:val="2"/>
        </w:numPr>
        <w:spacing w:after="60"/>
      </w:pPr>
      <w:r>
        <w:t xml:space="preserve">Token and cost metering — per service_code, per tenant, per identity; real-time P&amp;L</w:t>
      </w:r>
    </w:p>
    <w:p>
      <w:pPr>
        <w:pStyle w:val="ListParagraph"/>
        <w:numPr>
          <w:ilvl w:val="0"/>
          <w:numId w:val="2"/>
        </w:numPr>
        <w:spacing w:after="60"/>
      </w:pPr>
      <w:r>
        <w:t xml:space="preserve">Latency percentiles — p50, p95, p99 per agent; SLO dashboards per service</w:t>
      </w:r>
    </w:p>
    <w:p>
      <w:pPr>
        <w:pStyle w:val="ListParagraph"/>
        <w:numPr>
          <w:ilvl w:val="0"/>
          <w:numId w:val="2"/>
        </w:numPr>
        <w:spacing w:after="60"/>
      </w:pPr>
      <w:r>
        <w:t xml:space="preserve">Tool-call success rates — MCP-tool-level reliability; flag degradation before users notice</w:t>
      </w:r>
    </w:p>
    <w:p>
      <w:pPr>
        <w:pStyle w:val="ListParagraph"/>
        <w:numPr>
          <w:ilvl w:val="0"/>
          <w:numId w:val="2"/>
        </w:numPr>
        <w:spacing w:after="60"/>
      </w:pPr>
      <w:r>
        <w:t xml:space="preserve">Power BI dashboards over Log Analytics — service-owner view, CFO view, SteerCo view</w:t>
      </w:r>
    </w:p>
    <w:p>
      <w:pPr>
        <w:pBdr>
          <w:left w:val="single" w:color="B8860B" w:sz="24" w:space="8"/>
        </w:pBdr>
        <w:shd w:fill="F4F0E8" w:val="clear"/>
        <w:spacing w:after="180" w:before="120"/>
        <w:ind w:left="360" w:right="360"/>
      </w:pPr>
      <w:r>
        <w:rPr>
          <w:i/>
          <w:iCs/>
        </w:rPr>
        <w:t xml:space="preserve">Objection handler — "what happens when it breaks?"
Runtime telemetry is distinct from audit rows. Audit rows are decision evidence. Observability is operational evidence. When an agent starts degrading — tool-call failures, latency drift, token-spend spike — the service owner sees it in Application Insights and Log Analytics before any user does. SLOs are measured, not promised.</w:t>
      </w:r>
    </w:p>
    <w:p>
      <w:pPr>
        <w:pStyle w:val="Heading2"/>
      </w:pPr>
      <w:r>
        <w:t xml:space="preserve">The feedback loop — what makes APEX adaptive</w:t>
      </w:r>
    </w:p>
    <w:p>
      <w:pPr>
        <w:spacing w:after="120"/>
      </w:pPr>
      <w:r>
        <w:t xml:space="preserve">Production decision → audit row written → LEDGER bound by ledger_ref → sample reviewed by SME and automated evaluator → finding becomes eval case → golden dataset updated → next agent version → shadow mode → canary rollout → production. </w:t>
      </w:r>
      <w:r>
        <w:rPr>
          <w:b/>
          <w:bCs/>
        </w:rPr>
        <w:t xml:space="preserve">Without this loop, the LEDGER accumulates but the agent stands still. With it, the agent materially improves month over month.</w:t>
      </w:r>
      <w:r>
        <w:t xml:space="preserve"> Year one: instincts. Year two: record. Year three: superagent. </w:t>
      </w:r>
      <w:r>
        <w:rPr>
          <w:i/>
          <w:iCs/>
        </w:rPr>
        <w:t xml:space="preserve">This is the sentence to memorize.</w:t>
      </w:r>
    </w:p>
    <w:p>
      <w:pPr>
        <w:pBdr>
          <w:bottom w:val="single" w:color="2E75B6" w:sz="6" w:space="1"/>
        </w:pBdr>
        <w:spacing w:after="240" w:before="240"/>
      </w:pPr>
      <w:r>
        <w:t xml:space="preserve"/>
      </w:r>
    </w:p>
    <w:p>
      <w:pPr>
        <w:pStyle w:val="Heading1"/>
      </w:pPr>
      <w:r>
        <w:t xml:space="preserve">Section 2 · §2.2A Update — Six Envelopes</w:t>
      </w:r>
    </w:p>
    <w:p>
      <w:pPr>
        <w:spacing w:after="120"/>
      </w:pPr>
      <w:r>
        <w:rPr>
          <w:i/>
          <w:iCs/>
        </w:rPr>
        <w:t xml:space="preserve">Replaces existing "five envelopes" framing in §2.2A of the main Sellers Guide</w:t>
      </w:r>
    </w:p>
    <w:p>
      <w:pPr>
        <w:spacing w:after="120"/>
      </w:pPr>
      <w:r>
        <w:t xml:space="preserve">The envelope taxonomy in §2.2A should now describe six envelopes, not five. The added envelope is the Cost envelope — the FinOps boundary that every runtime decision burns against.</w:t>
      </w:r>
    </w:p>
    <w:p>
      <w:pPr>
        <w:pStyle w:val="Heading2"/>
      </w:pPr>
      <w:r>
        <w:t xml:space="preserve">Cost envelope — the FinOps boundary</w:t>
      </w:r>
    </w:p>
    <w:p>
      <w:pPr>
        <w:spacing w:after="120"/>
      </w:pPr>
      <w:r>
        <w:t xml:space="preserve">Tokens, Fabric Capacity Units, MCP invocations, storage, network egress — all metered per service_code and bound to cost_per_decision on the audit row. Service P&amp;L is a query, not a reconciliation.</w:t>
      </w:r>
    </w:p>
    <w:p>
      <w:pPr>
        <w:pStyle w:val="Heading2"/>
      </w:pPr>
      <w:r>
        <w:t xml:space="preserve">All six envelopes, applied simultaneously</w:t>
      </w:r>
    </w:p>
    <w:p>
      <w:pPr>
        <w:spacing w:after="120"/>
      </w:pPr>
      <w:r>
        <w:t xml:space="preserve">When an agent executes a tool call in production, all six envelopes apply at once. The call must:</w:t>
      </w:r>
    </w:p>
    <w:p>
      <w:pPr>
        <w:pStyle w:val="ListParagraph"/>
        <w:numPr>
          <w:ilvl w:val="0"/>
          <w:numId w:val="3"/>
        </w:numPr>
        <w:spacing w:after="60"/>
      </w:pPr>
      <w:r>
        <w:t xml:space="preserve">Fit the commercial envelope — paid for</w:t>
      </w:r>
    </w:p>
    <w:p>
      <w:pPr>
        <w:pStyle w:val="ListParagraph"/>
        <w:numPr>
          <w:ilvl w:val="0"/>
          <w:numId w:val="3"/>
        </w:numPr>
        <w:spacing w:after="60"/>
      </w:pPr>
      <w:r>
        <w:t xml:space="preserve">Be in the scope envelope — approved functional scope</w:t>
      </w:r>
    </w:p>
    <w:p>
      <w:pPr>
        <w:pStyle w:val="ListParagraph"/>
        <w:numPr>
          <w:ilvl w:val="0"/>
          <w:numId w:val="3"/>
        </w:numPr>
        <w:spacing w:after="60"/>
      </w:pPr>
      <w:r>
        <w:t xml:space="preserve">Return data inside the data envelope — identity-authorized</w:t>
      </w:r>
    </w:p>
    <w:p>
      <w:pPr>
        <w:pStyle w:val="ListParagraph"/>
        <w:numPr>
          <w:ilvl w:val="0"/>
          <w:numId w:val="3"/>
        </w:numPr>
        <w:spacing w:after="60"/>
      </w:pPr>
      <w:r>
        <w:t xml:space="preserve">Reference entities inside the schema envelope — canonical-defined</w:t>
      </w:r>
    </w:p>
    <w:p>
      <w:pPr>
        <w:pStyle w:val="ListParagraph"/>
        <w:numPr>
          <w:ilvl w:val="0"/>
          <w:numId w:val="3"/>
        </w:numPr>
        <w:spacing w:after="60"/>
      </w:pPr>
      <w:r>
        <w:t xml:space="preserve">Be governed by the trust envelope — classification-appropriate, HITL-correct</w:t>
      </w:r>
    </w:p>
    <w:p>
      <w:pPr>
        <w:pStyle w:val="ListParagraph"/>
        <w:numPr>
          <w:ilvl w:val="0"/>
          <w:numId w:val="3"/>
        </w:numPr>
        <w:spacing w:after="60"/>
      </w:pPr>
      <w:r>
        <w:t xml:space="preserve">Fit within the cost envelope — within the token-budget and CU-budget for this service_code</w:t>
      </w:r>
    </w:p>
    <w:p>
      <w:pPr>
        <w:spacing w:after="120"/>
      </w:pPr>
      <w:r>
        <w:rPr>
          <w:b/>
          <w:bCs/>
        </w:rPr>
        <w:t xml:space="preserve">Break any envelope, break the decision.</w:t>
      </w:r>
    </w:p>
    <w:p>
      <w:pPr>
        <w:pBdr>
          <w:bottom w:val="single" w:color="2E75B6" w:sz="6" w:space="1"/>
        </w:pBdr>
        <w:spacing w:after="240" w:before="240"/>
      </w:pPr>
      <w:r>
        <w:t xml:space="preserve"/>
      </w:r>
    </w:p>
    <w:p>
      <w:pPr>
        <w:pStyle w:val="Heading1"/>
      </w:pPr>
      <w:r>
        <w:t xml:space="preserve">Section 3 · §6.10 Update — Audit Row Spec</w:t>
      </w:r>
    </w:p>
    <w:p>
      <w:pPr>
        <w:spacing w:after="120"/>
      </w:pPr>
      <w:r>
        <w:rPr>
          <w:i/>
          <w:iCs/>
        </w:rPr>
        <w:t xml:space="preserve">Extends the typed audit-row definition in §6.10 of the main Sellers Guide</w:t>
      </w:r>
    </w:p>
    <w:p>
      <w:pPr>
        <w:spacing w:after="120"/>
      </w:pPr>
      <w:r>
        <w:t xml:space="preserve">The typed audit row in §6.10 should be extended with two new fields to reflect the Runtime Plane and Cost envelope additions. All other audit row fields remain unchanged.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sz w:val="20"/>
                <w:szCs w:val="20"/>
              </w:rPr>
              <w:t xml:space="preserve">Field</w:t>
            </w:r>
          </w:p>
        </w:tc>
        <w:tc>
          <w:tcPr>
            <w:tcW w:type="dxa" w:w="27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sz w:val="20"/>
                <w:szCs w:val="20"/>
              </w:rPr>
              <w:t xml:space="preserve">Schema</w:t>
            </w:r>
          </w:p>
        </w:tc>
        <w:tc>
          <w:tcPr>
            <w:tcW w:type="dxa" w:w="42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sz w:val="20"/>
                <w:szCs w:val="20"/>
              </w:rPr>
              <w:t xml:space="preserve">Populated by / purpose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color w:val="2E75B6"/>
                <w:sz w:val="20"/>
                <w:szCs w:val="20"/>
              </w:rPr>
              <w:t xml:space="preserve">cost_per_decision</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sz w:val="18"/>
                <w:szCs w:val="18"/>
              </w:rPr>
              <w:t xml:space="preserve">{tokens, fabric_cu, usd}</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Model Gateway (APIM) at decision write time. Enables per-service P&amp;L queries and per-tenant cost allocation.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color w:val="2E75B6"/>
                <w:sz w:val="20"/>
                <w:szCs w:val="20"/>
              </w:rPr>
              <w:t xml:space="preserve">safety_verdict</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sz w:val="18"/>
                <w:szCs w:val="18"/>
              </w:rPr>
              <w:t xml:space="preserve">{content_safety, prompt_shield, groundedness}</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Content Safety, Prompt Shields, Groundedness Detection at input/output boundaries. Enables "did we check?" queries to return evidence.</w:t>
            </w:r>
          </w:p>
        </w:tc>
      </w:tr>
    </w:tbl>
    <w:p>
      <w:pPr>
        <w:spacing w:after="120"/>
      </w:pPr>
      <w:r>
        <w:t xml:space="preserve"/>
      </w:r>
    </w:p>
    <w:p>
      <w:pPr>
        <w:pBdr>
          <w:bottom w:val="single" w:color="2E75B6" w:sz="6" w:space="1"/>
        </w:pBdr>
        <w:spacing w:after="240" w:before="240"/>
      </w:pPr>
      <w:r>
        <w:t xml:space="preserve"/>
      </w:r>
    </w:p>
    <w:p>
      <w:pPr>
        <w:pStyle w:val="Heading1"/>
      </w:pPr>
      <w:r>
        <w:t xml:space="preserve">Section 4 · §6.12 Update — LEDGER → Runtime Feedback Loop</w:t>
      </w:r>
    </w:p>
    <w:p>
      <w:pPr>
        <w:spacing w:after="120"/>
      </w:pPr>
      <w:r>
        <w:rPr>
          <w:i/>
          <w:iCs/>
        </w:rPr>
        <w:t xml:space="preserve">Extends §6.12 of the main Sellers Guide — connects LEDGER to the evaluation harness</w:t>
      </w:r>
    </w:p>
    <w:p>
      <w:pPr>
        <w:spacing w:after="120"/>
      </w:pPr>
      <w:r>
        <w:t xml:space="preserve">§6.12 describes LEDGER as the document lineage system for file-first context. That framing remains correct. This update extends it to describe how LEDGER participates in the evaluation feedback loop — which is what operationalizes the "superagent trajectory" narrative.</w:t>
      </w:r>
    </w:p>
    <w:p>
      <w:pPr>
        <w:pStyle w:val="Heading2"/>
      </w:pPr>
      <w:r>
        <w:t xml:space="preserve">The loop, formalized</w:t>
      </w:r>
    </w:p>
    <w:p>
      <w:pPr>
        <w:pStyle w:val="ListParagraph"/>
        <w:numPr>
          <w:ilvl w:val="0"/>
          <w:numId w:val="4"/>
        </w:numPr>
        <w:spacing w:after="60"/>
      </w:pPr>
      <w:r>
        <w:t xml:space="preserve">An APEX agent makes a decision in production</w:t>
      </w:r>
    </w:p>
    <w:p>
      <w:pPr>
        <w:pStyle w:val="ListParagraph"/>
        <w:numPr>
          <w:ilvl w:val="0"/>
          <w:numId w:val="4"/>
        </w:numPr>
        <w:spacing w:after="60"/>
      </w:pPr>
      <w:r>
        <w:t xml:space="preserve">The audit row records the decision, bound to LEDGER references for the specific documents consulted</w:t>
      </w:r>
    </w:p>
    <w:p>
      <w:pPr>
        <w:pStyle w:val="ListParagraph"/>
        <w:numPr>
          <w:ilvl w:val="0"/>
          <w:numId w:val="4"/>
        </w:numPr>
        <w:spacing w:after="60"/>
      </w:pPr>
      <w:r>
        <w:t xml:space="preserve">A sample of audit rows is reviewed — by SMEs for high-stakes decisions, by automated evaluators for high-volume flows</w:t>
      </w:r>
    </w:p>
    <w:p>
      <w:pPr>
        <w:pStyle w:val="ListParagraph"/>
        <w:numPr>
          <w:ilvl w:val="0"/>
          <w:numId w:val="4"/>
        </w:numPr>
        <w:spacing w:after="60"/>
      </w:pPr>
      <w:r>
        <w:t xml:space="preserve">Review findings become evaluation cases, added to the Practice's golden dataset</w:t>
      </w:r>
    </w:p>
    <w:p>
      <w:pPr>
        <w:pStyle w:val="ListParagraph"/>
        <w:numPr>
          <w:ilvl w:val="0"/>
          <w:numId w:val="4"/>
        </w:numPr>
        <w:spacing w:after="60"/>
      </w:pPr>
      <w:r>
        <w:t xml:space="preserve">The expanded golden dataset drives regression testing for the next agent version</w:t>
      </w:r>
    </w:p>
    <w:p>
      <w:pPr>
        <w:pStyle w:val="ListParagraph"/>
        <w:numPr>
          <w:ilvl w:val="0"/>
          <w:numId w:val="4"/>
        </w:numPr>
        <w:spacing w:after="60"/>
      </w:pPr>
      <w:r>
        <w:t xml:space="preserve">The next version runs shadow mode alongside production, then canary, then promotes to production</w:t>
      </w:r>
    </w:p>
    <w:p>
      <w:pPr>
        <w:pStyle w:val="Heading2"/>
      </w:pPr>
      <w:r>
        <w:t xml:space="preserve">Why this matters</w:t>
      </w:r>
    </w:p>
    <w:p>
      <w:pPr>
        <w:spacing w:after="120"/>
      </w:pPr>
      <w:r>
        <w:t xml:space="preserve">Without the loop, LEDGER is a compliance artifact — valuable, but static. With it, LEDGER is the agent's accumulating record of its own competence. Every production decision becomes a training signal. Every review becomes a lesson. The agent's area–category–drive representation deepens over time:</w:t>
      </w:r>
    </w:p>
    <w:p>
      <w:pPr>
        <w:pStyle w:val="ListParagraph"/>
        <w:numPr>
          <w:ilvl w:val="0"/>
          <w:numId w:val="2"/>
        </w:numPr>
        <w:spacing w:after="60"/>
      </w:pPr>
      <w:r>
        <w:rPr>
          <w:b/>
          <w:bCs/>
        </w:rPr>
        <w:t xml:space="preserve">Area — </w:t>
      </w:r>
      <w:r>
        <w:t xml:space="preserve">which Practice, which canonical-schema cluster, which business domain</w:t>
      </w:r>
    </w:p>
    <w:p>
      <w:pPr>
        <w:pStyle w:val="ListParagraph"/>
        <w:numPr>
          <w:ilvl w:val="0"/>
          <w:numId w:val="2"/>
        </w:numPr>
        <w:spacing w:after="60"/>
      </w:pPr>
      <w:r>
        <w:rPr>
          <w:b/>
          <w:bCs/>
        </w:rPr>
        <w:t xml:space="preserve">Category — </w:t>
      </w:r>
      <w:r>
        <w:t xml:space="preserve">the class of decisions it owns (pricing, maintenance, clinical, contract review)</w:t>
      </w:r>
    </w:p>
    <w:p>
      <w:pPr>
        <w:pStyle w:val="ListParagraph"/>
        <w:numPr>
          <w:ilvl w:val="0"/>
          <w:numId w:val="2"/>
        </w:numPr>
        <w:spacing w:after="60"/>
      </w:pPr>
      <w:r>
        <w:rPr>
          <w:b/>
          <w:bCs/>
        </w:rPr>
        <w:t xml:space="preserve">Drive — </w:t>
      </w:r>
      <w:r>
        <w:t xml:space="preserve">the KPIs its history moves (margin, downtime, AHT, denial rate, restoration time)</w:t>
      </w:r>
    </w:p>
    <w:p>
      <w:pPr>
        <w:pStyle w:val="Heading2"/>
      </w:pPr>
      <w:r>
        <w:t xml:space="preserve">Year by year</w:t>
      </w:r>
    </w:p>
    <w:p>
      <w:pPr>
        <w:spacing w:after="120"/>
      </w:pPr>
      <w:r>
        <w:rPr>
          <w:b/>
          <w:bCs/>
        </w:rPr>
        <w:t xml:space="preserve">Year one: instincts. </w:t>
      </w:r>
      <w:r>
        <w:t xml:space="preserve">The agent makes reasonable decisions based on its prompt, tools, and canonical schema.</w:t>
      </w:r>
    </w:p>
    <w:p>
      <w:pPr>
        <w:spacing w:after="120"/>
      </w:pPr>
      <w:r>
        <w:rPr>
          <w:b/>
          <w:bCs/>
        </w:rPr>
        <w:t xml:space="preserve">Year two: record. </w:t>
      </w:r>
      <w:r>
        <w:t xml:space="preserve">The LEDGER has accumulated thousands of decisions; the agent's behavior has been shaped by review-driven eval cases.</w:t>
      </w:r>
    </w:p>
    <w:p>
      <w:pPr>
        <w:spacing w:after="120"/>
      </w:pPr>
      <w:r>
        <w:rPr>
          <w:b/>
          <w:bCs/>
        </w:rPr>
        <w:t xml:space="preserve">Year three: superagent. </w:t>
      </w:r>
      <w:r>
        <w:t xml:space="preserve">The agent's area–category–drive representation is rich enough that its decisions materially exceed baseline expectations. Same agent architecture. Deeper LEDGER.</w:t>
      </w:r>
    </w:p>
    <w:p>
      <w:pPr>
        <w:pBdr>
          <w:left w:val="single" w:color="B8860B" w:sz="24" w:space="8"/>
        </w:pBdr>
        <w:shd w:fill="F4F0E8" w:val="clear"/>
        <w:spacing w:after="180" w:before="120"/>
        <w:ind w:left="360" w:right="360"/>
      </w:pPr>
      <w:r>
        <w:rPr>
          <w:i/>
          <w:iCs/>
        </w:rPr>
        <w:t xml:space="preserve">The sentence sellers should internalize: "LEDGER is not a log. It's how the agent learns."</w:t>
      </w:r>
    </w:p>
    <w:p>
      <w:pPr>
        <w:pBdr>
          <w:bottom w:val="single" w:color="2E75B6" w:sz="6" w:space="1"/>
        </w:pBdr>
        <w:spacing w:after="240" w:before="240"/>
      </w:pPr>
      <w:r>
        <w:t xml:space="preserve"/>
      </w:r>
    </w:p>
    <w:p>
      <w:pPr>
        <w:pStyle w:val="Heading1"/>
      </w:pPr>
      <w:r>
        <w:t xml:space="preserve">Summary for sellers</w:t>
      </w:r>
    </w:p>
    <w:p>
      <w:pPr>
        <w:spacing w:after="120"/>
      </w:pPr>
      <w:r>
        <w:t xml:space="preserve">Five things to remember from this addendum:</w:t>
      </w:r>
    </w:p>
    <w:p>
      <w:pPr>
        <w:pStyle w:val="ListParagraph"/>
        <w:numPr>
          <w:ilvl w:val="0"/>
          <w:numId w:val="5"/>
        </w:numPr>
        <w:spacing w:after="60"/>
      </w:pPr>
      <w:r>
        <w:t xml:space="preserve">Runtime Plane = the four operational questions answered. Gateway, Safety, Eval, Obs.</w:t>
      </w:r>
    </w:p>
    <w:p>
      <w:pPr>
        <w:pStyle w:val="ListParagraph"/>
        <w:numPr>
          <w:ilvl w:val="0"/>
          <w:numId w:val="5"/>
        </w:numPr>
        <w:spacing w:after="60"/>
      </w:pPr>
      <w:r>
        <w:t xml:space="preserve">Cost is the sixth envelope. Every agent decision is bounded by six envelopes; cost is measured, not estimated.</w:t>
      </w:r>
    </w:p>
    <w:p>
      <w:pPr>
        <w:pStyle w:val="ListParagraph"/>
        <w:numPr>
          <w:ilvl w:val="0"/>
          <w:numId w:val="5"/>
        </w:numPr>
        <w:spacing w:after="60"/>
      </w:pPr>
      <w:r>
        <w:t xml:space="preserve">Audit row carries both cost and safety. cost_per_decision and safety_verdict on every decision.</w:t>
      </w:r>
    </w:p>
    <w:p>
      <w:pPr>
        <w:pStyle w:val="ListParagraph"/>
        <w:numPr>
          <w:ilvl w:val="0"/>
          <w:numId w:val="5"/>
        </w:numPr>
        <w:spacing w:after="60"/>
      </w:pPr>
      <w:r>
        <w:t xml:space="preserve">LEDGER is a learning substrate, not just a compliance log. The feedback loop closes through it.</w:t>
      </w:r>
    </w:p>
    <w:p>
      <w:pPr>
        <w:pStyle w:val="ListParagraph"/>
        <w:numPr>
          <w:ilvl w:val="0"/>
          <w:numId w:val="5"/>
        </w:numPr>
        <w:spacing w:after="60"/>
      </w:pPr>
      <w:r>
        <w:t xml:space="preserve">Independence language still applies. "DMTSP," "Deloitte's Microsoft practice," or "Microsoft-native deployment." Never "partner," "alliance," or "strategic alliance."</w:t>
      </w:r>
    </w:p>
    <w:p>
      <w:pPr>
        <w:spacing w:after="120"/>
      </w:pPr>
      <w:r>
        <w:t xml:space="preserve"/>
      </w:r>
    </w:p>
    <w:p>
      <w:pPr>
        <w:spacing w:after="120"/>
        <w:jc w:val="center"/>
      </w:pPr>
      <w:r>
        <w:rPr>
          <w:i/>
          <w:iCs/>
        </w:rPr>
        <w:t xml:space="preserve">End of addendum. For questions, contact the APEX authoring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Sellers Guide · Runtime Addendum</dc:title>
  <dc:creator>Keven Markham</dc:creator>
  <dc:description>DMTSP Consumer Industry · Addendum covering the Runtime Plane, Cost envelope, audit row additions, and the LEDGER feedback loop.</dc:description>
  <cp:lastModifiedBy>Un-named</cp:lastModifiedBy>
  <cp:revision>1</cp:revision>
  <dcterms:created xsi:type="dcterms:W3CDTF">2026-04-23T18:29:52.984Z</dcterms:created>
  <dcterms:modified xsi:type="dcterms:W3CDTF">2026-04-23T18:29:52.985Z</dcterms:modified>
</cp:coreProperties>
</file>

<file path=docProps/custom.xml><?xml version="1.0" encoding="utf-8"?>
<Properties xmlns="http://schemas.openxmlformats.org/officeDocument/2006/custom-properties" xmlns:vt="http://schemas.openxmlformats.org/officeDocument/2006/docPropsVTypes"/>
</file>