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0078D4"/>
          <w:sz w:val="18"/>
          <w:szCs w:val="18"/>
        </w:rPr>
        <w:t xml:space="preserve">DELOITTE  ·  DMTSP  ·  CONSUMER INDUSTRY</w:t>
      </w:r>
    </w:p>
    <w:p>
      <w:pPr>
        <w:spacing w:after="120" w:before="0"/>
      </w:pPr>
      <w:r>
        <w:rPr>
          <w:b/>
          <w:bCs/>
          <w:color w:val="0F172A"/>
          <w:sz w:val="44"/>
          <w:szCs w:val="44"/>
        </w:rPr>
        <w:t xml:space="preserve">Autonomous Ground Support Equipment (GSE)</w:t>
      </w:r>
    </w:p>
    <w:p>
      <w:pPr>
        <w:spacing w:after="80" w:before="0"/>
      </w:pPr>
      <w:r>
        <w:rPr>
          <w:b/>
          <w:bCs/>
          <w:color w:val="008272"/>
          <w:sz w:val="28"/>
          <w:szCs w:val="28"/>
        </w:rPr>
        <w:t xml:space="preserve">APEX-Aligned Services &amp; Capability Positioning</w:t>
      </w:r>
    </w:p>
    <w:p>
      <w:pPr>
        <w:spacing w:after="360" w:before="0"/>
      </w:pPr>
      <w:r>
        <w:rPr>
          <w:i/>
          <w:iCs/>
          <w:color w:val="475569"/>
          <w:sz w:val="22"/>
          <w:szCs w:val="22"/>
        </w:rPr>
        <w:t xml:space="preserve">Prepared for the Deloitte Japan Autonomous GSE Market Research engagement</w:t>
      </w:r>
    </w:p>
    <w:p>
      <w:pPr>
        <w:spacing w:after="120"/>
      </w:pPr>
      <w:r>
        <w:rPr>
          <w:sz w:val="20"/>
          <w:szCs w:val="20"/>
        </w:rPr>
        <w:t xml:space="preserve">Author: Keven Markham, Specialist Master, Deloitte Microsoft Technology &amp; Services Practice (DMTSP)</w:t>
      </w:r>
    </w:p>
    <w:p>
      <w:pPr>
        <w:spacing w:after="120"/>
      </w:pPr>
      <w:r>
        <w:rPr>
          <w:sz w:val="20"/>
          <w:szCs w:val="20"/>
        </w:rPr>
        <w:t xml:space="preserve">Recipient: Nagataka Asa, Deloitte Japan</w:t>
      </w:r>
    </w:p>
    <w:p>
      <w:pPr>
        <w:spacing w:after="120"/>
      </w:pPr>
      <w:r>
        <w:rPr>
          <w:sz w:val="20"/>
          <w:szCs w:val="20"/>
        </w:rPr>
        <w:t xml:space="preserve">Date: 1 May 2026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Classification: Internal — Deloitte Global</w:t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Autonomous Ground Support Equipment (GSE) — autonomous tugs, baggage tractors, belt loaders, pushback tractors, GPUs, lavatory and water service vehicles — sits at the convergence of three forces that Deloitte's APEX framework was purpose-built to address: industrial fleet telemetry at scale, time-pressured airline turn operations, and a regulatory environment that is hardening around safety cases for autonomous airside operations.</w:t>
      </w:r>
    </w:p>
    <w:p>
      <w:pPr>
        <w:spacing w:after="120"/>
      </w:pPr>
      <w:r>
        <w:rPr>
          <w:sz w:val="22"/>
          <w:szCs w:val="22"/>
        </w:rPr>
        <w:t xml:space="preserve">APEX (Agentic Platform for Enterprise eXecution) is DMTSP's domain-canonical reference framework for deploying agentic AI on Microsoft-native infrastructure. It is not a product; it is a framework-of-frameworks that gives every industry a shared grammar (Core) and an industry dialect (Edition). For autonomous GSE, three APEX Practices apply directly: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ICE — Industrial &amp; Commercial Equipment</w:t>
      </w:r>
      <w:r>
        <w:rPr>
          <w:sz w:val="22"/>
          <w:szCs w:val="22"/>
        </w:rPr>
        <w:t xml:space="preserve"> — fleet asset health, utilization optimisation, spare-parts triage, compliance inspection. The natural home for the GSE asset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TH — Travel &amp; Hospitality (airline sub-variant)</w:t>
      </w:r>
      <w:r>
        <w:rPr>
          <w:sz w:val="22"/>
          <w:szCs w:val="22"/>
        </w:rPr>
        <w:t xml:space="preserve"> — turn operations, disruption recovery, ramp dispatch. The natural home for how autonomous GSE participates in the airline operating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AXLE — Automotive depth programme</w:t>
      </w:r>
      <w:r>
        <w:rPr>
          <w:sz w:val="22"/>
          <w:szCs w:val="22"/>
        </w:rPr>
        <w:t xml:space="preserve"> — autonomous-vehicle engineering depth that GSE OEMs need for safety case construction, V&amp;V harnesses, and ODD (Operational Design Domain) discipline.</w:t>
      </w:r>
    </w:p>
    <w:p>
      <w:pPr>
        <w:spacing w:after="120"/>
      </w:pPr>
      <w:r>
        <w:rPr>
          <w:sz w:val="22"/>
          <w:szCs w:val="22"/>
        </w:rPr>
        <w:t xml:space="preserve">Combined, these Practices give the engagement team a structured lens on (a) what airport operators need from autonomous GSE, and (b) what success factors separate the winning GSE OEMs from the rest. Sections 4 and 5 of this document address each.</w:t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2. APEX in One Page</w:t>
      </w:r>
    </w:p>
    <w:p>
      <w:pPr>
        <w:spacing w:after="120"/>
      </w:pPr>
      <w:r>
        <w:rPr>
          <w:sz w:val="22"/>
          <w:szCs w:val="22"/>
        </w:rPr>
        <w:t xml:space="preserve">APEX is a manifest-driven, agentic platform that turns enterprise events into resolved, auditable decisions. It runs on Microsoft Fabric (data plane) and Azure AI services (intelligence plane), bound by a versioned contract that specifies every schema, agent, tool, orchestration, and human-in-the-loop (HITL) gate.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Seven-Layer Reference Architecture</w:t>
      </w:r>
    </w:p>
    <w:p>
      <w:pPr>
        <w:spacing w:after="120"/>
      </w:pPr>
      <w:r>
        <w:rPr>
          <w:sz w:val="22"/>
          <w:szCs w:val="22"/>
        </w:rPr>
        <w:t xml:space="preserve">Every Practice inherits the same seven layers — L1 Edge &amp; Source, L2 Ingest &amp; Integration, L3 Storage, L4 Semantic, L5 Intelligence, L6 Orchestration, L7 Experience — each mapped to specific Microsoft services. For autonomous GSE, L1 is the vehicle bus, ramp telemetry, and CDM/A-CDM feeds; L7 is the OCC dispatcher, the ramp coordinator, and the maintenance lead.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Catalog Today</w:t>
      </w:r>
    </w:p>
    <w:p>
      <w:pPr>
        <w:spacing w:after="120"/>
      </w:pPr>
      <w:r>
        <w:rPr>
          <w:sz w:val="22"/>
          <w:szCs w:val="22"/>
        </w:rPr>
        <w:t xml:space="preserve">45 catalogued services across seven Practices: 25 GA (RC, HLS, ER, AXLE) and 20 in active build (TMT, TH, ICE) with 2026 GA targets. Each service is a subscribable SKU: scenario + personas + KPIs + SLOs + artifact bundle + prerequisites + commercial terms.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Why this matters for autonomous GSE</w:t>
      </w:r>
    </w:p>
    <w:p>
      <w:pPr>
        <w:spacing w:after="120"/>
      </w:pPr>
      <w:r>
        <w:rPr>
          <w:sz w:val="22"/>
          <w:szCs w:val="22"/>
        </w:rPr>
        <w:t xml:space="preserve">Autonomous GSE is a quintessential APEX problem: high-frequency event streams from heterogeneous sources, time-critical decisions with safety implications, regulated audit trails, and a need to compose decisions across operator, OEM, ANSP, and regulator boundaries. APEX provides the manifest discipline (schemas, gates, evidence) without forcing the client onto a shared runtime.</w:t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3. APEX Service Mapping for Autonomous GSE</w:t>
      </w:r>
    </w:p>
    <w:p>
      <w:pPr>
        <w:spacing w:after="120"/>
      </w:pPr>
      <w:r>
        <w:rPr>
          <w:sz w:val="22"/>
          <w:szCs w:val="22"/>
        </w:rPr>
        <w:t xml:space="preserve">The table below maps APEX catalogued services to the autonomous GSE problem domain. Each row is a subscribable SKU with a defined scenario, KPIs, HITL gates, and an artifact bundle. A typical Wave 1 engagement subscribes to two or three services; the portfolio grows from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APEX Practice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Autonomous GSE Application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APEX-ICE-FAF-01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 Asset Failure Response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ICE — Industrial &amp; Commercial Equipment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Predict and triage GSE failures (battery, drive, sensor stack) before they cause a missed turn. Anchors fleet-wide health telemetry to the airline operating clock.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APEX-ICE-SPA-02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Spare-Parts Availability Triage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 for autonomous platforms: lidar, IMU, compute modules and traction batteries are long-lead. Pre-positions parts to hub airports against forecasted MTBF and turn density.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APEX-ICE-WCP-03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Warranty Claim Pattern Analysis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 OEMs: detect failure-mode patterns across the deployed autonomous GSE fleet earlier than manual claim review; closes the field-to-engineering loop.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APEX-ICE-CRP-04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Contract-Renewal Revenue Protection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Detects degradation signals (uptime drift, dispatch reliability) in autonomous-GSE service contracts before renewal — protects recurring revenue for OEM and lessor.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APEX-ICE-AaS-05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As-a-Service Utilization Optimization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flagship service for GSE-as-a-Service commercial models. Tracks per-asset utilisation, SLA conformance, and pay-per-use telemetry. Enables OEMs to move from sale to subscription.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APEX-ICE-CIR-06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Compliance Inspection Response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 fit for FAA Part 139, EASA / CAA, and JCAB inspection regimes plus SAE J3016-style autonomy levels and ICAO Annex 14 airside safety. Maintains audit-grade evidence per inspection.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APEX-TH-DRO-02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Disruption Recovery Orchestration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 — Travel &amp; Hospitality (airline)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When weather, IRROPS, or a stand closure cascades, autonomous-GSE allocation becomes a constraint variable. DRO re-optimises GSE deployment alongside crew, gate, and aircraft.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APEX-TH-HER-06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Exception Routing (ramp variant)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 (airline-adapted)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Originally housekeeping; the same exception-routing pattern adapts to ramp exceptions: stuck tug, missed pushback window, GPU offline.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APEX-ER-FWO-04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 Work-Order Optimisation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 — Energy &amp; Resources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crew-skills + route-optimiser pair (ER-A07/A08) transfers cleanly to autonomous-GSE maintenance dispatch across a hub footprint with 1st-time-fix targets.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APEX-AXLE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Autonomous-Vehicle Depth Programme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AXLE — Automotive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 GSE OEMs: ODD definition, V&amp;V harness, safety-case scaffolding, OTA update discipline. The automotive-depth complement to ICE's commercial framing.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Cross-Practice Capabilities Always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Manifest model — every schema (vehicle telemetry, work orders, inspection events) version-pinned with bump classification and migration discipline.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HITL gate taxonomy — every decision declares HITL, ACK_ONLY, ZERO_TOUCH, or ESCALATION. Critical for autonomous-airside safety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Independence posture — client-tenant data planes; Deloitte retains zero client-identifiable telemetry. Important for airport operator data-sovereignty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Observability — Application Insights, Fabric monitoring, custom agent telemetry; supports regulator-readable audit trails.</w:t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4. Airport-Related Issues &amp; Needs Driving Autonomous GSE</w:t>
      </w:r>
    </w:p>
    <w:p>
      <w:pPr>
        <w:spacing w:after="120"/>
      </w:pPr>
      <w:r>
        <w:rPr>
          <w:sz w:val="22"/>
          <w:szCs w:val="22"/>
        </w:rPr>
        <w:t xml:space="preserve">Drawn from the APEX TH-airline and ICE Practice frames; corroborated against ACI, IATA AHM, and JCAB / FAA airside posture as of 2026.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4.1 Operational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Turn-time compression — narrow-body turns trending below 30 minutes at hub airports; ground service variability is now the dominant residual delay contributor after weather and ATC.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Ramp labour scarcity — post-pandemic ramp-agent attrition is structural in North America, EU, and Japan; recruiting cycles outpace fleet growth at major hubs.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 congestion &amp; A-CDM tightening — CDM/A-CDM milestones (TOBT, TSAT, ATOT) are tightening; ad-hoc GSE allocation no longer meets the milestone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Heterogeneous fleet age — most hubs operate three generations of GSE concurrently; autonomous platforms must coexist with manual equipment for at least a decade.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4.2 Safety &amp; Regulatory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Airside safety cases — autonomous GSE must demonstrate ODD-bounded safe operation under Annex 14 / Part 139 inspection regimes; safety-case construction is the long-pole engineering effort.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Foreign Object Debris (FOD) and ramp-incident reduction — autonomous GSE telemetry creates first-time visibility into near-miss events; airport authorities increasingly expect this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ICAO / IATA AHM alignment — equipment-independent vehicle data standards (AHM 950 / 956) are gaining traction; autonomous platforms must emit conformant telemetry.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Cybersecurity for airside autonomy — ENISA, TSA, and JCAB are sharpening guidance for autonomous airside; OT/IT segmentation and OTA update control are now procurement criteria.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4.3 Commercial &amp; Sustainability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GSE-as-a-Service commercial models — airports and ground handlers prefer pay-per-turn or pay-per-utilisation over capex; this requires telemetry, SLA discipline, and metered billing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Electrification overlap — autonomy is arriving at the same time as eGSE; charging-window scheduling is a new constraint that changes optimisation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Net-zero airport commitments — most major hubs have 2030 / 2035 net-zero airside targets; autonomous + electric GSE is the credible compliance pathway.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Insurance &amp; risk transfer — carriers are still pricing autonomous-GSE risk; structured operating data accelerates underwriter confidence and reduces premiums.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4.4 Integration &amp; Data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Airport Operational Database (AODB) integration — autonomous GSE must read TOBT/TSAT and emit position/status to be useful at the gate-level.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Multi-stakeholder data contracts — operator, OEM, ground handler, and ANSP each require different views of the same telemetry; consent and data-sharing frameworks are immature.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Legacy radio dispatch — many ramp operations still run on voice radio; autonomous platforms force a re-architecture of dispatch tooling that benefits the whole operation.</w:t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5. Key Success Factors for Autonomous GSE Developers</w:t>
      </w:r>
    </w:p>
    <w:p>
      <w:pPr>
        <w:spacing w:after="120"/>
      </w:pPr>
      <w:r>
        <w:rPr>
          <w:sz w:val="22"/>
          <w:szCs w:val="22"/>
        </w:rPr>
        <w:t xml:space="preserve">Synthesised from APEX's AXLE (automotive autonomy depth) and ICE (industrial fleet) practice patterns, plus DMTSP fieldwork on adjacent autonomous-mobility programmes.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5.1 Engineering &amp; Product Success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ODD discipline — winning OEMs publish a tight, evidenced Operational Design Domain and grow it with measured V&amp;V, rather than over-claiming Level-4 capability across all weather and surface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Sensor redundancy with airside-credible failure modes — multi-modal sensor stacks (lidar + radar + camera + IMU) with independent failure paths; demonstrable safe-stop behaviour under FOD, low sun, and standing water.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Vehicle bus + telemetry fluency — first-class CAN, J1939, and OEM-specific bus integration with lossless cloud telemetry; autonomy without telemetry has no safety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OTA update discipline — staged rollouts, signed updates, deterministic rollback; aligned with TSA/ENISA / JCAB cyber expectations for airside.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Twin-track HMI — one HMI for autonomous operation, one for tele-operated fallback; both must coexist on the platform from day one.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5.2 Operational &amp; Commercial Success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Day-one integration with A-CDM / AODB — winning entrants ship with TOBT/TSAT consumption and event publishing; losing entrants treat integration as a phase-2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GSE-as-a-Service commercial model — utilisation-priced contracts (per turn, per kWh, per uptime hour) align OEM economics with operator outcomes; a flat sale pre-empts the recurring relationship.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Spare-parts pre-positioning at hubs — autonomy components (compute modules, lidars, traction batteries) are long-lead; OEMs that stage parts at hub airports earn higher dispatch reliability.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Service-network density — autonomy MTBF is improving but still demands dense field-service coverage; the OEMs that win hub deals are the ones who can field a same-shift technician.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Fleet-mixed orchestration — autonomous platforms must dispatch alongside manual equipment for a decade; OEMs that publish open APIs into ramp dispatch tools earn faster pilot conversion.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5.3 Safety, Regulatory &amp; Trust Success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Pre-built safety-case artifacts — STPA, FMEA, hazard logs, and ODD-traceable test evidence shipped with the product, not produced ad-hoc per airport.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Independent V&amp;V harness — third-party-audited verification builds regulator trust faster than internal claims, especially in JCAB and EASA jurisdictions.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Airside cyber posture — segmented OT/IT, signed firmware, secure-boot evidence, and an SBOM are increasingly mandatory in 2026 procurement.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Transparent incident telemetry — winning OEMs publish near-miss and intervention data to the operator under a clear data-sharing contract; trust compounds, opacity erodes.</w:t>
      </w:r>
    </w:p>
    <w:p>
      <w:pPr>
        <w:pStyle w:val="Heading2"/>
        <w:spacing w:after="140" w:before="280"/>
      </w:pPr>
      <w:r>
        <w:rPr>
          <w:b/>
          <w:bCs/>
          <w:color w:val="0078D4"/>
          <w:sz w:val="26"/>
          <w:szCs w:val="26"/>
        </w:rPr>
        <w:t xml:space="preserve">5.4 Ecosystem &amp; Partnership Success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Airline-grade SLAs as a forcing function — designing to a published OTP-relevant SLA (e.g., 99.5% pushback dispatch reliability) drives the right architecture upstream.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Microsoft / hyperscaler alignment for telemetry &amp; intelligence — Fabric / Azure AI Foundry / Azure AI Agent Service is the most regulator-credible stack for airside in 2026; OEMs that build on it pre-empt operator IT objections.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Co-development with ground handlers — Swissport, dnata, Menzies, and similar are the primary day-to-day operators of GSE; OEM partnerships here accelerate fleet conversion.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Standards engagement — active participation in IATA AHM working groups, ISO TC 20/SC 9, and SAE G-31 (autonomy in aviation) signals long-term seriousness to airport authorities.</w:t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6. Deloitte Capability Hooks (DMTSP × APEX)</w:t>
      </w:r>
    </w:p>
    <w:p>
      <w:pPr>
        <w:spacing w:after="120"/>
      </w:pPr>
      <w:r>
        <w:rPr>
          <w:sz w:val="22"/>
          <w:szCs w:val="22"/>
        </w:rPr>
        <w:t xml:space="preserve">Deloitte's Microsoft practice (DMTSP) brings APEX as the framework, plus the engagement engineering to land it. The autonomous-GSE engagement model has four predictable workstreams: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Workstream A — Operator-Side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Foundation wave: Fabric workspace topology, ICE schema deployment, first 2–3 ICE services live (typical FAF-01 + AaS-05 + CIR-06).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Intelligence wave: TH-airline disruption-recovery integration with ramp dispatch; cross-Practice observability.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Optimisation wave: cross-hub roll-out; multi-handler tenancy; net-zero KPI integration.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Workstream B — OEM-Side Product &amp; Telemetry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AXLE depth: ODD definition, V&amp;V harness scaffolding, safety-case content discipline.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ICE-AaS-05: As-a-Service utilisation telemetry build-out; metered billing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ICE-WCP-03: warranty pattern analysis on deployed-fleet telemetry; closes field-to-engineering loop.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Workstream C — Regulatory &amp; Safety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ICE-CIR-06 implementation: audit-grade evidence pipeline aligned to FAA Part 139, EASA, and JCAB regimes.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HITL taxonomy: explicit gate declarations on every autonomous decision surface, suitable for regulator review.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Workstream D — Commercial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Subscription pricing and SLA design for GSE-as-a-Service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Insurance / risk-transfer structuring with telemetry-backed underwriting.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Investment envelope per Practice: $3–8M Wave 1, $5–12M Wave 2, $3–6M Wave 3. Expected 2–4× cumulative ROI on Wave 1 services by month 18.</w:t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7. Author Background — Keven Markham</w:t>
      </w:r>
    </w:p>
    <w:p>
      <w:pPr>
        <w:spacing w:after="120"/>
      </w:pPr>
      <w:r>
        <w:rPr>
          <w:sz w:val="22"/>
          <w:szCs w:val="22"/>
        </w:rPr>
        <w:t xml:space="preserve">Specialist Master, Deloitte Microsoft Technology &amp; Services Practice (DMTSP). 22+ years across Microsoft platforms (Azure, Fabric, Power Platform, Copilot, Foundry, Security). Lead architect on APEX framework. Transportation- and airport-adjacent work spans cross-airport asset health programmes, ramp-operations data architectures, and autonomous-mobility pattern adaptation from automotive (AXLE) to industrial fleets (ICE).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Relevant APEX Authorship for this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APEX Core (manifest model, HITL taxonomy, seven-layer reference architecture).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APEX-ICE Practice (Field Asset Failure Response, As-a-Service Utilization Optimization, Compliance Inspection Response).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APEX-TH airline sub-variant (Disruption Recovery Orchestration, ramp exception routing patterns).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APEX-AXLE complementary programme (autonomous-vehicle depth scaffolding).</w:t>
      </w:r>
    </w:p>
    <w:p>
      <w:pPr>
        <w:pStyle w:val="Heading3"/>
        <w:spacing w:after="100" w:before="200"/>
      </w:pPr>
      <w:r>
        <w:rPr>
          <w:b/>
          <w:bCs/>
          <w:color w:val="008272"/>
          <w:sz w:val="22"/>
          <w:szCs w:val="22"/>
        </w:rPr>
        <w:t xml:space="preserve">CV Inclusion in Proposal</w:t>
      </w:r>
    </w:p>
    <w:p>
      <w:pPr>
        <w:spacing w:after="120"/>
      </w:pPr>
      <w:r>
        <w:rPr>
          <w:sz w:val="22"/>
          <w:szCs w:val="22"/>
        </w:rPr>
        <w:t xml:space="preserve">Latest CV will be shared separately by 4 May 2026 EOD EST per request. Please confirm preferred format (Deloitte Global standard CV vs. proposal-specific one-pager) on receipt.</w:t>
      </w:r>
    </w:p>
    <w:p>
      <w:r>
        <w:br w:type="page"/>
      </w:r>
    </w:p>
    <w:p>
      <w:pPr>
        <w:pStyle w:val="Heading1"/>
        <w:pBdr>
          <w:bottom w:val="single" w:color="0078D4" w:sz="8" w:space="4"/>
        </w:pBdr>
        <w:spacing w:after="200" w:before="360"/>
      </w:pPr>
      <w:r>
        <w:rPr>
          <w:b/>
          <w:bCs/>
          <w:color w:val="0F172A"/>
          <w:sz w:val="32"/>
          <w:szCs w:val="32"/>
        </w:rPr>
        <w:t xml:space="preserve">Appendix A — Reference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APEX Solution Overview (DMTSP, current as of APEX Core v1.2, 2026-04-17).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APEX Comprehensive Solutions Reference (catalogue of 45 services across seven Practices).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Transportation AHM · APEX &amp; AXLE for Fleet Asset Management deck (DMTSP).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AXLE-3D Factory KPIs reference (DMTSP).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APEX-Stacked-Architecture-Narrated reference (DMTSP).</w:t>
      </w:r>
    </w:p>
    <w:p>
      <w:pPr>
        <w:spacing w:after="120"/>
      </w:pPr>
      <w:r>
        <w:rPr>
          <w:sz w:val="22"/>
          <w:szCs w:val="22"/>
        </w:rPr>
        <w:t xml:space="preserve">All reference documents available on request via DMTSP SharePoint.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4A3B8"/>
        <w:sz w:val="16"/>
        <w:szCs w:val="16"/>
      </w:rPr>
      <w:t xml:space="preserve">Internal — Deloitte Global  ·  1 May 2026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6" w:space="4"/>
      </w:pBdr>
      <w:tabs>
        <w:tab w:val="right" w:pos="9360"/>
      </w:tabs>
    </w:pPr>
    <w:r>
      <w:rPr>
        <w:b/>
        <w:bCs/>
        <w:color w:val="0078D4"/>
        <w:sz w:val="18"/>
        <w:szCs w:val="18"/>
      </w:rPr>
      <w:t xml:space="preserve">Deloitte  ·  DMTSP</w:t>
    </w:r>
    <w:r>
      <w:rPr>
        <w:color w:val="475569"/>
        <w:sz w:val="18"/>
        <w:szCs w:val="18"/>
      </w:rPr>
      <w:t xml:space="preserve">	Autonomous GSE — APEX Services Positioning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82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GSE — APEX Services Positioning</dc:title>
  <dc:creator>Keven Markham, DMTSP</dc:creator>
  <dc:description>APEX-aligned services positioning for Deloitte Japan autonomous GSE proposal</dc:description>
  <cp:lastModifiedBy>Un-named</cp:lastModifiedBy>
  <cp:revision>1</cp:revision>
  <dcterms:created xsi:type="dcterms:W3CDTF">2026-05-01T17:07:56.090Z</dcterms:created>
  <dcterms:modified xsi:type="dcterms:W3CDTF">2026-05-01T17:07:56.094Z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