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IBM Plex Sans" w:hAnsi="IBM Plex Sans" w:eastAsia="IBM Plex Sans" w:cs="IBM Plex Sans"/>
          <w:b/>
          <w:color w:val="8A8A90"/>
          <w:sz w:val="18"/>
          <w:spacing w:val="80"/>
        </w:rPr>
        <w:t>APEX FRAMEWORK · INDIA BUILD TEAM · DOCUMENTATION RESPONSE</w:t>
      </w:r>
    </w:p>
    <w:p>
      <w:r>
        <w:rPr>
          <w:rFonts w:ascii="IBM Plex Sans" w:hAnsi="IBM Plex Sans" w:eastAsia="IBM Plex Sans" w:cs="IBM Plex Sans"/>
          <w:b/>
          <w:color w:val="0B0B0F"/>
          <w:sz w:val="48"/>
        </w:rPr>
        <w:t>APEX Framework Build</w:t>
      </w:r>
    </w:p>
    <w:p>
      <w:r>
        <w:rPr>
          <w:rFonts w:ascii="IBM Plex Sans" w:hAnsi="IBM Plex Sans" w:eastAsia="IBM Plex Sans" w:cs="IBM Plex Sans"/>
          <w:b/>
          <w:i/>
          <w:color w:val="4A4A55"/>
          <w:sz w:val="28"/>
        </w:rPr>
        <w:t>Documentation packet for India build team · response to Nabeel's 8-item request</w:t>
      </w:r>
    </w:p>
    <w:p/>
    <w:p>
      <w:pPr>
        <w:spacing w:after="120"/>
      </w:pPr>
      <w:r>
        <w:rPr>
          <w:rFonts w:ascii="IBM Plex Sans" w:hAnsi="IBM Plex Sans" w:eastAsia="IBM Plex Sans" w:cs="IBM Plex Sans"/>
          <w:i/>
          <w:color w:val="4A4A55"/>
          <w:sz w:val="22"/>
        </w:rPr>
        <w:t>Hi Nabeel and Apurva — thanks for the clear list. The eight items map cleanly onto the APEX framework documentation already authored. This packet maps each of your eight questions to specific deliverables, names where they live on the file system, and summarizes each in a paragraph or two so your team can decide which to open first. Section 10 closes with a recommended one-week onboarding ramp for the India build team.</w:t>
      </w:r>
    </w:p>
    <w:p/>
    <w:tbl>
      <w:tblPr>
        <w:tblW w:type="auto" w:w="0"/>
        <w:jc w:val="center"/>
        <w:tblLook w:firstColumn="1" w:firstRow="1" w:lastColumn="0" w:lastRow="0" w:noHBand="0" w:noVBand="1" w:val="04A0"/>
      </w:tblPr>
      <w:tblGrid>
        <w:gridCol w:w="4752"/>
        <w:gridCol w:w="4752"/>
      </w:tblGrid>
      <w:tr>
        <w:tc>
          <w:tcPr>
            <w:tcW w:type="dxa" w:w="2304"/>
            <w:shd w:val="clear" w:color="auto" w:fill="F3F3F5"/>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0B0B0F"/>
                <w:sz w:val="20"/>
              </w:rPr>
              <w:t>Document type</w:t>
            </w:r>
          </w:p>
        </w:tc>
        <w:tc>
          <w:tcPr>
            <w:tcW w:type="dxa" w:w="70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Documentation Response Packet · India Build Team Onboarding</w:t>
            </w:r>
          </w:p>
        </w:tc>
      </w:tr>
      <w:tr>
        <w:tc>
          <w:tcPr>
            <w:tcW w:type="dxa" w:w="2304"/>
            <w:shd w:val="clear" w:color="auto" w:fill="F3F3F5"/>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0B0B0F"/>
                <w:sz w:val="20"/>
              </w:rPr>
              <w:t>From</w:t>
            </w:r>
          </w:p>
        </w:tc>
        <w:tc>
          <w:tcPr>
            <w:tcW w:type="dxa" w:w="70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Markham, Keven · Deloitte Microsoft Technology Solutions &amp; Practices</w:t>
            </w:r>
          </w:p>
        </w:tc>
      </w:tr>
      <w:tr>
        <w:tc>
          <w:tcPr>
            <w:tcW w:type="dxa" w:w="2304"/>
            <w:shd w:val="clear" w:color="auto" w:fill="F3F3F5"/>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0B0B0F"/>
                <w:sz w:val="20"/>
              </w:rPr>
              <w:t>To</w:t>
            </w:r>
          </w:p>
        </w:tc>
        <w:tc>
          <w:tcPr>
            <w:tcW w:type="dxa" w:w="70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Qazi, Nabeel · Limaye, Apurva</w:t>
            </w:r>
          </w:p>
        </w:tc>
      </w:tr>
      <w:tr>
        <w:tc>
          <w:tcPr>
            <w:tcW w:type="dxa" w:w="2304"/>
            <w:shd w:val="clear" w:color="auto" w:fill="F3F3F5"/>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0B0B0F"/>
                <w:sz w:val="20"/>
              </w:rPr>
              <w:t>Cc</w:t>
            </w:r>
          </w:p>
        </w:tc>
        <w:tc>
          <w:tcPr>
            <w:tcW w:type="dxa" w:w="70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Veera, Sree Narendranath Reddy · Krishnaswamy, Anand</w:t>
            </w:r>
          </w:p>
        </w:tc>
      </w:tr>
      <w:tr>
        <w:tc>
          <w:tcPr>
            <w:tcW w:type="dxa" w:w="2304"/>
            <w:shd w:val="clear" w:color="auto" w:fill="F3F3F5"/>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0B0B0F"/>
                <w:sz w:val="20"/>
              </w:rPr>
              <w:t>Subject</w:t>
            </w:r>
          </w:p>
        </w:tc>
        <w:tc>
          <w:tcPr>
            <w:tcW w:type="dxa" w:w="70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Response to scope/timeline-evaluation request · APEX framework build</w:t>
            </w:r>
          </w:p>
        </w:tc>
      </w:tr>
      <w:tr>
        <w:tc>
          <w:tcPr>
            <w:tcW w:type="dxa" w:w="2304"/>
            <w:shd w:val="clear" w:color="auto" w:fill="F3F3F5"/>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0B0B0F"/>
                <w:sz w:val="20"/>
              </w:rPr>
              <w:t>Reference engagements</w:t>
            </w:r>
          </w:p>
        </w:tc>
        <w:tc>
          <w:tcPr>
            <w:tcW w:type="dxa" w:w="70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Kroger (RC-E2E-03+09 · most complete) · Disney+ (TMT-MED-01) · GMF (AXLE-FIN-01) · Nike (RC-E2E-06)</w:t>
            </w:r>
          </w:p>
        </w:tc>
      </w:tr>
      <w:tr>
        <w:tc>
          <w:tcPr>
            <w:tcW w:type="dxa" w:w="2304"/>
            <w:shd w:val="clear" w:color="auto" w:fill="F3F3F5"/>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0B0B0F"/>
                <w:sz w:val="20"/>
              </w:rPr>
              <w:t>Framework artifacts</w:t>
            </w:r>
          </w:p>
        </w:tc>
        <w:tc>
          <w:tcPr>
            <w:tcW w:type="dxa" w:w="70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60+ documents across walkthroughs · architecture · SOR · agents · MCP · ops · test · governance</w:t>
            </w:r>
          </w:p>
        </w:tc>
      </w:tr>
      <w:tr>
        <w:tc>
          <w:tcPr>
            <w:tcW w:type="dxa" w:w="2304"/>
            <w:shd w:val="clear" w:color="auto" w:fill="F3F3F5"/>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0B0B0F"/>
                <w:sz w:val="20"/>
              </w:rPr>
              <w:t>Date</w:t>
            </w:r>
          </w:p>
        </w:tc>
        <w:tc>
          <w:tcPr>
            <w:tcW w:type="dxa" w:w="70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27 Apr 2026 · v1.0</w:t>
            </w:r>
          </w:p>
        </w:tc>
      </w:tr>
    </w:tbl>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1 · Executive summary</w:t>
      </w:r>
    </w:p>
    <w:p>
      <w:pPr>
        <w:spacing w:after="120"/>
      </w:pPr>
      <w:r>
        <w:rPr>
          <w:rFonts w:ascii="IBM Plex Sans" w:hAnsi="IBM Plex Sans" w:eastAsia="IBM Plex Sans" w:cs="IBM Plex Sans"/>
          <w:color w:val="0B0B0F"/>
          <w:sz w:val="22"/>
        </w:rPr>
        <w:t>The APEX framework — Agentic Platform for Enterprise eXecution — is Deloitte's reference architecture for industry-scenario agent orchestration on Microsoft-native deployment. It is documented across roughly 60 deliverables today, organized into a 5-tier model (Foundation · Executive · Build · Governance · Strategic) with specific reference engagements that anchor the framework against named clients.</w:t>
      </w:r>
    </w:p>
    <w:p>
      <w:pPr>
        <w:spacing w:after="120"/>
      </w:pPr>
      <w:r>
        <w:rPr>
          <w:rFonts w:ascii="IBM Plex Sans" w:hAnsi="IBM Plex Sans" w:eastAsia="IBM Plex Sans" w:cs="IBM Plex Sans"/>
          <w:color w:val="0B0B0F"/>
          <w:sz w:val="22"/>
        </w:rPr>
        <w:t>Per your eight items, here is the high-level coverage status. Each row is detailed in the corresponding numbered section that follows.</w:t>
      </w:r>
    </w:p>
    <w:tbl>
      <w:tblPr>
        <w:tblW w:type="auto" w:w="0"/>
        <w:jc w:val="center"/>
        <w:tblLook w:firstColumn="1" w:firstRow="1" w:lastColumn="0" w:lastRow="0" w:noHBand="0" w:noVBand="1" w:val="04A0"/>
      </w:tblPr>
      <w:tblGrid>
        <w:gridCol w:w="3168"/>
        <w:gridCol w:w="3168"/>
        <w:gridCol w:w="3168"/>
      </w:tblGrid>
      <w:tr>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Your item</w:t>
            </w:r>
          </w:p>
        </w:tc>
        <w:tc>
          <w:tcPr>
            <w:tcW w:type="dxa" w:w="201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Coverage</w:t>
            </w:r>
          </w:p>
        </w:tc>
        <w:tc>
          <w:tcPr>
            <w:tcW w:type="dxa" w:w="460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Primary artifact</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 Agent framework documentation</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Comprehensive</w:t>
            </w:r>
          </w:p>
        </w:tc>
        <w:tc>
          <w:tcPr>
            <w:tcW w:type="dxa" w:w="46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APEX_Design.md · Solution Architecture Document · Six-Agents Deep Dive + Maturation · MCP Server Deep Dive · Service Sequence Diagram · Stacked Architecture (interactive HTML)</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2. Sprint details and scope</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Available · Disney+ + Nike</w:t>
            </w:r>
          </w:p>
        </w:tc>
        <w:tc>
          <w:tcPr>
            <w:tcW w:type="dxa" w:w="46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Disney TMT-MED-01-Sprint-Plan.xlsx · Nike NOAH Sprint Plan · 9-sheet structure · 33 tasks · UAC + RACI + KPI linkage</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3. User stories</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Embedded in Use Case Catalog</w:t>
            </w:r>
          </w:p>
        </w:tc>
        <w:tc>
          <w:tcPr>
            <w:tcW w:type="dxa" w:w="46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Use Case Catalog (24 UCs · acceptance criteria · dependencies · story points · persona owner)</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4. High-level estimates</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Available</w:t>
            </w:r>
          </w:p>
        </w:tc>
        <w:tc>
          <w:tcPr>
            <w:tcW w:type="dxa" w:w="46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Resource Plans · Commercial Envelope tables · per-wave story-point totals (W1=50 SP · W2=45 SP · W3=70+ SP)</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5. Detailed scope of discovery</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Approach stage in Sprint Plan + walkthrough §1-2</w:t>
            </w:r>
          </w:p>
        </w:tc>
        <w:tc>
          <w:tcPr>
            <w:tcW w:type="dxa" w:w="46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Sprint Plan A-S01/A-S02 tasks · Walkthrough Section 1-2 · Stakeholder Map · Discovery interview targets</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6. Detailed scope of work</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Most-complete category</w:t>
            </w:r>
          </w:p>
        </w:tc>
        <w:tc>
          <w:tcPr>
            <w:tcW w:type="dxa" w:w="46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Walkthrough (11 sections) · SAD · Use Case Catalog · Test Strategy · Service Operations Playbook · 4-tier commercial envelope</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7. Number of agents to be built · scope of each</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Six per service · all specified</w:t>
            </w:r>
          </w:p>
        </w:tc>
        <w:tc>
          <w:tcPr>
            <w:tcW w:type="dxa" w:w="46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Six-Agents Deep Dive + Maturation · per-agent manifest YAML files · Six-Agents Architecture (per service)</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8. Data readiness and prep</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Comprehensive</w:t>
            </w:r>
          </w:p>
        </w:tc>
        <w:tc>
          <w:tcPr>
            <w:tcW w:type="dxa" w:w="46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SOR Bronze-to-Silver · SOR ERD (HTML) · Fabric Implementation Runbook · Privacy &amp; Data Governance Spec · per-engagement SOR-integration docs</w:t>
            </w:r>
          </w:p>
        </w:tc>
      </w:tr>
    </w:tbl>
    <w:p/>
    <w:tbl>
      <w:tblPr>
        <w:tblW w:type="auto" w:w="0"/>
        <w:jc w:val="center"/>
        <w:tblLook w:firstColumn="1" w:firstRow="1" w:lastColumn="0" w:lastRow="0" w:noHBand="0" w:noVBand="1" w:val="04A0"/>
      </w:tblPr>
      <w:tblGrid>
        <w:gridCol w:w="9504"/>
      </w:tblGrid>
      <w:tr>
        <w:tc>
          <w:tcPr>
            <w:tcW w:type="dxa" w:w="9504"/>
            <w:shd w:val="clear" w:color="auto" w:fill="E4F1EE"/>
          </w:tcPr>
          <w:p>
            <w:r>
              <w:rPr>
                <w:rFonts w:ascii="IBM Plex Sans" w:hAnsi="IBM Plex Sans" w:eastAsia="IBM Plex Sans" w:cs="IBM Plex Sans"/>
              </w:rPr>
            </w:r>
            <w:r>
              <w:rPr>
                <w:rFonts w:ascii="IBM Plex Sans" w:hAnsi="IBM Plex Sans" w:eastAsia="IBM Plex Sans" w:cs="IBM Plex Sans"/>
                <w:b/>
                <w:color w:val="2A7F73"/>
                <w:sz w:val="18"/>
              </w:rPr>
              <w:t>BOTTOM LINE</w:t>
            </w:r>
          </w:p>
          <w:p>
            <w:pPr>
              <w:spacing w:before="60"/>
            </w:pPr>
            <w:r>
              <w:rPr>
                <w:rFonts w:ascii="IBM Plex Sans" w:hAnsi="IBM Plex Sans" w:eastAsia="IBM Plex Sans" w:cs="IBM Plex Sans"/>
                <w:color w:val="0B0B0F"/>
                <w:sz w:val="21"/>
              </w:rPr>
              <w:t>Everything you asked for exists today across the four reference engagements. The Kroger engagement (RC-E2E-03+09) is the most complete — 27 deliverables across all 5 tiers. We recommend the India team starts there, then expands to the engagement or service-pattern most-relevant to the client they're targeting. Section 10 details the one-week onboarding sequence.</w:t>
            </w:r>
          </w:p>
        </w:tc>
      </w:tr>
    </w:tbl>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2 · Item 1 · Agent framework documentation</w:t>
      </w:r>
    </w:p>
    <w:p>
      <w:pPr>
        <w:spacing w:after="120"/>
      </w:pPr>
      <w:r>
        <w:rPr>
          <w:rFonts w:ascii="IBM Plex Sans" w:hAnsi="IBM Plex Sans" w:eastAsia="IBM Plex Sans" w:cs="IBM Plex Sans"/>
          <w:color w:val="0B0B0F"/>
          <w:sz w:val="22"/>
        </w:rPr>
        <w:t>What you asked for: documentation of the APEX agent framework itself — patterns, architecture, principles, integration model.</w:t>
      </w:r>
    </w:p>
    <w:p>
      <w:pPr>
        <w:pStyle w:val="Heading2"/>
        <w:spacing w:before="200" w:after="80"/>
      </w:pPr>
      <w:r>
        <w:rPr>
          <w:rFonts w:ascii="Fraunces" w:hAnsi="Fraunces" w:eastAsia="Fraunces" w:cs="Fraunces"/>
          <w:b/>
          <w:color w:val="0B0B0F"/>
          <w:sz w:val="28"/>
        </w:rPr>
        <w:t>2.1 · Foundational framework documents</w:t>
      </w:r>
    </w:p>
    <w:tbl>
      <w:tblPr>
        <w:tblW w:type="auto" w:w="0"/>
        <w:jc w:val="center"/>
        <w:tblLook w:firstColumn="1" w:firstRow="1" w:lastColumn="0" w:lastRow="0" w:noHBand="0" w:noVBand="1" w:val="04A0"/>
      </w:tblPr>
      <w:tblGrid>
        <w:gridCol w:w="3168"/>
        <w:gridCol w:w="3168"/>
        <w:gridCol w:w="3168"/>
      </w:tblGrid>
      <w:tr>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Document</w:t>
            </w:r>
          </w:p>
        </w:tc>
        <w:tc>
          <w:tcPr>
            <w:tcW w:type="dxa" w:w="43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What it covers</w:t>
            </w:r>
          </w:p>
        </w:tc>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Path</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APEX_Design.md</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Foundational design spec · 5-plane architecture · 14-field audit row · agent model · LEDGER plane</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APEX/docs/APEX - Design and Build/APEX_Design.md</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APEX-Stacked-Architecture-Narrated.html</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Interactive reference architecture · clickable planes · 47-archetype catalog · 35 featured chains · 736 scenarios</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APEX/docs/reference/APEX-Stacked-Architecture-Narrated.html</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APEX-CAF-Integration-Architecture.docx</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How APEX integrates with CAF (Converge Agentic Framework) via A2A · capability indirection · Microsoft-native substrate</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Industries/Consumer/Retail/Demos/APEX-CAF-Integration-Architecture.docx</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Professional-APEX-Sellers-Guide.html</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72-chapter sellers guide · principles · industry playbooks · pursuit motion · runtime addendum</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APEX/docs/book/Professional-APEX-Sellers-Guide.html</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47-archetype catalog</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Canonical orchestration archetypes · Sequential/Hierarchical · Parallel/Fan-out · HITL-gated · Feedback-loop · Cross-practice fusion</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APEX/packages/apex-orchestrator/src/apex_orchestrator/archetypes/catalog.py</w:t>
            </w:r>
          </w:p>
        </w:tc>
      </w:tr>
    </w:tbl>
    <w:p/>
    <w:p>
      <w:pPr>
        <w:pStyle w:val="Heading2"/>
        <w:spacing w:before="200" w:after="80"/>
      </w:pPr>
      <w:r>
        <w:rPr>
          <w:rFonts w:ascii="Fraunces" w:hAnsi="Fraunces" w:eastAsia="Fraunces" w:cs="Fraunces"/>
          <w:b/>
          <w:color w:val="0B0B0F"/>
          <w:sz w:val="28"/>
        </w:rPr>
        <w:t>2.2 · Engagement-specific framework instantiations</w:t>
      </w:r>
    </w:p>
    <w:p>
      <w:pPr>
        <w:spacing w:after="120"/>
      </w:pPr>
      <w:r>
        <w:rPr>
          <w:rFonts w:ascii="IBM Plex Sans" w:hAnsi="IBM Plex Sans" w:eastAsia="IBM Plex Sans" w:cs="IBM Plex Sans"/>
          <w:color w:val="0B0B0F"/>
          <w:sz w:val="22"/>
        </w:rPr>
        <w:t>Each reference engagement instantiates the APEX framework with a Solution Architecture Document (SAD) — the integrative 'one ring' doc that ties planes, components, deployment, and integration into a single coherent narrative.</w:t>
      </w:r>
    </w:p>
    <w:tbl>
      <w:tblPr>
        <w:tblW w:type="auto" w:w="0"/>
        <w:jc w:val="center"/>
        <w:tblLook w:firstColumn="1" w:firstRow="1" w:lastColumn="0" w:lastRow="0" w:noHBand="0" w:noVBand="1" w:val="04A0"/>
      </w:tblPr>
      <w:tblGrid>
        <w:gridCol w:w="3168"/>
        <w:gridCol w:w="3168"/>
        <w:gridCol w:w="3168"/>
      </w:tblGrid>
      <w:tr>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Engagement</w:t>
            </w:r>
          </w:p>
        </w:tc>
        <w:tc>
          <w:tcPr>
            <w:tcW w:type="dxa" w:w="576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SAD location</w:t>
            </w:r>
          </w:p>
        </w:tc>
        <w:tc>
          <w:tcPr>
            <w:tcW w:type="dxa" w:w="201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Notes</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Kroger RC-E2E-03+09 (most complete)</w:t>
            </w:r>
          </w:p>
        </w:tc>
        <w:tc>
          <w:tcPr>
            <w:tcW w:type="dxa" w:w="57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Industries/Consumer/Retail/Kroger/02_projects/FY27_Pipeline/assortment-pricing-agentic/deliverables/Services/Shared-Both-Services/Tier0-Foundation/APEX-RC-E2E-03-09-Solution-Architecture-Document.docx</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10 sections · 6 architectural principles · 5-plane mapping · component diagram · ADRs · cross-references all 22 sibling artifacts</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Other engagements</w:t>
            </w:r>
          </w:p>
        </w:tc>
        <w:tc>
          <w:tcPr>
            <w:tcW w:type="dxa" w:w="57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Per-engagement Walkthrough acts as the de-facto SAD</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Disney TMT-MED-01 · Nike R2R / NOAH · GMF AXLE-FIN-01 each have a Walkthrough</w:t>
            </w:r>
          </w:p>
        </w:tc>
      </w:tr>
    </w:tbl>
    <w:p/>
    <w:p>
      <w:pPr>
        <w:pStyle w:val="Heading2"/>
        <w:spacing w:before="200" w:after="80"/>
      </w:pPr>
      <w:r>
        <w:rPr>
          <w:rFonts w:ascii="Fraunces" w:hAnsi="Fraunces" w:eastAsia="Fraunces" w:cs="Fraunces"/>
          <w:b/>
          <w:color w:val="0B0B0F"/>
          <w:sz w:val="28"/>
        </w:rPr>
        <w:t>2.3 · Per-agent and per-tool deep dives (Kroger reference)</w:t>
      </w:r>
    </w:p>
    <w:tbl>
      <w:tblPr>
        <w:tblW w:type="auto" w:w="0"/>
        <w:jc w:val="center"/>
        <w:tblLook w:firstColumn="1" w:firstRow="1" w:lastColumn="0" w:lastRow="0" w:noHBand="0" w:noVBand="1" w:val="04A0"/>
      </w:tblPr>
      <w:tblGrid>
        <w:gridCol w:w="3168"/>
        <w:gridCol w:w="3168"/>
        <w:gridCol w:w="3168"/>
      </w:tblGrid>
      <w:tr>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Document</w:t>
            </w:r>
          </w:p>
        </w:tc>
        <w:tc>
          <w:tcPr>
            <w:tcW w:type="dxa" w:w="388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What it covers</w:t>
            </w:r>
          </w:p>
        </w:tc>
        <w:tc>
          <w:tcPr>
            <w:tcW w:type="dxa" w:w="331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Path</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Six-Agents Deep Dive + Maturation</w:t>
            </w:r>
          </w:p>
        </w:tc>
        <w:tc>
          <w:tcPr>
            <w:tcW w:type="dxa" w:w="388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Per-agent specs · evolution paths W1→W4+ · cross-agent fusion patterns · maturation governance</w:t>
            </w:r>
          </w:p>
        </w:tc>
        <w:tc>
          <w:tcPr>
            <w:tcW w:type="dxa" w:w="331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Kroger/.../Services/RC-E2E-03_Assortment-and-Pricing/Tier2-Build/APEX-RC-E2E-03-Six-Agents-Deep-Dive-and-Maturation.docx</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MCP Server Deep Dive</w:t>
            </w:r>
          </w:p>
        </w:tc>
        <w:tc>
          <w:tcPr>
            <w:tcW w:type="dxa" w:w="388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19 MCP tools · 4 categories · JSON-RPC contracts · authorization · rate limiting · failure handling</w:t>
            </w:r>
          </w:p>
        </w:tc>
        <w:tc>
          <w:tcPr>
            <w:tcW w:type="dxa" w:w="331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Same folder · APEX-RC-E2E-03-MCP-Server-Deep-Dive.docx</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Service Sequence Diagram (interactive HTML)</w:t>
            </w:r>
          </w:p>
        </w:tc>
        <w:tc>
          <w:tcPr>
            <w:tcW w:type="dxa" w:w="388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Phase-by-phase sequence · agent ↔ MCP ↔ external systems · ERD/MCP alignment table</w:t>
            </w:r>
          </w:p>
        </w:tc>
        <w:tc>
          <w:tcPr>
            <w:tcW w:type="dxa" w:w="331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Same folder · APEX-RC-E2E-03-Service-Sequence-Diagram.html</w:t>
            </w:r>
          </w:p>
        </w:tc>
      </w:tr>
    </w:tbl>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3 · Item 2 · Sprint details and scope</w:t>
      </w:r>
    </w:p>
    <w:p>
      <w:pPr>
        <w:spacing w:after="120"/>
      </w:pPr>
      <w:r>
        <w:rPr>
          <w:rFonts w:ascii="IBM Plex Sans" w:hAnsi="IBM Plex Sans" w:eastAsia="IBM Plex Sans" w:cs="IBM Plex Sans"/>
          <w:color w:val="0B0B0F"/>
          <w:sz w:val="22"/>
        </w:rPr>
        <w:t>What you asked for: sprint-level breakdown · what gets done in each sprint · scope of each sprint.</w:t>
      </w:r>
    </w:p>
    <w:p>
      <w:pPr>
        <w:pStyle w:val="Heading2"/>
        <w:spacing w:before="200" w:after="80"/>
      </w:pPr>
      <w:r>
        <w:rPr>
          <w:rFonts w:ascii="Fraunces" w:hAnsi="Fraunces" w:eastAsia="Fraunces" w:cs="Fraunces"/>
          <w:b/>
          <w:color w:val="0B0B0F"/>
          <w:sz w:val="28"/>
        </w:rPr>
        <w:t>3.1 · Sprint plans available</w:t>
      </w:r>
    </w:p>
    <w:tbl>
      <w:tblPr>
        <w:tblW w:type="auto" w:w="0"/>
        <w:jc w:val="center"/>
        <w:tblLook w:firstColumn="1" w:firstRow="1" w:lastColumn="0" w:lastRow="0" w:noHBand="0" w:noVBand="1" w:val="04A0"/>
      </w:tblPr>
      <w:tblGrid>
        <w:gridCol w:w="3168"/>
        <w:gridCol w:w="3168"/>
        <w:gridCol w:w="3168"/>
      </w:tblGrid>
      <w:tr>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Sprint plan</w:t>
            </w:r>
          </w:p>
        </w:tc>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Engagement</w:t>
            </w:r>
          </w:p>
        </w:tc>
        <w:tc>
          <w:tcPr>
            <w:tcW w:type="dxa" w:w="43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Path · key sheets</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Disney+ TMT-MED-01-Sprint-Plan.xlsx</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Disney+ subscriber lifecycle (TMT)</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Industries/TMT/Global_Media_Entertainment/Walt_Disney/02_projects/FY27_Pipeline/subscriber-lifecycle-agentic/deliverables/TMT-MED-01-Sprint-Plan.xlsx · 9 sheets · 33 tasks</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Nike NOAH Sprint Plan</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Nike R2R close automation (RC-E2E-06)</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Industries/Consumer/Brands-Lifestyle/Nike/02_projects/FY27_Pipeline/r2r-agentic/deliverables/Nike-R2R-NOAH-Sprint-Plan.xlsx · 7 sheets · 43 tasks</w:t>
            </w:r>
          </w:p>
        </w:tc>
      </w:tr>
    </w:tbl>
    <w:p/>
    <w:p>
      <w:pPr>
        <w:pStyle w:val="Heading2"/>
        <w:spacing w:before="200" w:after="80"/>
      </w:pPr>
      <w:r>
        <w:rPr>
          <w:rFonts w:ascii="Fraunces" w:hAnsi="Fraunces" w:eastAsia="Fraunces" w:cs="Fraunces"/>
          <w:b/>
          <w:color w:val="0B0B0F"/>
          <w:sz w:val="28"/>
        </w:rPr>
        <w:t>3.2 · Sprint plan structure (Disney+ template)</w:t>
      </w:r>
    </w:p>
    <w:p>
      <w:pPr>
        <w:spacing w:after="120"/>
      </w:pPr>
      <w:r>
        <w:rPr>
          <w:rFonts w:ascii="IBM Plex Sans" w:hAnsi="IBM Plex Sans" w:eastAsia="IBM Plex Sans" w:cs="IBM Plex Sans"/>
          <w:color w:val="0B0B0F"/>
          <w:sz w:val="22"/>
        </w:rPr>
        <w:t>Each sprint plan workbook follows the same 9-sheet structure. The Sprint Plan sheet is the operational core; the others provide cross-cuts.</w:t>
      </w:r>
    </w:p>
    <w:tbl>
      <w:tblPr>
        <w:tblW w:type="auto" w:w="0"/>
        <w:jc w:val="center"/>
        <w:tblLook w:firstColumn="1" w:firstRow="1" w:lastColumn="0" w:lastRow="0" w:noHBand="0" w:noVBand="1" w:val="04A0"/>
      </w:tblPr>
      <w:tblGrid>
        <w:gridCol w:w="4752"/>
        <w:gridCol w:w="4752"/>
      </w:tblGrid>
      <w:tr>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Sheet</w:t>
            </w:r>
          </w:p>
        </w:tc>
        <w:tc>
          <w:tcPr>
            <w:tcW w:type="dxa" w:w="633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What it contains</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README</w:t>
            </w:r>
          </w:p>
        </w:tc>
        <w:tc>
          <w:tcPr>
            <w:tcW w:type="dxa" w:w="633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Workbook map · style legend · companion-artifact list · independence posture</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Wave Overview</w:t>
            </w:r>
          </w:p>
        </w:tc>
        <w:tc>
          <w:tcPr>
            <w:tcW w:type="dxa" w:w="633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4-tier table (Approach / W1 / W2 / W3) · envelopes · exit gates</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Sprint Plan</w:t>
            </w:r>
          </w:p>
        </w:tc>
        <w:tc>
          <w:tcPr>
            <w:tcW w:type="dxa" w:w="633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33 tasks across 11 sprints · 13-column grid: Wave · Sprint ID · Sprint Name · Task ID · Task · Subtasks · UAC · Use Cases · RACI (R/A/C/I) · KPIs</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User Acceptance</w:t>
            </w:r>
          </w:p>
        </w:tc>
        <w:tc>
          <w:tcPr>
            <w:tcW w:type="dxa" w:w="633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UAC + acceptance evidence + reviewer per task</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Use Case Map</w:t>
            </w:r>
          </w:p>
        </w:tc>
        <w:tc>
          <w:tcPr>
            <w:tcW w:type="dxa" w:w="633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UC-01 through UC-22 · sprint anchor · KPI driven</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Persona RACI</w:t>
            </w:r>
          </w:p>
        </w:tc>
        <w:tc>
          <w:tcPr>
            <w:tcW w:type="dxa" w:w="633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33 tasks × 16 personas · color-coded R/A/C/I cells</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KPI Linkage</w:t>
            </w:r>
          </w:p>
        </w:tc>
        <w:tc>
          <w:tcPr>
            <w:tcW w:type="dxa" w:w="633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8 KPIs · W2/W3 targets · driving sprints</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Persona Journey Maps</w:t>
            </w:r>
          </w:p>
        </w:tc>
        <w:tc>
          <w:tcPr>
            <w:tcW w:type="dxa" w:w="633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16 stage rows · current vs. target per persona · KPI tie-ins</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Key Solutions</w:t>
            </w:r>
          </w:p>
        </w:tc>
        <w:tc>
          <w:tcPr>
            <w:tcW w:type="dxa" w:w="633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12 productizable solutions distributed across sprints · persona owner · KPI driver</w:t>
            </w:r>
          </w:p>
        </w:tc>
      </w:tr>
    </w:tbl>
    <w:p/>
    <w:p>
      <w:pPr>
        <w:pStyle w:val="Heading2"/>
        <w:spacing w:before="200" w:after="80"/>
      </w:pPr>
      <w:r>
        <w:rPr>
          <w:rFonts w:ascii="Fraunces" w:hAnsi="Fraunces" w:eastAsia="Fraunces" w:cs="Fraunces"/>
          <w:b/>
          <w:color w:val="0B0B0F"/>
          <w:sz w:val="28"/>
        </w:rPr>
        <w:t>3.3 · Sprint cadence per wave</w:t>
      </w:r>
    </w:p>
    <w:tbl>
      <w:tblPr>
        <w:tblW w:type="auto" w:w="0"/>
        <w:jc w:val="center"/>
        <w:tblLook w:firstColumn="1" w:firstRow="1" w:lastColumn="0" w:lastRow="0" w:noHBand="0" w:noVBand="1" w:val="04A0"/>
      </w:tblPr>
      <w:tblGrid>
        <w:gridCol w:w="2376"/>
        <w:gridCol w:w="2376"/>
        <w:gridCol w:w="2376"/>
        <w:gridCol w:w="2376"/>
      </w:tblGrid>
      <w:tr>
        <w:tc>
          <w:tcPr>
            <w:tcW w:type="dxa" w:w="259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Wave</w:t>
            </w:r>
          </w:p>
        </w:tc>
        <w:tc>
          <w:tcPr>
            <w:tcW w:type="dxa" w:w="216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Duration</w:t>
            </w:r>
          </w:p>
        </w:tc>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Sprints</w:t>
            </w:r>
          </w:p>
        </w:tc>
        <w:tc>
          <w:tcPr>
            <w:tcW w:type="dxa" w:w="187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Story points</w:t>
            </w:r>
          </w:p>
        </w:tc>
      </w:tr>
      <w:tr>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Approach</w:t>
            </w:r>
          </w:p>
        </w:tc>
        <w:tc>
          <w:tcPr>
            <w:tcW w:type="dxa" w:w="21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3-5 weeks</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A-S01 · A-S02</w:t>
            </w:r>
          </w:p>
        </w:tc>
        <w:tc>
          <w:tcPr>
            <w:tcW w:type="dxa" w:w="187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~22 SP</w:t>
            </w:r>
          </w:p>
        </w:tc>
      </w:tr>
      <w:tr>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W1 Foundation</w:t>
            </w:r>
          </w:p>
        </w:tc>
        <w:tc>
          <w:tcPr>
            <w:tcW w:type="dxa" w:w="21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5-8 months</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W1-S01 → W1-S05 (5 sprints)</w:t>
            </w:r>
          </w:p>
        </w:tc>
        <w:tc>
          <w:tcPr>
            <w:tcW w:type="dxa" w:w="187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~50 SP</w:t>
            </w:r>
          </w:p>
        </w:tc>
      </w:tr>
      <w:tr>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W2 Pilot</w:t>
            </w:r>
          </w:p>
        </w:tc>
        <w:tc>
          <w:tcPr>
            <w:tcW w:type="dxa" w:w="21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8-12 months</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W2-S01 → W2-S04 (4 sprints)</w:t>
            </w:r>
          </w:p>
        </w:tc>
        <w:tc>
          <w:tcPr>
            <w:tcW w:type="dxa" w:w="187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~45 SP</w:t>
            </w:r>
          </w:p>
        </w:tc>
      </w:tr>
      <w:tr>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W3 Scale &amp; Fuse</w:t>
            </w:r>
          </w:p>
        </w:tc>
        <w:tc>
          <w:tcPr>
            <w:tcW w:type="dxa" w:w="21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12-18 months</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W3-S01+ (stub)</w:t>
            </w:r>
          </w:p>
        </w:tc>
        <w:tc>
          <w:tcPr>
            <w:tcW w:type="dxa" w:w="187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~70+ SP</w:t>
            </w:r>
          </w:p>
        </w:tc>
      </w:tr>
    </w:tbl>
    <w:p/>
    <w:tbl>
      <w:tblPr>
        <w:tblW w:type="auto" w:w="0"/>
        <w:jc w:val="center"/>
        <w:tblLook w:firstColumn="1" w:firstRow="1" w:lastColumn="0" w:lastRow="0" w:noHBand="0" w:noVBand="1" w:val="04A0"/>
      </w:tblPr>
      <w:tblGrid>
        <w:gridCol w:w="9504"/>
      </w:tblGrid>
      <w:tr>
        <w:tc>
          <w:tcPr>
            <w:tcW w:type="dxa" w:w="9504"/>
            <w:shd w:val="clear" w:color="auto" w:fill="F6F1E4"/>
          </w:tcPr>
          <w:p>
            <w:r>
              <w:rPr>
                <w:rFonts w:ascii="IBM Plex Sans" w:hAnsi="IBM Plex Sans" w:eastAsia="IBM Plex Sans" w:cs="IBM Plex Sans"/>
              </w:rPr>
            </w:r>
            <w:r>
              <w:rPr>
                <w:rFonts w:ascii="IBM Plex Sans" w:hAnsi="IBM Plex Sans" w:eastAsia="IBM Plex Sans" w:cs="IBM Plex Sans"/>
                <w:b/>
                <w:color w:val="B8892E"/>
                <w:sz w:val="18"/>
              </w:rPr>
              <w:t>NOTE FOR KROGER</w:t>
            </w:r>
          </w:p>
          <w:p>
            <w:pPr>
              <w:spacing w:before="60"/>
            </w:pPr>
            <w:r>
              <w:rPr>
                <w:rFonts w:ascii="IBM Plex Sans" w:hAnsi="IBM Plex Sans" w:eastAsia="IBM Plex Sans" w:cs="IBM Plex Sans"/>
                <w:color w:val="0B0B0F"/>
                <w:sz w:val="21"/>
              </w:rPr>
              <w:t>Kroger does not have a published sprint plan today (we explicitly held that artifact during scoping). The Disney TMT-MED-01 plan is the closest template; the structure ports directly to Kroger with minimal adaptation. We can stand up the Kroger Sprint Plan from the Use Case Catalog (item 3) within 1 week of request.</w:t>
            </w:r>
          </w:p>
        </w:tc>
      </w:tr>
    </w:tbl>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4 · Item 3 · User stories</w:t>
      </w:r>
    </w:p>
    <w:p>
      <w:pPr>
        <w:spacing w:after="120"/>
      </w:pPr>
      <w:r>
        <w:rPr>
          <w:rFonts w:ascii="IBM Plex Sans" w:hAnsi="IBM Plex Sans" w:eastAsia="IBM Plex Sans" w:cs="IBM Plex Sans"/>
          <w:color w:val="0B0B0F"/>
          <w:sz w:val="22"/>
        </w:rPr>
        <w:t>What you asked for: user-story-level scope · how the work decomposes for sprint planning.</w:t>
      </w:r>
    </w:p>
    <w:p>
      <w:pPr>
        <w:pStyle w:val="Heading2"/>
        <w:spacing w:before="200" w:after="80"/>
      </w:pPr>
      <w:r>
        <w:rPr>
          <w:rFonts w:ascii="Fraunces" w:hAnsi="Fraunces" w:eastAsia="Fraunces" w:cs="Fraunces"/>
          <w:b/>
          <w:color w:val="0B0B0F"/>
          <w:sz w:val="28"/>
        </w:rPr>
        <w:t>4.1 · Use Case Catalog (the user-story container)</w:t>
      </w:r>
    </w:p>
    <w:p>
      <w:pPr>
        <w:spacing w:after="120"/>
      </w:pPr>
      <w:r>
        <w:rPr>
          <w:rFonts w:ascii="IBM Plex Sans" w:hAnsi="IBM Plex Sans" w:eastAsia="IBM Plex Sans" w:cs="IBM Plex Sans"/>
          <w:color w:val="0B0B0F"/>
          <w:sz w:val="22"/>
        </w:rPr>
        <w:t>User stories live in the per-engagement Use Case Catalog. Each catalog entry includes: UC ID · title · description · acceptance criteria · dependencies · story points · wave · sprint anchor · KPI driven · persona owner. This is the user-story-level surface the Sprint Plan rolls up from.</w:t>
      </w:r>
    </w:p>
    <w:tbl>
      <w:tblPr>
        <w:tblW w:type="auto" w:w="0"/>
        <w:jc w:val="center"/>
        <w:tblLook w:firstColumn="1" w:firstRow="1" w:lastColumn="0" w:lastRow="0" w:noHBand="0" w:noVBand="1" w:val="04A0"/>
      </w:tblPr>
      <w:tblGrid>
        <w:gridCol w:w="1901"/>
        <w:gridCol w:w="1901"/>
        <w:gridCol w:w="1901"/>
        <w:gridCol w:w="1901"/>
        <w:gridCol w:w="1901"/>
      </w:tblGrid>
      <w:tr>
        <w:tc>
          <w:tcPr>
            <w:tcW w:type="dxa" w:w="259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Catalog</w:t>
            </w:r>
          </w:p>
        </w:tc>
        <w:tc>
          <w:tcPr>
            <w:tcW w:type="dxa" w:w="230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Engagement</w:t>
            </w:r>
          </w:p>
        </w:tc>
        <w:tc>
          <w:tcPr>
            <w:tcW w:type="dxa" w:w="86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UCs</w:t>
            </w:r>
          </w:p>
        </w:tc>
        <w:tc>
          <w:tcPr>
            <w:tcW w:type="dxa" w:w="115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Total SP</w:t>
            </w:r>
          </w:p>
        </w:tc>
        <w:tc>
          <w:tcPr>
            <w:tcW w:type="dxa" w:w="360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Path</w:t>
            </w:r>
          </w:p>
        </w:tc>
      </w:tr>
      <w:tr>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RC-E2E-03 Use Case Catalog</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Kroger (most complete)</w:t>
            </w:r>
          </w:p>
        </w:tc>
        <w:tc>
          <w:tcPr>
            <w:tcW w:type="dxa" w:w="86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24</w:t>
            </w:r>
          </w:p>
        </w:tc>
        <w:tc>
          <w:tcPr>
            <w:tcW w:type="dxa" w:w="115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152</w:t>
            </w:r>
          </w:p>
        </w:tc>
        <w:tc>
          <w:tcPr>
            <w:tcW w:type="dxa" w:w="360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Kroger/.../Services/RC-E2E-03_Assortment-and-Pricing/Tier2-Build/APEX-RC-E2E-03-Use-Case-Catalog.xlsx</w:t>
            </w:r>
          </w:p>
        </w:tc>
      </w:tr>
    </w:tbl>
    <w:p/>
    <w:p>
      <w:pPr>
        <w:pStyle w:val="Heading2"/>
        <w:spacing w:before="200" w:after="80"/>
      </w:pPr>
      <w:r>
        <w:rPr>
          <w:rFonts w:ascii="Fraunces" w:hAnsi="Fraunces" w:eastAsia="Fraunces" w:cs="Fraunces"/>
          <w:b/>
          <w:color w:val="0B0B0F"/>
          <w:sz w:val="28"/>
        </w:rPr>
        <w:t>4.2 · Sample UCs (Kroger RC-E2E-03)</w:t>
      </w:r>
    </w:p>
    <w:p>
      <w:pPr>
        <w:spacing w:after="120"/>
      </w:pPr>
      <w:r>
        <w:rPr>
          <w:rFonts w:ascii="IBM Plex Sans" w:hAnsi="IBM Plex Sans" w:eastAsia="IBM Plex Sans" w:cs="IBM Plex Sans"/>
          <w:color w:val="0B0B0F"/>
          <w:sz w:val="22"/>
        </w:rPr>
        <w:t>Representative use cases from the 24-UC catalog. Each is sized in story points and anchored to a specific sprint. Full catalog is the xlsx referenced above.</w:t>
      </w:r>
    </w:p>
    <w:tbl>
      <w:tblPr>
        <w:tblW w:type="auto" w:w="0"/>
        <w:jc w:val="center"/>
        <w:tblLook w:firstColumn="1" w:firstRow="1" w:lastColumn="0" w:lastRow="0" w:noHBand="0" w:noVBand="1" w:val="04A0"/>
      </w:tblPr>
      <w:tblGrid>
        <w:gridCol w:w="1584"/>
        <w:gridCol w:w="1584"/>
        <w:gridCol w:w="1584"/>
        <w:gridCol w:w="1584"/>
        <w:gridCol w:w="1584"/>
        <w:gridCol w:w="1584"/>
      </w:tblGrid>
      <w:tr>
        <w:tc>
          <w:tcPr>
            <w:tcW w:type="dxa" w:w="100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UC</w:t>
            </w:r>
          </w:p>
        </w:tc>
        <w:tc>
          <w:tcPr>
            <w:tcW w:type="dxa" w:w="374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Title</w:t>
            </w:r>
          </w:p>
        </w:tc>
        <w:tc>
          <w:tcPr>
            <w:tcW w:type="dxa" w:w="7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SP</w:t>
            </w:r>
          </w:p>
        </w:tc>
        <w:tc>
          <w:tcPr>
            <w:tcW w:type="dxa" w:w="100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Wave</w:t>
            </w:r>
          </w:p>
        </w:tc>
        <w:tc>
          <w:tcPr>
            <w:tcW w:type="dxa" w:w="129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Sprint</w:t>
            </w:r>
          </w:p>
        </w:tc>
        <w:tc>
          <w:tcPr>
            <w:tcW w:type="dxa" w:w="230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Persona</w:t>
            </w:r>
          </w:p>
        </w:tc>
      </w:tr>
      <w:tr>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UC-01</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Refrigeration telemetry ingest</w:t>
            </w:r>
          </w:p>
        </w:tc>
        <w:tc>
          <w:tcPr>
            <w:tcW w:type="dxa" w:w="7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8</w:t>
            </w:r>
          </w:p>
        </w:tc>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W1</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W1-S02</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Data Engineering</w:t>
            </w:r>
          </w:p>
        </w:tc>
      </w:tr>
      <w:tr>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UC-03</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Assess agent · excursion characterization</w:t>
            </w:r>
          </w:p>
        </w:tc>
        <w:tc>
          <w:tcPr>
            <w:tcW w:type="dxa" w:w="7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5</w:t>
            </w:r>
          </w:p>
        </w:tc>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W1</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W1-S03</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ML Engineering</w:t>
            </w:r>
          </w:p>
        </w:tc>
      </w:tr>
      <w:tr>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UC-06</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Classify agent · per-SKU disposition</w:t>
            </w:r>
          </w:p>
        </w:tc>
        <w:tc>
          <w:tcPr>
            <w:tcW w:type="dxa" w:w="7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8</w:t>
            </w:r>
          </w:p>
        </w:tc>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W1</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W1-S05</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ML Engineering</w:t>
            </w:r>
          </w:p>
        </w:tc>
      </w:tr>
      <w:tr>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UC-08</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MERML.Price canonical layer</w:t>
            </w:r>
          </w:p>
        </w:tc>
        <w:tc>
          <w:tcPr>
            <w:tcW w:type="dxa" w:w="7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8</w:t>
            </w:r>
          </w:p>
        </w:tc>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W1</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W1-S05</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Data Engineering</w:t>
            </w:r>
          </w:p>
        </w:tc>
      </w:tr>
      <w:tr>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UC-13</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Materiality policy manifest</w:t>
            </w:r>
          </w:p>
        </w:tc>
        <w:tc>
          <w:tcPr>
            <w:tcW w:type="dxa" w:w="7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5</w:t>
            </w:r>
          </w:p>
        </w:tc>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W2</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W2-S03</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Pricing Mgr + Eng Architect</w:t>
            </w:r>
          </w:p>
        </w:tc>
      </w:tr>
      <w:tr>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UC-15</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Adaptive Card delivery + approval</w:t>
            </w:r>
          </w:p>
        </w:tc>
        <w:tc>
          <w:tcPr>
            <w:tcW w:type="dxa" w:w="7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8</w:t>
            </w:r>
          </w:p>
        </w:tc>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W2</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W2-S03</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Frontend Engineering</w:t>
            </w:r>
          </w:p>
        </w:tc>
      </w:tr>
      <w:tr>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UC-19</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LEDGER 14-field audit row write</w:t>
            </w:r>
          </w:p>
        </w:tc>
        <w:tc>
          <w:tcPr>
            <w:tcW w:type="dxa" w:w="7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5</w:t>
            </w:r>
          </w:p>
        </w:tc>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W1</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W1-S04</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Engineering Architect</w:t>
            </w:r>
          </w:p>
        </w:tc>
      </w:tr>
      <w:tr>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UC-21</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FSMA evidence packet generator</w:t>
            </w:r>
          </w:p>
        </w:tc>
        <w:tc>
          <w:tcPr>
            <w:tcW w:type="dxa" w:w="7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8</w:t>
            </w:r>
          </w:p>
        </w:tc>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W2</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W2-S04</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Eng Architect + Privacy</w:t>
            </w:r>
          </w:p>
        </w:tc>
      </w:tr>
      <w:tr>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UC-22</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Cohort segmentation engine</w:t>
            </w:r>
          </w:p>
        </w:tc>
        <w:tc>
          <w:tcPr>
            <w:tcW w:type="dxa" w:w="7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5</w:t>
            </w:r>
          </w:p>
        </w:tc>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W2</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W2-S04</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ML Engineering</w:t>
            </w:r>
          </w:p>
        </w:tc>
      </w:tr>
      <w:tr>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UC-23</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Multi-banner orchestration extension</w:t>
            </w:r>
          </w:p>
        </w:tc>
        <w:tc>
          <w:tcPr>
            <w:tcW w:type="dxa" w:w="7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13</w:t>
            </w:r>
          </w:p>
        </w:tc>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W3</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W3-S01</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Engineering Architect</w:t>
            </w:r>
          </w:p>
        </w:tc>
      </w:tr>
    </w:tbl>
    <w:p/>
    <w:p>
      <w:pPr>
        <w:pStyle w:val="Heading2"/>
        <w:spacing w:before="200" w:after="80"/>
      </w:pPr>
      <w:r>
        <w:rPr>
          <w:rFonts w:ascii="Fraunces" w:hAnsi="Fraunces" w:eastAsia="Fraunces" w:cs="Fraunces"/>
          <w:b/>
          <w:color w:val="0B0B0F"/>
          <w:sz w:val="28"/>
        </w:rPr>
        <w:t>4.3 · UC structure (acceptance criteria pattern)</w:t>
      </w:r>
    </w:p>
    <w:p>
      <w:pPr>
        <w:spacing w:after="120"/>
      </w:pPr>
      <w:r>
        <w:rPr>
          <w:rFonts w:ascii="IBM Plex Sans" w:hAnsi="IBM Plex Sans" w:eastAsia="IBM Plex Sans" w:cs="IBM Plex Sans"/>
          <w:color w:val="0B0B0F"/>
          <w:sz w:val="22"/>
        </w:rPr>
        <w:t>Sample acceptance-criteria pattern from UC-19 (LEDGER 14-field audit row write):</w:t>
      </w:r>
    </w:p>
    <w:p>
      <w:pPr>
        <w:spacing w:before="80" w:after="160"/>
        <w:ind w:left="432"/>
      </w:pPr>
      <w:r>
        <w:rPr>
          <w:rFonts w:ascii="IBM Plex Sans" w:hAnsi="IBM Plex Sans" w:eastAsia="IBM Plex Sans" w:cs="IBM Plex Sans"/>
          <w:color w:val="0B0B0F"/>
          <w:sz w:val="18"/>
        </w:rPr>
        <w:t>UC-19 · LEDGER 14-field audit row write</w:t>
        <w:br/>
        <w:br/>
        <w:t>Description: Closeout audit row to LEDGER per agent decision.</w:t>
        <w:br/>
        <w:br/>
        <w:t>Acceptance Criteria:</w:t>
        <w:br/>
        <w:t xml:space="preserve">  - Audit-row coverage ≥ 99.5% on material decisions</w:t>
        <w:br/>
        <w:t xml:space="preserve">  - All 14 fields populated (trace_id, scenario_id, ...)</w:t>
        <w:br/>
        <w:t xml:space="preserve">  - trace_id-correlated across upstream agent traces</w:t>
        <w:br/>
        <w:t xml:space="preserve">  - Query API returns row by trace_id under 100ms</w:t>
        <w:br/>
        <w:br/>
        <w:t>Dependencies: (none — foundational)</w:t>
        <w:br/>
        <w:t>Story Points: 5</w:t>
        <w:br/>
        <w:t>Wave: W1 · Sprint: W1-S04</w:t>
        <w:br/>
        <w:t>KPI Driven: Audit-row coverage</w:t>
        <w:br/>
        <w:t>Persona Owner: Engineering Architect</w:t>
      </w:r>
    </w:p>
    <w:p>
      <w:pPr>
        <w:pStyle w:val="Heading2"/>
        <w:spacing w:before="200" w:after="80"/>
      </w:pPr>
      <w:r>
        <w:rPr>
          <w:rFonts w:ascii="Fraunces" w:hAnsi="Fraunces" w:eastAsia="Fraunces" w:cs="Fraunces"/>
          <w:b/>
          <w:color w:val="0B0B0F"/>
          <w:sz w:val="28"/>
        </w:rPr>
        <w:t>4.4 · How UCs decompose into sprint tasks</w:t>
      </w:r>
    </w:p>
    <w:p>
      <w:pPr>
        <w:spacing w:after="120"/>
      </w:pPr>
      <w:r>
        <w:rPr>
          <w:rFonts w:ascii="IBM Plex Sans" w:hAnsi="IBM Plex Sans" w:eastAsia="IBM Plex Sans" w:cs="IBM Plex Sans"/>
          <w:color w:val="0B0B0F"/>
          <w:sz w:val="22"/>
        </w:rPr>
        <w:t>Each UC maps to one-to-many tasks in the Sprint Plan. The Sprint Plan sheet column Use Cases lists the UCs each task realizes. Inverse navigation (UC → tasks) is in the Use Case Map sheet. Story points roll up: tasks × subtasks → UC SP → sprint SP → wave SP.</w:t>
      </w:r>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5 · Item 4 · High-level estimates</w:t>
      </w:r>
    </w:p>
    <w:p>
      <w:pPr>
        <w:spacing w:after="120"/>
      </w:pPr>
      <w:r>
        <w:rPr>
          <w:rFonts w:ascii="IBM Plex Sans" w:hAnsi="IBM Plex Sans" w:eastAsia="IBM Plex Sans" w:cs="IBM Plex Sans"/>
          <w:color w:val="0B0B0F"/>
          <w:sz w:val="22"/>
        </w:rPr>
        <w:t>What you asked for: high-level effort and commercial estimates.</w:t>
      </w:r>
    </w:p>
    <w:p>
      <w:pPr>
        <w:pStyle w:val="Heading2"/>
        <w:spacing w:before="200" w:after="80"/>
      </w:pPr>
      <w:r>
        <w:rPr>
          <w:rFonts w:ascii="Fraunces" w:hAnsi="Fraunces" w:eastAsia="Fraunces" w:cs="Fraunces"/>
          <w:b/>
          <w:color w:val="0B0B0F"/>
          <w:sz w:val="28"/>
        </w:rPr>
        <w:t>5.1 · Resource plans (effort + cost)</w:t>
      </w:r>
    </w:p>
    <w:tbl>
      <w:tblPr>
        <w:tblW w:type="auto" w:w="0"/>
        <w:jc w:val="center"/>
        <w:tblLook w:firstColumn="1" w:firstRow="1" w:lastColumn="0" w:lastRow="0" w:noHBand="0" w:noVBand="1" w:val="04A0"/>
      </w:tblPr>
      <w:tblGrid>
        <w:gridCol w:w="3168"/>
        <w:gridCol w:w="3168"/>
        <w:gridCol w:w="3168"/>
      </w:tblGrid>
      <w:tr>
        <w:tc>
          <w:tcPr>
            <w:tcW w:type="dxa" w:w="374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Resource Plan</w:t>
            </w:r>
          </w:p>
        </w:tc>
        <w:tc>
          <w:tcPr>
            <w:tcW w:type="dxa" w:w="244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Engagement</w:t>
            </w:r>
          </w:p>
        </w:tc>
        <w:tc>
          <w:tcPr>
            <w:tcW w:type="dxa" w:w="43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Path</w:t>
            </w:r>
          </w:p>
        </w:tc>
      </w:tr>
      <w:tr>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Disney+ TMT-MED-01-Resource-Plan.xlsx</w:t>
            </w:r>
          </w:p>
        </w:tc>
        <w:tc>
          <w:tcPr>
            <w:tcW w:type="dxa" w:w="244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Disney+ TMT-MED-01</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Industries/TMT/Global_Media_Entertainment/Walt_Disney/02_projects/FY27_Pipeline/subscriber-lifecycle-agentic/deliverables/TMT-MED-01-Resource-Plan.xlsx</w:t>
            </w:r>
          </w:p>
        </w:tc>
      </w:tr>
      <w:tr>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Nike NOAH Resource Plan</w:t>
            </w:r>
          </w:p>
        </w:tc>
        <w:tc>
          <w:tcPr>
            <w:tcW w:type="dxa" w:w="244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Nike RC-E2E-06 · R2R close</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Industries/Consumer/Brands-Lifestyle/Nike/02_projects/FY27_Pipeline/r2r-agentic/deliverables/Nike-R2R-NOAH-Resource-Plan.xlsx</w:t>
            </w:r>
          </w:p>
        </w:tc>
      </w:tr>
    </w:tbl>
    <w:p/>
    <w:p>
      <w:pPr>
        <w:pStyle w:val="Heading2"/>
        <w:spacing w:before="200" w:after="80"/>
      </w:pPr>
      <w:r>
        <w:rPr>
          <w:rFonts w:ascii="Fraunces" w:hAnsi="Fraunces" w:eastAsia="Fraunces" w:cs="Fraunces"/>
          <w:b/>
          <w:color w:val="0B0B0F"/>
          <w:sz w:val="28"/>
        </w:rPr>
        <w:t>5.2 · Resource plan structure (8 sheets)</w:t>
      </w:r>
    </w:p>
    <w:tbl>
      <w:tblPr>
        <w:tblW w:type="auto" w:w="0"/>
        <w:jc w:val="center"/>
        <w:tblLook w:firstColumn="1" w:firstRow="1" w:lastColumn="0" w:lastRow="0" w:noHBand="0" w:noVBand="1" w:val="04A0"/>
      </w:tblPr>
      <w:tblGrid>
        <w:gridCol w:w="4752"/>
        <w:gridCol w:w="4752"/>
      </w:tblGrid>
      <w:tr>
        <w:tc>
          <w:tcPr>
            <w:tcW w:type="dxa" w:w="259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Sheet</w:t>
            </w:r>
          </w:p>
        </w:tc>
        <w:tc>
          <w:tcPr>
            <w:tcW w:type="dxa" w:w="662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What it contains</w:t>
            </w:r>
          </w:p>
        </w:tc>
      </w:tr>
      <w:tr>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README</w:t>
            </w:r>
          </w:p>
        </w:tc>
        <w:tc>
          <w:tcPr>
            <w:tcW w:type="dxa" w:w="662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Workbook map · scope assumptions · independence posture</w:t>
            </w:r>
          </w:p>
        </w:tc>
      </w:tr>
      <w:tr>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Deloitte Staffing</w:t>
            </w:r>
          </w:p>
        </w:tc>
        <w:tc>
          <w:tcPr>
            <w:tcW w:type="dxa" w:w="662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20 roles × 4 waves · daily rate · FTE · dollar load per wave</w:t>
            </w:r>
          </w:p>
        </w:tc>
      </w:tr>
      <w:tr>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Client Staffing</w:t>
            </w:r>
          </w:p>
        </w:tc>
        <w:tc>
          <w:tcPr>
            <w:tcW w:type="dxa" w:w="662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12 client personas · % FTE allocation per wave · implied $ value (informational)</w:t>
            </w:r>
          </w:p>
        </w:tc>
      </w:tr>
      <w:tr>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Microsoft Platform</w:t>
            </w:r>
          </w:p>
        </w:tc>
        <w:tc>
          <w:tcPr>
            <w:tcW w:type="dxa" w:w="662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12 lines (Foundry · Azure OpenAI · Fabric · Storage · Entra · Teams · Power BI · Purview · App Insights · Defender · APIM · Marketplace credit)</w:t>
            </w:r>
          </w:p>
        </w:tc>
      </w:tr>
      <w:tr>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Third-Party &amp; Other</w:t>
            </w:r>
          </w:p>
        </w:tc>
        <w:tc>
          <w:tcPr>
            <w:tcW w:type="dxa" w:w="662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12 lines · vendor specialists · change management · contingency</w:t>
            </w:r>
          </w:p>
        </w:tc>
      </w:tr>
      <w:tr>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Commercial Envelope</w:t>
            </w:r>
          </w:p>
        </w:tc>
        <w:tc>
          <w:tcPr>
            <w:tcW w:type="dxa" w:w="662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Low/Mid/High range × 4 waves · grand total</w:t>
            </w:r>
          </w:p>
        </w:tc>
      </w:tr>
      <w:tr>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Durable Value</w:t>
            </w:r>
          </w:p>
        </w:tc>
        <w:tc>
          <w:tcPr>
            <w:tcW w:type="dxa" w:w="662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6 categories · annualized W3 run-rate value</w:t>
            </w:r>
          </w:p>
        </w:tc>
      </w:tr>
      <w:tr>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ROI · Payback</w:t>
            </w:r>
          </w:p>
        </w:tc>
        <w:tc>
          <w:tcPr>
            <w:tcW w:type="dxa" w:w="662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Time-phased Y1-Y6 · cumulative investment vs. realized return · payback timing</w:t>
            </w:r>
          </w:p>
        </w:tc>
      </w:tr>
    </w:tbl>
    <w:p/>
    <w:p>
      <w:pPr>
        <w:pStyle w:val="Heading2"/>
        <w:spacing w:before="200" w:after="80"/>
      </w:pPr>
      <w:r>
        <w:rPr>
          <w:rFonts w:ascii="Fraunces" w:hAnsi="Fraunces" w:eastAsia="Fraunces" w:cs="Fraunces"/>
          <w:b/>
          <w:color w:val="0B0B0F"/>
          <w:sz w:val="28"/>
        </w:rPr>
        <w:t>5.3 · Commercial envelope reference (per service · 4-tier)</w:t>
      </w:r>
    </w:p>
    <w:tbl>
      <w:tblPr>
        <w:tblW w:type="auto" w:w="0"/>
        <w:jc w:val="center"/>
        <w:tblLook w:firstColumn="1" w:firstRow="1" w:lastColumn="0" w:lastRow="0" w:noHBand="0" w:noVBand="1" w:val="04A0"/>
      </w:tblPr>
      <w:tblGrid>
        <w:gridCol w:w="1901"/>
        <w:gridCol w:w="1901"/>
        <w:gridCol w:w="1901"/>
        <w:gridCol w:w="1901"/>
        <w:gridCol w:w="1901"/>
      </w:tblGrid>
      <w:tr>
        <w:tc>
          <w:tcPr>
            <w:tcW w:type="dxa" w:w="201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Tier</w:t>
            </w:r>
          </w:p>
        </w:tc>
        <w:tc>
          <w:tcPr>
            <w:tcW w:type="dxa" w:w="172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Duration</w:t>
            </w:r>
          </w:p>
        </w:tc>
        <w:tc>
          <w:tcPr>
            <w:tcW w:type="dxa" w:w="201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Mid envelope</w:t>
            </w:r>
          </w:p>
        </w:tc>
        <w:tc>
          <w:tcPr>
            <w:tcW w:type="dxa" w:w="144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Story points</w:t>
            </w:r>
          </w:p>
        </w:tc>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Reference (Disney+ + Kroger)</w:t>
            </w:r>
          </w:p>
        </w:tc>
      </w:tr>
      <w:tr>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Approach</w:t>
            </w:r>
          </w:p>
        </w:tc>
        <w:tc>
          <w:tcPr>
            <w:tcW w:type="dxa" w:w="172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3-5 weeks</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$200K – $500K</w:t>
            </w:r>
          </w:p>
        </w:tc>
        <w:tc>
          <w:tcPr>
            <w:tcW w:type="dxa" w:w="144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22 SP</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Discovery + SOW + Independence routing</w:t>
            </w:r>
          </w:p>
        </w:tc>
      </w:tr>
      <w:tr>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W1 Foundation</w:t>
            </w:r>
          </w:p>
        </w:tc>
        <w:tc>
          <w:tcPr>
            <w:tcW w:type="dxa" w:w="172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5-8 months</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$1.2M – $3.5M</w:t>
            </w:r>
          </w:p>
        </w:tc>
        <w:tc>
          <w:tcPr>
            <w:tcW w:type="dxa" w:w="144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50 SP</w:t>
            </w:r>
          </w:p>
        </w:tc>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Single-banner shadow-run · 3-agent · audit-row e2e</w:t>
            </w:r>
          </w:p>
        </w:tc>
      </w:tr>
      <w:tr>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W2 Pilot</w:t>
            </w:r>
          </w:p>
        </w:tc>
        <w:tc>
          <w:tcPr>
            <w:tcW w:type="dxa" w:w="172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8-12 months</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$5M – $12M</w:t>
            </w:r>
          </w:p>
        </w:tc>
        <w:tc>
          <w:tcPr>
            <w:tcW w:type="dxa" w:w="144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45 SP</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250-store live · 6 agents · 90-day operating run</w:t>
            </w:r>
          </w:p>
        </w:tc>
      </w:tr>
      <w:tr>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W3 Scale &amp; Fuse</w:t>
            </w:r>
          </w:p>
        </w:tc>
        <w:tc>
          <w:tcPr>
            <w:tcW w:type="dxa" w:w="172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12-18 months</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$18M – $45M</w:t>
            </w:r>
          </w:p>
        </w:tc>
        <w:tc>
          <w:tcPr>
            <w:tcW w:type="dxa" w:w="144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70+ SP</w:t>
            </w:r>
          </w:p>
        </w:tc>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Enterprise · multi-banner · scenario fusion</w:t>
            </w:r>
          </w:p>
        </w:tc>
      </w:tr>
      <w:tr>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Cumulative to W3</w:t>
            </w:r>
          </w:p>
        </w:tc>
        <w:tc>
          <w:tcPr>
            <w:tcW w:type="dxa" w:w="172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~3 years</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$24M – $61M</w:t>
            </w:r>
          </w:p>
        </w:tc>
        <w:tc>
          <w:tcPr>
            <w:tcW w:type="dxa" w:w="144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~187 SP</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From Approach signoff to enterprise run-rate</w:t>
            </w:r>
          </w:p>
        </w:tc>
      </w:tr>
    </w:tbl>
    <w:p/>
    <w:p>
      <w:pPr>
        <w:pStyle w:val="Heading2"/>
        <w:spacing w:before="200" w:after="80"/>
      </w:pPr>
      <w:r>
        <w:rPr>
          <w:rFonts w:ascii="Fraunces" w:hAnsi="Fraunces" w:eastAsia="Fraunces" w:cs="Fraunces"/>
          <w:b/>
          <w:color w:val="0B0B0F"/>
          <w:sz w:val="28"/>
        </w:rPr>
        <w:t>5.4 · Story-point benchmark per agent (Kroger RC-E2E-03)</w:t>
      </w:r>
    </w:p>
    <w:p>
      <w:pPr>
        <w:spacing w:after="120"/>
      </w:pPr>
      <w:r>
        <w:rPr>
          <w:rFonts w:ascii="IBM Plex Sans" w:hAnsi="IBM Plex Sans" w:eastAsia="IBM Plex Sans" w:cs="IBM Plex Sans"/>
          <w:color w:val="0B0B0F"/>
          <w:sz w:val="22"/>
        </w:rPr>
        <w:t>From the Use Case Catalog · Story points per agent at first build (W1+W2):</w:t>
      </w:r>
    </w:p>
    <w:tbl>
      <w:tblPr>
        <w:tblW w:type="auto" w:w="0"/>
        <w:jc w:val="center"/>
        <w:tblLook w:firstColumn="1" w:firstRow="1" w:lastColumn="0" w:lastRow="0" w:noHBand="0" w:noVBand="1" w:val="04A0"/>
      </w:tblPr>
      <w:tblGrid>
        <w:gridCol w:w="3168"/>
        <w:gridCol w:w="3168"/>
        <w:gridCol w:w="3168"/>
      </w:tblGrid>
      <w:tr>
        <w:tc>
          <w:tcPr>
            <w:tcW w:type="dxa" w:w="230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Agent</w:t>
            </w:r>
          </w:p>
        </w:tc>
        <w:tc>
          <w:tcPr>
            <w:tcW w:type="dxa" w:w="230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SP at W1+W2</w:t>
            </w:r>
          </w:p>
        </w:tc>
        <w:tc>
          <w:tcPr>
            <w:tcW w:type="dxa" w:w="43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Notes</w:t>
            </w:r>
          </w:p>
        </w:tc>
      </w:tr>
      <w:tr>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Assess</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~18 SP</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Telemetry ingest · excursion characterization</w:t>
            </w:r>
          </w:p>
        </w:tc>
      </w:tr>
      <w:tr>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Classify</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~24 SP</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FSMA policy + ML classifier · highest-leverage agent</w:t>
            </w:r>
          </w:p>
        </w:tc>
      </w:tr>
      <w:tr>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Quantify</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~21 SP</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Markdown decisioning · MERML.Elasticity model integration</w:t>
            </w:r>
          </w:p>
        </w:tc>
      </w:tr>
      <w:tr>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Approve (HITL)</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~13 SP</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Adaptive Card · Entra binding · queue management</w:t>
            </w:r>
          </w:p>
        </w:tc>
      </w:tr>
      <w:tr>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Act</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~13 SP</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POS + vendor + FSMA log · parallel mutation</w:t>
            </w:r>
          </w:p>
        </w:tc>
      </w:tr>
      <w:tr>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Evidence-Write</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~13 SP</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14-field audit row · LEDGER + Purview lineage · FSMA packet</w:t>
            </w:r>
          </w:p>
        </w:tc>
      </w:tr>
    </w:tbl>
    <w:p/>
    <w:p>
      <w:pPr>
        <w:spacing w:after="120"/>
      </w:pPr>
      <w:r>
        <w:rPr>
          <w:rFonts w:ascii="IBM Plex Sans" w:hAnsi="IBM Plex Sans" w:eastAsia="IBM Plex Sans" w:cs="IBM Plex Sans"/>
          <w:i/>
          <w:color w:val="4A4A55"/>
          <w:sz w:val="21"/>
        </w:rPr>
        <w:t>Total ~102 SP for the agent build (excludes Bronze landing, Silver canonical, Power BI semantic models, and Adaptive Card surface — those are additional story points covered in the Sprint Plan).</w:t>
      </w:r>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6 · Item 5 · Detailed scope of discovery</w:t>
      </w:r>
    </w:p>
    <w:p>
      <w:pPr>
        <w:spacing w:after="120"/>
      </w:pPr>
      <w:r>
        <w:rPr>
          <w:rFonts w:ascii="IBM Plex Sans" w:hAnsi="IBM Plex Sans" w:eastAsia="IBM Plex Sans" w:cs="IBM Plex Sans"/>
          <w:color w:val="0B0B0F"/>
          <w:sz w:val="22"/>
        </w:rPr>
        <w:t>What you asked for: discovery-phase scope detail.</w:t>
      </w:r>
    </w:p>
    <w:p>
      <w:pPr>
        <w:pStyle w:val="Heading2"/>
        <w:spacing w:before="200" w:after="80"/>
      </w:pPr>
      <w:r>
        <w:rPr>
          <w:rFonts w:ascii="Fraunces" w:hAnsi="Fraunces" w:eastAsia="Fraunces" w:cs="Fraunces"/>
          <w:b/>
          <w:color w:val="0B0B0F"/>
          <w:sz w:val="28"/>
        </w:rPr>
        <w:t>6.1 · Approach-stage scope (Discovery + SOW build-out)</w:t>
      </w:r>
    </w:p>
    <w:p>
      <w:pPr>
        <w:spacing w:after="120"/>
      </w:pPr>
      <w:r>
        <w:rPr>
          <w:rFonts w:ascii="IBM Plex Sans" w:hAnsi="IBM Plex Sans" w:eastAsia="IBM Plex Sans" w:cs="IBM Plex Sans"/>
          <w:color w:val="0B0B0F"/>
          <w:sz w:val="22"/>
        </w:rPr>
        <w:t>Discovery happens in the Approach stage (3-5 weeks). The Sprint Plan and the engagement Walkthrough Section 1-2 document the Discovery scope in operational detail.</w:t>
      </w:r>
    </w:p>
    <w:tbl>
      <w:tblPr>
        <w:tblW w:type="auto" w:w="0"/>
        <w:jc w:val="center"/>
        <w:tblLook w:firstColumn="1" w:firstRow="1" w:lastColumn="0" w:lastRow="0" w:noHBand="0" w:noVBand="1" w:val="04A0"/>
      </w:tblPr>
      <w:tblGrid>
        <w:gridCol w:w="3168"/>
        <w:gridCol w:w="3168"/>
        <w:gridCol w:w="3168"/>
      </w:tblGrid>
      <w:tr>
        <w:tc>
          <w:tcPr>
            <w:tcW w:type="dxa" w:w="144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Sprint</w:t>
            </w:r>
          </w:p>
        </w:tc>
        <w:tc>
          <w:tcPr>
            <w:tcW w:type="dxa" w:w="374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Sprint name</w:t>
            </w:r>
          </w:p>
        </w:tc>
        <w:tc>
          <w:tcPr>
            <w:tcW w:type="dxa" w:w="43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Tasks · Discovery focus</w:t>
            </w:r>
          </w:p>
        </w:tc>
      </w:tr>
      <w:tr>
        <w:tc>
          <w:tcPr>
            <w:tcW w:type="dxa" w:w="144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A-S01</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Discovery &amp; Scoping</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T1 entity/banner landscape · T2 source-system state of play · T3 stakeholder interview series (10+ personas)</w:t>
            </w:r>
          </w:p>
        </w:tc>
      </w:tr>
      <w:tr>
        <w:tc>
          <w:tcPr>
            <w:tcW w:type="dxa" w:w="144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A-S02</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SOW Build-Out &amp; Independence</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T1 risk register &amp; mitigation plan · T2 commercial envelope sizing · T3 Independence review &amp; SOW drafting</w:t>
            </w:r>
          </w:p>
        </w:tc>
      </w:tr>
    </w:tbl>
    <w:p/>
    <w:p>
      <w:pPr>
        <w:pStyle w:val="Heading2"/>
        <w:spacing w:before="200" w:after="80"/>
      </w:pPr>
      <w:r>
        <w:rPr>
          <w:rFonts w:ascii="Fraunces" w:hAnsi="Fraunces" w:eastAsia="Fraunces" w:cs="Fraunces"/>
          <w:b/>
          <w:color w:val="0B0B0F"/>
          <w:sz w:val="28"/>
        </w:rPr>
        <w:t>6.2 · Stakeholder interview targets (Kroger reference)</w:t>
      </w:r>
    </w:p>
    <w:p>
      <w:pPr>
        <w:spacing w:after="120"/>
      </w:pPr>
      <w:r>
        <w:rPr>
          <w:rFonts w:ascii="IBM Plex Sans" w:hAnsi="IBM Plex Sans" w:eastAsia="IBM Plex Sans" w:cs="IBM Plex Sans"/>
          <w:color w:val="0B0B0F"/>
          <w:sz w:val="22"/>
        </w:rPr>
        <w:t>From the Stakeholder Map · 25 named-or-role stakeholders. Approach-stage interviews focus on the Tier-1 and Tier-2 engagement-priority groups.</w:t>
      </w:r>
    </w:p>
    <w:p>
      <w:pPr>
        <w:pStyle w:val="ListBullet"/>
      </w:pPr>
      <w:r>
        <w:rPr>
          <w:rFonts w:ascii="IBM Plex Sans" w:hAnsi="IBM Plex Sans" w:eastAsia="IBM Plex Sans" w:cs="IBM Plex Sans"/>
          <w:color w:val="0B0B0F"/>
          <w:sz w:val="22"/>
        </w:rPr>
        <w:t>VP Merchandising / Chief Merchant — strategic sponsor candidate</w:t>
      </w:r>
    </w:p>
    <w:p>
      <w:pPr>
        <w:pStyle w:val="ListBullet"/>
      </w:pPr>
      <w:r>
        <w:rPr>
          <w:rFonts w:ascii="IBM Plex Sans" w:hAnsi="IBM Plex Sans" w:eastAsia="IBM Plex Sans" w:cs="IBM Plex Sans"/>
          <w:color w:val="0B0B0F"/>
          <w:sz w:val="22"/>
        </w:rPr>
        <w:t>Senior Category Manager — Dairy (primary persona · daily user)</w:t>
      </w:r>
    </w:p>
    <w:p>
      <w:pPr>
        <w:pStyle w:val="ListBullet"/>
      </w:pPr>
      <w:r>
        <w:rPr>
          <w:rFonts w:ascii="IBM Plex Sans" w:hAnsi="IBM Plex Sans" w:eastAsia="IBM Plex Sans" w:cs="IBM Plex Sans"/>
          <w:color w:val="0B0B0F"/>
          <w:sz w:val="22"/>
        </w:rPr>
        <w:t>Pricing Director — concession-policy authority · likely champion</w:t>
      </w:r>
    </w:p>
    <w:p>
      <w:pPr>
        <w:pStyle w:val="ListBullet"/>
      </w:pPr>
      <w:r>
        <w:rPr>
          <w:rFonts w:ascii="IBM Plex Sans" w:hAnsi="IBM Plex Sans" w:eastAsia="IBM Plex Sans" w:cs="IBM Plex Sans"/>
          <w:color w:val="0B0B0F"/>
          <w:sz w:val="22"/>
        </w:rPr>
        <w:t>VP Quality &amp; Regulatory — FSMA 204 readiness driver</w:t>
      </w:r>
    </w:p>
    <w:p>
      <w:pPr>
        <w:pStyle w:val="ListBullet"/>
      </w:pPr>
      <w:r>
        <w:rPr>
          <w:rFonts w:ascii="IBM Plex Sans" w:hAnsi="IBM Plex Sans" w:eastAsia="IBM Plex Sans" w:cs="IBM Plex Sans"/>
          <w:color w:val="0B0B0F"/>
          <w:sz w:val="22"/>
        </w:rPr>
        <w:t>Food Safety Compliance Lead — co-primary persona</w:t>
      </w:r>
    </w:p>
    <w:p>
      <w:pPr>
        <w:pStyle w:val="ListBullet"/>
      </w:pPr>
      <w:r>
        <w:rPr>
          <w:rFonts w:ascii="IBM Plex Sans" w:hAnsi="IBM Plex Sans" w:eastAsia="IBM Plex Sans" w:cs="IBM Plex Sans"/>
          <w:color w:val="0B0B0F"/>
          <w:sz w:val="22"/>
        </w:rPr>
        <w:t>COO + CFO — Steering Committee chair candidates · ROI signoff</w:t>
      </w:r>
    </w:p>
    <w:p>
      <w:pPr>
        <w:pStyle w:val="ListBullet"/>
      </w:pPr>
      <w:r>
        <w:rPr>
          <w:rFonts w:ascii="IBM Plex Sans" w:hAnsi="IBM Plex Sans" w:eastAsia="IBM Plex Sans" w:cs="IBM Plex Sans"/>
          <w:color w:val="0B0B0F"/>
          <w:sz w:val="22"/>
        </w:rPr>
        <w:t>CIO + CDO + CISO — Microsoft architecture sign-off · 84.51° integration · access scope review</w:t>
      </w:r>
    </w:p>
    <w:p>
      <w:pPr>
        <w:pStyle w:val="ListBullet"/>
      </w:pPr>
      <w:r>
        <w:rPr>
          <w:rFonts w:ascii="IBM Plex Sans" w:hAnsi="IBM Plex Sans" w:eastAsia="IBM Plex Sans" w:cs="IBM Plex Sans"/>
          <w:color w:val="0B0B0F"/>
          <w:sz w:val="22"/>
        </w:rPr>
        <w:t>VP Internal Audit + External Audit PIC — evidence-packet acceptance</w:t>
      </w:r>
    </w:p>
    <w:p>
      <w:pPr>
        <w:pStyle w:val="ListBullet"/>
      </w:pPr>
      <w:r>
        <w:rPr>
          <w:rFonts w:ascii="IBM Plex Sans" w:hAnsi="IBM Plex Sans" w:eastAsia="IBM Plex Sans" w:cs="IBM Plex Sans"/>
          <w:color w:val="0B0B0F"/>
          <w:sz w:val="22"/>
        </w:rPr>
        <w:t>Privacy Office Lead — consent governance · likely strong ally</w:t>
      </w:r>
    </w:p>
    <w:p>
      <w:pPr>
        <w:pStyle w:val="ListBullet"/>
      </w:pPr>
      <w:r>
        <w:rPr>
          <w:rFonts w:ascii="IBM Plex Sans" w:hAnsi="IBM Plex Sans" w:eastAsia="IBM Plex Sans" w:cs="IBM Plex Sans"/>
          <w:color w:val="0B0B0F"/>
          <w:sz w:val="22"/>
        </w:rPr>
        <w:t>Plus secondary roles: District Manager · Store Ops Lead · Vendor Manager · Marketing Ops Director · FDA Relations · Audit Committee chair</w:t>
      </w:r>
    </w:p>
    <w:p>
      <w:pPr>
        <w:pStyle w:val="Heading2"/>
        <w:spacing w:before="200" w:after="80"/>
      </w:pPr>
      <w:r>
        <w:rPr>
          <w:rFonts w:ascii="Fraunces" w:hAnsi="Fraunces" w:eastAsia="Fraunces" w:cs="Fraunces"/>
          <w:b/>
          <w:color w:val="0B0B0F"/>
          <w:sz w:val="28"/>
        </w:rPr>
        <w:t>6.3 · Source-system inventory (must be confirmed in Discovery)</w:t>
      </w:r>
    </w:p>
    <w:p>
      <w:pPr>
        <w:spacing w:after="120"/>
      </w:pPr>
      <w:r>
        <w:rPr>
          <w:rFonts w:ascii="IBM Plex Sans" w:hAnsi="IBM Plex Sans" w:eastAsia="IBM Plex Sans" w:cs="IBM Plex Sans"/>
          <w:color w:val="0B0B0F"/>
          <w:sz w:val="22"/>
        </w:rPr>
        <w:t>Discovery confirms the inventory matches reality. The expected stack:</w:t>
      </w:r>
    </w:p>
    <w:tbl>
      <w:tblPr>
        <w:tblW w:type="auto" w:w="0"/>
        <w:jc w:val="center"/>
        <w:tblLook w:firstColumn="1" w:firstRow="1" w:lastColumn="0" w:lastRow="0" w:noHBand="0" w:noVBand="1" w:val="04A0"/>
      </w:tblPr>
      <w:tblGrid>
        <w:gridCol w:w="3168"/>
        <w:gridCol w:w="3168"/>
        <w:gridCol w:w="3168"/>
      </w:tblGrid>
      <w:tr>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System</w:t>
            </w:r>
          </w:p>
        </w:tc>
        <w:tc>
          <w:tcPr>
            <w:tcW w:type="dxa" w:w="374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Likely vendor</w:t>
            </w:r>
          </w:p>
        </w:tc>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Integration target</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POS</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Toshiba/IBM/NCR per banner</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Eventstream CDC consumer</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Pricing engine</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Revionics + 84.51° (Kroger-specific)</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CDC + nightly snapshot</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WMS</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Manhattan</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Eventstream CDC</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Refrigeration EMS</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Emerson E2E · Honeywell Niagara · Hill PHOENIX</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OPC-UA → MQTT → Eventstream</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Lot-trace</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Trace One · FoodLogiQ + supplier EDI</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Mixed stream + batch</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QMS</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Trace One QMS or in-house</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CDC via Eventstream</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Loyalty</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84.51° platform</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Daily snapshot · read-only</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Refrigeration vendors</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Emerson/Lennox/Hussmann/Hill PHOENIX REST portals</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15-min poll</w:t>
            </w:r>
          </w:p>
        </w:tc>
      </w:tr>
    </w:tbl>
    <w:p/>
    <w:p>
      <w:pPr>
        <w:pStyle w:val="Heading2"/>
        <w:spacing w:before="200" w:after="80"/>
      </w:pPr>
      <w:r>
        <w:rPr>
          <w:rFonts w:ascii="Fraunces" w:hAnsi="Fraunces" w:eastAsia="Fraunces" w:cs="Fraunces"/>
          <w:b/>
          <w:color w:val="0B0B0F"/>
          <w:sz w:val="28"/>
        </w:rPr>
        <w:t>6.4 · Discovery deliverables</w:t>
      </w:r>
    </w:p>
    <w:p>
      <w:pPr>
        <w:pStyle w:val="ListBullet"/>
      </w:pPr>
      <w:r>
        <w:rPr>
          <w:rFonts w:ascii="IBM Plex Sans" w:hAnsi="IBM Plex Sans" w:eastAsia="IBM Plex Sans" w:cs="IBM Plex Sans"/>
          <w:color w:val="0B0B0F"/>
          <w:sz w:val="22"/>
        </w:rPr>
        <w:t>Banner/cluster scope confirmation · Wave-1 anchor cluster identified</w:t>
      </w:r>
    </w:p>
    <w:p>
      <w:pPr>
        <w:pStyle w:val="ListBullet"/>
      </w:pPr>
      <w:r>
        <w:rPr>
          <w:rFonts w:ascii="IBM Plex Sans" w:hAnsi="IBM Plex Sans" w:eastAsia="IBM Plex Sans" w:cs="IBM Plex Sans"/>
          <w:color w:val="0B0B0F"/>
          <w:sz w:val="22"/>
        </w:rPr>
        <w:t>Source-system inventory + access path documented · IT-Sec architecture review scheduled</w:t>
      </w:r>
    </w:p>
    <w:p>
      <w:pPr>
        <w:pStyle w:val="ListBullet"/>
      </w:pPr>
      <w:r>
        <w:rPr>
          <w:rFonts w:ascii="IBM Plex Sans" w:hAnsi="IBM Plex Sans" w:eastAsia="IBM Plex Sans" w:cs="IBM Plex Sans"/>
          <w:color w:val="0B0B0F"/>
          <w:sz w:val="22"/>
        </w:rPr>
        <w:t>10+ persona interview log with pain points quantified</w:t>
      </w:r>
    </w:p>
    <w:p>
      <w:pPr>
        <w:pStyle w:val="ListBullet"/>
      </w:pPr>
      <w:r>
        <w:rPr>
          <w:rFonts w:ascii="IBM Plex Sans" w:hAnsi="IBM Plex Sans" w:eastAsia="IBM Plex Sans" w:cs="IBM Plex Sans"/>
          <w:color w:val="0B0B0F"/>
          <w:sz w:val="22"/>
        </w:rPr>
        <w:t>Risk register populated with 20+ risks · Independence-office routing initiated</w:t>
      </w:r>
    </w:p>
    <w:p>
      <w:pPr>
        <w:pStyle w:val="ListBullet"/>
      </w:pPr>
      <w:r>
        <w:rPr>
          <w:rFonts w:ascii="IBM Plex Sans" w:hAnsi="IBM Plex Sans" w:eastAsia="IBM Plex Sans" w:cs="IBM Plex Sans"/>
          <w:color w:val="0B0B0F"/>
          <w:sz w:val="22"/>
        </w:rPr>
        <w:t>Commercial envelope sized (low/mid/high) · sensitivity analysis on key drivers</w:t>
      </w:r>
    </w:p>
    <w:p>
      <w:pPr>
        <w:pStyle w:val="ListBullet"/>
      </w:pPr>
      <w:r>
        <w:rPr>
          <w:rFonts w:ascii="IBM Plex Sans" w:hAnsi="IBM Plex Sans" w:eastAsia="IBM Plex Sans" w:cs="IBM Plex Sans"/>
          <w:color w:val="0B0B0F"/>
          <w:sz w:val="22"/>
        </w:rPr>
        <w:t>SOW executed with Audit Committee notification · Wave-1 kickoff scheduled</w:t>
      </w:r>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7 · Item 6 · Detailed scope of work</w:t>
      </w:r>
    </w:p>
    <w:p>
      <w:pPr>
        <w:spacing w:after="120"/>
      </w:pPr>
      <w:r>
        <w:rPr>
          <w:rFonts w:ascii="IBM Plex Sans" w:hAnsi="IBM Plex Sans" w:eastAsia="IBM Plex Sans" w:cs="IBM Plex Sans"/>
          <w:color w:val="0B0B0F"/>
          <w:sz w:val="22"/>
        </w:rPr>
        <w:t>What you asked for: detailed scope of work · the most-complete category.</w:t>
      </w:r>
    </w:p>
    <w:p>
      <w:pPr>
        <w:pStyle w:val="Heading2"/>
        <w:spacing w:before="200" w:after="80"/>
      </w:pPr>
      <w:r>
        <w:rPr>
          <w:rFonts w:ascii="Fraunces" w:hAnsi="Fraunces" w:eastAsia="Fraunces" w:cs="Fraunces"/>
          <w:b/>
          <w:color w:val="0B0B0F"/>
          <w:sz w:val="28"/>
        </w:rPr>
        <w:t>7.1 · The detailed-scope artifacts (Kroger reference)</w:t>
      </w:r>
    </w:p>
    <w:tbl>
      <w:tblPr>
        <w:tblW w:type="auto" w:w="0"/>
        <w:jc w:val="center"/>
        <w:tblLook w:firstColumn="1" w:firstRow="1" w:lastColumn="0" w:lastRow="0" w:noHBand="0" w:noVBand="1" w:val="04A0"/>
      </w:tblPr>
      <w:tblGrid>
        <w:gridCol w:w="3168"/>
        <w:gridCol w:w="3168"/>
        <w:gridCol w:w="3168"/>
      </w:tblGrid>
      <w:tr>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Document</w:t>
            </w:r>
          </w:p>
        </w:tc>
        <w:tc>
          <w:tcPr>
            <w:tcW w:type="dxa" w:w="230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Length</w:t>
            </w:r>
          </w:p>
        </w:tc>
        <w:tc>
          <w:tcPr>
            <w:tcW w:type="dxa" w:w="374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What it covers</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Walkthrough</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11 sections + 2 appendices · ~30 pages</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Scenario → Solution → Use Case → Service → Persona → KPI · marquee scenario · 4-wave path</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Solution Architecture Document (SAD)</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10 sections + appendix · ~25 pages</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Integrative · 5-plane mapping · component diagram · deployment topology · network · security · 10 ADRs</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Service Operations Playbook</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7 sections · ~30 pages</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Day-2 ops · 6 SLOs · alerting · on-call · 12 named runbooks · postmortem process</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Test Strategy &amp; Test Plan</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7 sections · ~25 pages</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5-layer test pyramid · pytest + Testcontainers harness · per-UC acceptance · 9 release gates</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Service Roadmap (HTML)</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Visual + 7 sections</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Forward-looking · W1→W4+ · cross-wave dependencies · maturity-band promotion gates</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MCP Server Deep Dive</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9 sections · ~30 pages</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19 MCP tools · 4 categories · JSON-RPC contracts · auth · rate-limiting · failure handling</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Six-Agents Deep Dive + Maturation</w:t>
            </w:r>
          </w:p>
        </w:tc>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7 sections · ~35 pages</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Per-agent deep dives · maturation model W1→W4+ · cross-agent fusion patterns</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AI/ML Model Spec</w:t>
            </w:r>
          </w:p>
        </w:tc>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5 sections · ~25 pages</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3 production models (Risk-Score · Elasticity · Disposition) · features · training · drift detection · bias evaluation</w:t>
            </w:r>
          </w:p>
        </w:tc>
      </w:tr>
    </w:tbl>
    <w:p/>
    <w:p>
      <w:pPr>
        <w:pStyle w:val="Heading2"/>
        <w:spacing w:before="200" w:after="80"/>
      </w:pPr>
      <w:r>
        <w:rPr>
          <w:rFonts w:ascii="Fraunces" w:hAnsi="Fraunces" w:eastAsia="Fraunces" w:cs="Fraunces"/>
          <w:b/>
          <w:color w:val="0B0B0F"/>
          <w:sz w:val="28"/>
        </w:rPr>
        <w:t>7.2 · Per-engagement scope-of-work folder structure</w:t>
      </w:r>
    </w:p>
    <w:p>
      <w:pPr>
        <w:spacing w:after="120"/>
      </w:pPr>
      <w:r>
        <w:rPr>
          <w:rFonts w:ascii="IBM Plex Sans" w:hAnsi="IBM Plex Sans" w:eastAsia="IBM Plex Sans" w:cs="IBM Plex Sans"/>
          <w:color w:val="0B0B0F"/>
          <w:sz w:val="22"/>
        </w:rPr>
        <w:t>Each reference engagement organizes deliverables into a tier-based folder structure. Kroger structure shown as example:</w:t>
      </w:r>
    </w:p>
    <w:p>
      <w:pPr>
        <w:spacing w:before="80" w:after="160"/>
        <w:ind w:left="432"/>
      </w:pPr>
      <w:r>
        <w:rPr>
          <w:rFonts w:ascii="IBM Plex Sans" w:hAnsi="IBM Plex Sans" w:eastAsia="IBM Plex Sans" w:cs="IBM Plex Sans"/>
          <w:color w:val="0B0B0F"/>
          <w:sz w:val="18"/>
        </w:rPr>
        <w:t>Kroger/02_projects/FY27_Pipeline/assortment-pricing-agentic/deliverables/</w:t>
        <w:br/>
        <w:t>├── INDEX.html                                            ← master index</w:t>
        <w:br/>
        <w:t>└── Services/</w:t>
        <w:br/>
        <w:t xml:space="preserve">    ├── RC-E2E-03_Assortment-and-Pricing/                  ← service-specific (12 docs)</w:t>
        <w:br/>
        <w:t xml:space="preserve">    │   ├── Tier0-Foundation/    Walkthrough</w:t>
        <w:br/>
        <w:t xml:space="preserve">    │   ├── Tier1-Executive/     OnePager · ROI Case · Personas</w:t>
        <w:br/>
        <w:t xml:space="preserve">    │   ├── Tier2-Build/         Use Case Catalog · manifests/ · Six-Agents · MCP · Sequence · Demo Script</w:t>
        <w:br/>
        <w:t xml:space="preserve">    │   ├── Tier3-Governance/    Risk Register · Stakeholder Map · Pitch Deck · Demo Script</w:t>
        <w:br/>
        <w:t xml:space="preserve">    │   └── Tier4-Strategic/     Cross-Grocer Comparison</w:t>
        <w:br/>
        <w:t xml:space="preserve">    ├── RC-E2E-09_Product-Tracking/</w:t>
        <w:br/>
        <w:t xml:space="preserve">    │   └── Tier1-Executive/     FSMA-204 Compliance Checklist</w:t>
        <w:br/>
        <w:t xml:space="preserve">    └── Shared-Both-Services/                              ← spans both services (8 docs)</w:t>
        <w:br/>
        <w:t xml:space="preserve">        ├── Tier0-Foundation/    SAD · SOR Bronze-to-Silver · ERD · Service Portfolio</w:t>
        <w:br/>
        <w:t xml:space="preserve">        ├── Tier2-Build/         Fabric Runbook · Operations Playbook · Test Plan</w:t>
        <w:br/>
        <w:t xml:space="preserve">        └── Tier4-Strategic/     AI/ML Model Spec · Privacy &amp; Data Governance · Service Roadmap</w:t>
      </w:r>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8 · Item 7 · Number of agents to be built · scope of each</w:t>
      </w:r>
    </w:p>
    <w:p>
      <w:pPr>
        <w:spacing w:after="120"/>
      </w:pPr>
      <w:r>
        <w:rPr>
          <w:rFonts w:ascii="IBM Plex Sans" w:hAnsi="IBM Plex Sans" w:eastAsia="IBM Plex Sans" w:cs="IBM Plex Sans"/>
          <w:color w:val="0B0B0F"/>
          <w:sz w:val="22"/>
        </w:rPr>
        <w:t>What you asked for: agent count · per-agent scope.</w:t>
      </w:r>
    </w:p>
    <w:tbl>
      <w:tblPr>
        <w:tblW w:type="auto" w:w="0"/>
        <w:jc w:val="center"/>
        <w:tblLook w:firstColumn="1" w:firstRow="1" w:lastColumn="0" w:lastRow="0" w:noHBand="0" w:noVBand="1" w:val="04A0"/>
      </w:tblPr>
      <w:tblGrid>
        <w:gridCol w:w="9504"/>
      </w:tblGrid>
      <w:tr>
        <w:tc>
          <w:tcPr>
            <w:tcW w:type="dxa" w:w="9504"/>
            <w:shd w:val="clear" w:color="auto" w:fill="F6F1E4"/>
          </w:tcPr>
          <w:p>
            <w:r>
              <w:rPr>
                <w:rFonts w:ascii="IBM Plex Sans" w:hAnsi="IBM Plex Sans" w:eastAsia="IBM Plex Sans" w:cs="IBM Plex Sans"/>
              </w:rPr>
            </w:r>
            <w:r>
              <w:rPr>
                <w:rFonts w:ascii="IBM Plex Sans" w:hAnsi="IBM Plex Sans" w:eastAsia="IBM Plex Sans" w:cs="IBM Plex Sans"/>
                <w:b/>
                <w:color w:val="B8892E"/>
                <w:sz w:val="18"/>
              </w:rPr>
              <w:t>THE ARCHITECTURAL PATTERN</w:t>
            </w:r>
          </w:p>
          <w:p>
            <w:pPr>
              <w:spacing w:before="60"/>
            </w:pPr>
            <w:r>
              <w:rPr>
                <w:rFonts w:ascii="IBM Plex Sans" w:hAnsi="IBM Plex Sans" w:eastAsia="IBM Plex Sans" w:cs="IBM Plex Sans"/>
                <w:color w:val="0B0B0F"/>
                <w:sz w:val="21"/>
              </w:rPr>
              <w:t>Six agents per service. Sequential with HITL gate. Same pattern across every reference engagement (Kroger · Disney+ · Nike · GMF). Same audit-row contract. Different domain-specific implementations. This is the reusable building block.</w:t>
            </w:r>
          </w:p>
        </w:tc>
      </w:tr>
    </w:tbl>
    <w:p/>
    <w:p>
      <w:pPr>
        <w:pStyle w:val="Heading2"/>
        <w:spacing w:before="200" w:after="80"/>
      </w:pPr>
      <w:r>
        <w:rPr>
          <w:rFonts w:ascii="Fraunces" w:hAnsi="Fraunces" w:eastAsia="Fraunces" w:cs="Fraunces"/>
          <w:b/>
          <w:color w:val="0B0B0F"/>
          <w:sz w:val="28"/>
        </w:rPr>
        <w:t>8.1 · Six agents per service · the canonical pattern</w:t>
      </w:r>
    </w:p>
    <w:tbl>
      <w:tblPr>
        <w:tblW w:type="auto" w:w="0"/>
        <w:jc w:val="center"/>
        <w:tblLook w:firstColumn="1" w:firstRow="1" w:lastColumn="0" w:lastRow="0" w:noHBand="0" w:noVBand="1" w:val="04A0"/>
      </w:tblPr>
      <w:tblGrid>
        <w:gridCol w:w="3168"/>
        <w:gridCol w:w="3168"/>
        <w:gridCol w:w="3168"/>
      </w:tblGrid>
      <w:tr>
        <w:tc>
          <w:tcPr>
            <w:tcW w:type="dxa" w:w="7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t>
            </w:r>
          </w:p>
        </w:tc>
        <w:tc>
          <w:tcPr>
            <w:tcW w:type="dxa" w:w="259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Agent role</w:t>
            </w:r>
          </w:p>
        </w:tc>
        <w:tc>
          <w:tcPr>
            <w:tcW w:type="dxa" w:w="547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What it does</w:t>
            </w:r>
          </w:p>
        </w:tc>
      </w:tr>
      <w:tr>
        <w:tc>
          <w:tcPr>
            <w:tcW w:type="dxa" w:w="7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w:t>
            </w:r>
          </w:p>
        </w:tc>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Ingest / Sense</w:t>
            </w:r>
          </w:p>
        </w:tc>
        <w:tc>
          <w:tcPr>
            <w:tcW w:type="dxa" w:w="547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Read source data · normalize to canonical schema · trigger downstream</w:t>
            </w:r>
          </w:p>
        </w:tc>
      </w:tr>
      <w:tr>
        <w:tc>
          <w:tcPr>
            <w:tcW w:type="dxa" w:w="7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2</w:t>
            </w:r>
          </w:p>
        </w:tc>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Validate / Score</w:t>
            </w:r>
          </w:p>
        </w:tc>
        <w:tc>
          <w:tcPr>
            <w:tcW w:type="dxa" w:w="547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Cross-check completeness · score risk/severity · escalation triggers</w:t>
            </w:r>
          </w:p>
        </w:tc>
      </w:tr>
      <w:tr>
        <w:tc>
          <w:tcPr>
            <w:tcW w:type="dxa" w:w="7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3</w:t>
            </w:r>
          </w:p>
        </w:tc>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Reason / Compute</w:t>
            </w:r>
          </w:p>
        </w:tc>
        <w:tc>
          <w:tcPr>
            <w:tcW w:type="dxa" w:w="547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Apply policy + ML · compute decision recommendation with confidence</w:t>
            </w:r>
          </w:p>
        </w:tc>
      </w:tr>
      <w:tr>
        <w:tc>
          <w:tcPr>
            <w:tcW w:type="dxa" w:w="7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4</w:t>
            </w:r>
          </w:p>
        </w:tc>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Compose / Decide</w:t>
            </w:r>
          </w:p>
        </w:tc>
        <w:tc>
          <w:tcPr>
            <w:tcW w:type="dxa" w:w="547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Assemble decision · narrative · stipulations · adverse-action where required</w:t>
            </w:r>
          </w:p>
        </w:tc>
      </w:tr>
      <w:tr>
        <w:tc>
          <w:tcPr>
            <w:tcW w:type="dxa" w:w="7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5</w:t>
            </w:r>
          </w:p>
        </w:tc>
        <w:tc>
          <w:tcPr>
            <w:tcW w:type="dxa" w:w="259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Approve (HITL)</w:t>
            </w:r>
          </w:p>
        </w:tc>
        <w:tc>
          <w:tcPr>
            <w:tcW w:type="dxa" w:w="547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Route material decisions to named persona via Microsoft Teams Adaptive Card</w:t>
            </w:r>
          </w:p>
        </w:tc>
      </w:tr>
      <w:tr>
        <w:tc>
          <w:tcPr>
            <w:tcW w:type="dxa" w:w="7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6</w:t>
            </w:r>
          </w:p>
        </w:tc>
        <w:tc>
          <w:tcPr>
            <w:tcW w:type="dxa" w:w="259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Act + Evidence-Write</w:t>
            </w:r>
          </w:p>
        </w:tc>
        <w:tc>
          <w:tcPr>
            <w:tcW w:type="dxa" w:w="547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Mutate downstream systems · compose 14-field audit row · LEDGER write · Purview lineage</w:t>
            </w:r>
          </w:p>
        </w:tc>
      </w:tr>
    </w:tbl>
    <w:p/>
    <w:p>
      <w:pPr>
        <w:pStyle w:val="Heading2"/>
        <w:spacing w:before="200" w:after="80"/>
      </w:pPr>
      <w:r>
        <w:rPr>
          <w:rFonts w:ascii="Fraunces" w:hAnsi="Fraunces" w:eastAsia="Fraunces" w:cs="Fraunces"/>
          <w:b/>
          <w:color w:val="0B0B0F"/>
          <w:sz w:val="28"/>
        </w:rPr>
        <w:t>8.2 · How the pattern instantiates per engagement</w:t>
      </w:r>
    </w:p>
    <w:tbl>
      <w:tblPr>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Engagement</w:t>
            </w:r>
          </w:p>
        </w:tc>
        <w:tc>
          <w:tcPr>
            <w:tcW w:type="dxa" w:w="129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Agent 1</w:t>
            </w:r>
          </w:p>
        </w:tc>
        <w:tc>
          <w:tcPr>
            <w:tcW w:type="dxa" w:w="129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Agent 2</w:t>
            </w:r>
          </w:p>
        </w:tc>
        <w:tc>
          <w:tcPr>
            <w:tcW w:type="dxa" w:w="129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Agent 3</w:t>
            </w:r>
          </w:p>
        </w:tc>
        <w:tc>
          <w:tcPr>
            <w:tcW w:type="dxa" w:w="129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Agent 4</w:t>
            </w:r>
          </w:p>
        </w:tc>
        <w:tc>
          <w:tcPr>
            <w:tcW w:type="dxa" w:w="1152"/>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Agent 5</w:t>
            </w:r>
          </w:p>
        </w:tc>
        <w:tc>
          <w:tcPr>
            <w:tcW w:type="dxa" w:w="144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Agent 6</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Kroger RC-E2E-03 (cold-chain)</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Assess</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Classify</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Quantify</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(merged with 4)</w:t>
            </w:r>
          </w:p>
        </w:tc>
        <w:tc>
          <w:tcPr>
            <w:tcW w:type="dxa" w:w="115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Approve</w:t>
            </w:r>
          </w:p>
        </w:tc>
        <w:tc>
          <w:tcPr>
            <w:tcW w:type="dxa" w:w="144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Act + Evidence-Write</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Disney+ TMT-MED-01 (subscriber)</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Engagement-Sense</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Risk-Score</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Content-Match</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Offer-Compose</w:t>
            </w:r>
          </w:p>
        </w:tc>
        <w:tc>
          <w:tcPr>
            <w:tcW w:type="dxa" w:w="115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Outreach-Dispatch</w:t>
            </w:r>
          </w:p>
        </w:tc>
        <w:tc>
          <w:tcPr>
            <w:tcW w:type="dxa" w:w="144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Outcome-Attribute</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Nike RC-E2E-06 (R2R close)</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Balance-Fetch</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Interco-Match</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FX-Reval/Accrual</w:t>
            </w:r>
          </w:p>
        </w:tc>
        <w:tc>
          <w:tcPr>
            <w:tcW w:type="dxa" w:w="129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JE-Compose</w:t>
            </w:r>
          </w:p>
        </w:tc>
        <w:tc>
          <w:tcPr>
            <w:tcW w:type="dxa" w:w="1152"/>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(implicit HITL)</w:t>
            </w:r>
          </w:p>
        </w:tc>
        <w:tc>
          <w:tcPr>
            <w:tcW w:type="dxa" w:w="144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Evidence-Write</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GMF AXLE-FIN-01 (loan UW)</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Ingest</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Validate</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Underwrite</w:t>
            </w:r>
          </w:p>
        </w:tc>
        <w:tc>
          <w:tcPr>
            <w:tcW w:type="dxa" w:w="129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Decide</w:t>
            </w:r>
          </w:p>
        </w:tc>
        <w:tc>
          <w:tcPr>
            <w:tcW w:type="dxa" w:w="1152"/>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Approve</w:t>
            </w:r>
          </w:p>
        </w:tc>
        <w:tc>
          <w:tcPr>
            <w:tcW w:type="dxa" w:w="144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Commit</w:t>
            </w:r>
          </w:p>
        </w:tc>
      </w:tr>
    </w:tbl>
    <w:p/>
    <w:p>
      <w:pPr>
        <w:pStyle w:val="Heading2"/>
        <w:spacing w:before="200" w:after="80"/>
      </w:pPr>
      <w:r>
        <w:rPr>
          <w:rFonts w:ascii="Fraunces" w:hAnsi="Fraunces" w:eastAsia="Fraunces" w:cs="Fraunces"/>
          <w:b/>
          <w:color w:val="0B0B0F"/>
          <w:sz w:val="28"/>
        </w:rPr>
        <w:t>8.3 · Per-agent specifications (manifests + deep dive)</w:t>
      </w:r>
    </w:p>
    <w:tbl>
      <w:tblPr>
        <w:tblW w:type="auto" w:w="0"/>
        <w:jc w:val="center"/>
        <w:tblLook w:firstColumn="1" w:firstRow="1" w:lastColumn="0" w:lastRow="0" w:noHBand="0" w:noVBand="1" w:val="04A0"/>
      </w:tblPr>
      <w:tblGrid>
        <w:gridCol w:w="3168"/>
        <w:gridCol w:w="3168"/>
        <w:gridCol w:w="3168"/>
      </w:tblGrid>
      <w:tr>
        <w:tc>
          <w:tcPr>
            <w:tcW w:type="dxa" w:w="316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Artifact</w:t>
            </w:r>
          </w:p>
        </w:tc>
        <w:tc>
          <w:tcPr>
            <w:tcW w:type="dxa" w:w="374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Path</w:t>
            </w:r>
          </w:p>
        </w:tc>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What it specifies</w:t>
            </w:r>
          </w:p>
        </w:tc>
      </w:tr>
      <w:tr>
        <w:tc>
          <w:tcPr>
            <w:tcW w:type="dxa" w:w="316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Per-agent manifest YAML files (7)</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Kroger/.../Tier2-Build/manifests/ (parent-orchestrator · 5 agent yamls · materiality-policy)</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Capability tags · tools · HITL gate · prompt refs · evaluation pack · observability</w:t>
            </w:r>
          </w:p>
        </w:tc>
      </w:tr>
      <w:tr>
        <w:tc>
          <w:tcPr>
            <w:tcW w:type="dxa" w:w="316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Six-Agents Deep Dive + Maturation</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Kroger/.../Tier2-Build/APEX-RC-E2E-03-Six-Agents-Deep-Dive-and-Maturation.docx</w:t>
            </w:r>
          </w:p>
        </w:tc>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Per-agent deep dive: purpose · inputs · outputs · tools · HITL · failure modes · audit-row · maturation roadmap W1→W4+</w:t>
            </w:r>
          </w:p>
        </w:tc>
      </w:tr>
      <w:tr>
        <w:tc>
          <w:tcPr>
            <w:tcW w:type="dxa" w:w="316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Six-Agents Architecture (per service)</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GMF/.../Tier2-Build/APEX-AXLE-FIN-01-Six-Agents-Architecture.docx</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GMF-specific: Doc Intelligence + Foundry agent runtime · 16 capability tags · ECOA narrative compliance hooks</w:t>
            </w:r>
          </w:p>
        </w:tc>
      </w:tr>
    </w:tbl>
    <w:p/>
    <w:p>
      <w:pPr>
        <w:pStyle w:val="Heading2"/>
        <w:spacing w:before="200" w:after="80"/>
      </w:pPr>
      <w:r>
        <w:rPr>
          <w:rFonts w:ascii="Fraunces" w:hAnsi="Fraunces" w:eastAsia="Fraunces" w:cs="Fraunces"/>
          <w:b/>
          <w:color w:val="0B0B0F"/>
          <w:sz w:val="28"/>
        </w:rPr>
        <w:t>8.4 · Sample per-agent spec (Assess agent · Kroger)</w:t>
      </w:r>
    </w:p>
    <w:p>
      <w:pPr>
        <w:spacing w:after="120"/>
      </w:pPr>
      <w:r>
        <w:rPr>
          <w:rFonts w:ascii="IBM Plex Sans" w:hAnsi="IBM Plex Sans" w:eastAsia="IBM Plex Sans" w:cs="IBM Plex Sans"/>
          <w:color w:val="0B0B0F"/>
          <w:sz w:val="22"/>
        </w:rPr>
        <w:t>From the Six-Agents Deep Dive · representative scope for one agent. Each of the 6 agents has equivalent depth.</w:t>
      </w:r>
    </w:p>
    <w:p>
      <w:pPr>
        <w:spacing w:before="80" w:after="160"/>
        <w:ind w:left="432"/>
      </w:pPr>
      <w:r>
        <w:rPr>
          <w:rFonts w:ascii="IBM Plex Sans" w:hAnsi="IBM Plex Sans" w:eastAsia="IBM Plex Sans" w:cs="IBM Plex Sans"/>
          <w:color w:val="0B0B0F"/>
          <w:sz w:val="18"/>
        </w:rPr>
        <w:t>Agent · Assess (Kroger RC-E2E-03)</w:t>
        <w:br/>
        <w:t>Purpose: Characterize the cold-chain excursion event</w:t>
        <w:br/>
        <w:t>Inputs:</w:t>
        <w:br/>
        <w:t xml:space="preserve">  - BRZ.RC.REFRIG_TELEMETRY · 30-min window</w:t>
        <w:br/>
        <w:t xml:space="preserve">  - SCML.Fixture (Silver)</w:t>
        <w:br/>
        <w:t xml:space="preserve">  - BRZ.RC.REFRIG_SERVICE · failure history</w:t>
        <w:br/>
        <w:t>Outputs: ExcursionProfile (peak_temp · duration · severity · confidence)</w:t>
        <w:br/>
        <w:t>Tools (capability tags):</w:t>
        <w:br/>
        <w:t xml:space="preserve">  - cap:telemetry-window-query</w:t>
        <w:br/>
        <w:t xml:space="preserve">  - cap:fixture-state-lookup</w:t>
        <w:br/>
        <w:t xml:space="preserve">  - cap:fixture-failure-history</w:t>
        <w:br/>
        <w:t xml:space="preserve">  - cap:risk-score (ML inference)</w:t>
        <w:br/>
        <w:t xml:space="preserve">  - cap:ledger-write (audit row capture)</w:t>
        <w:br/>
        <w:t>HITL gate: ZERO_TOUCH (deterministic)</w:t>
        <w:br/>
        <w:t>Failure modes: telemetry sensor offline · window data incomplete · sensor anomaly · multi-fixture cascade</w:t>
        <w:br/>
        <w:t>Audit row: 'capture' row at output time with version stamps + confidence + decision class</w:t>
      </w:r>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9 · Item 8 · Data readiness and data preparation requirements</w:t>
      </w:r>
    </w:p>
    <w:p>
      <w:pPr>
        <w:spacing w:after="120"/>
      </w:pPr>
      <w:r>
        <w:rPr>
          <w:rFonts w:ascii="IBM Plex Sans" w:hAnsi="IBM Plex Sans" w:eastAsia="IBM Plex Sans" w:cs="IBM Plex Sans"/>
          <w:color w:val="0B0B0F"/>
          <w:sz w:val="22"/>
        </w:rPr>
        <w:t>What you asked for: data readiness assessment · data prep requirements.</w:t>
      </w:r>
    </w:p>
    <w:p>
      <w:pPr>
        <w:pStyle w:val="Heading2"/>
        <w:spacing w:before="200" w:after="80"/>
      </w:pPr>
      <w:r>
        <w:rPr>
          <w:rFonts w:ascii="Fraunces" w:hAnsi="Fraunces" w:eastAsia="Fraunces" w:cs="Fraunces"/>
          <w:b/>
          <w:color w:val="0B0B0F"/>
          <w:sz w:val="28"/>
        </w:rPr>
        <w:t>9.1 · Data architecture documents</w:t>
      </w:r>
    </w:p>
    <w:tbl>
      <w:tblPr>
        <w:tblW w:type="auto" w:w="0"/>
        <w:jc w:val="center"/>
        <w:tblLook w:firstColumn="1" w:firstRow="1" w:lastColumn="0" w:lastRow="0" w:noHBand="0" w:noVBand="1" w:val="04A0"/>
      </w:tblPr>
      <w:tblGrid>
        <w:gridCol w:w="3168"/>
        <w:gridCol w:w="3168"/>
        <w:gridCol w:w="3168"/>
      </w:tblGrid>
      <w:tr>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Document</w:t>
            </w:r>
          </w:p>
        </w:tc>
        <w:tc>
          <w:tcPr>
            <w:tcW w:type="dxa" w:w="43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What it covers</w:t>
            </w:r>
          </w:p>
        </w:tc>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Path</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SOR Bronze-to-Silver</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12 Bronze tables · field-level specs · refresh cadence · Bronze→Silver canonical mapping (MERML + SCML)</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Kroger/.../Shared-Both-Services/Tier0-Foundation/APEX-RC-E2E-03-09-SOR-Bronze-to-Silver.docx</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SOR ERD (interactive HTML)</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Visual ERD · 12 Bronze tables · 16 FK relationships · 232 fields · light/dark theme</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Same folder · APEX-RC-E2E-03-09-SOR-ERD.html</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Fabric Implementation Runbook</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Step-by-step Fabric build · workspace setup · Eventstream + Data Factory · Delta partitioning · Silver builds · Power BI semantic models</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Same folder/.../Tier2-Build/APEX-RC-E2E-03-09-Fabric-Runbook.docx</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Privacy &amp; Data Governance Spec</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Consent state machine · data residency · RBAC · Purview tagging · retention · FSMA 204 governance overlay</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Tier4-Strategic/APEX-RC-E2E-03-09-Privacy-Data-Governance-Spec.docx</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AppTrac SOR Integration (GMF reference)</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10 Bronze tables for AppTrac · FINML canonical · 6 read + 5 write touchpoints · idempotency · compensating actions</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GMF/.../Tier0-Foundation/APEX-AXLE-FIN-01-AppTrac-SOR-Integration.docx</w:t>
            </w:r>
          </w:p>
        </w:tc>
      </w:tr>
    </w:tbl>
    <w:p/>
    <w:p>
      <w:pPr>
        <w:pStyle w:val="Heading2"/>
        <w:spacing w:before="200" w:after="80"/>
      </w:pPr>
      <w:r>
        <w:rPr>
          <w:rFonts w:ascii="Fraunces" w:hAnsi="Fraunces" w:eastAsia="Fraunces" w:cs="Fraunces"/>
          <w:b/>
          <w:color w:val="0B0B0F"/>
          <w:sz w:val="28"/>
        </w:rPr>
        <w:t>9.2 · The 12 Bronze tables (Kroger reference)</w:t>
      </w:r>
    </w:p>
    <w:tbl>
      <w:tblPr>
        <w:tblW w:type="auto" w:w="0"/>
        <w:jc w:val="center"/>
        <w:tblLook w:firstColumn="1" w:firstRow="1" w:lastColumn="0" w:lastRow="0" w:noHBand="0" w:noVBand="1" w:val="04A0"/>
      </w:tblPr>
      <w:tblGrid>
        <w:gridCol w:w="2376"/>
        <w:gridCol w:w="2376"/>
        <w:gridCol w:w="2376"/>
        <w:gridCol w:w="2376"/>
      </w:tblGrid>
      <w:tr>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Bronze table</w:t>
            </w:r>
          </w:p>
        </w:tc>
        <w:tc>
          <w:tcPr>
            <w:tcW w:type="dxa" w:w="316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Source</w:t>
            </w:r>
          </w:p>
        </w:tc>
        <w:tc>
          <w:tcPr>
            <w:tcW w:type="dxa" w:w="216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Refresh</w:t>
            </w:r>
          </w:p>
        </w:tc>
        <w:tc>
          <w:tcPr>
            <w:tcW w:type="dxa" w:w="201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Latency SLO</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BRZ.RC.POS_TXN</w:t>
            </w:r>
          </w:p>
        </w:tc>
        <w:tc>
          <w:tcPr>
            <w:tcW w:type="dxa" w:w="316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Toshiba/IBM/NCR POS via CDC</w:t>
            </w:r>
          </w:p>
        </w:tc>
        <w:tc>
          <w:tcPr>
            <w:tcW w:type="dxa" w:w="21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Streaming</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60 sec</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BRZ.RC.ITEM_MASTER</w:t>
            </w:r>
          </w:p>
        </w:tc>
        <w:tc>
          <w:tcPr>
            <w:tcW w:type="dxa" w:w="316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PIM · daily batch + CDC</w:t>
            </w:r>
          </w:p>
        </w:tc>
        <w:tc>
          <w:tcPr>
            <w:tcW w:type="dxa" w:w="21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Daily 02:00 UTC</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T+24h</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BRZ.RC.PRICING</w:t>
            </w:r>
          </w:p>
        </w:tc>
        <w:tc>
          <w:tcPr>
            <w:tcW w:type="dxa" w:w="316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Revionics + 84.51° pricing engine</w:t>
            </w:r>
          </w:p>
        </w:tc>
        <w:tc>
          <w:tcPr>
            <w:tcW w:type="dxa" w:w="21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Streaming + nightly</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5 min</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BRZ.RC.PROMO_MARKDOWN</w:t>
            </w:r>
          </w:p>
        </w:tc>
        <w:tc>
          <w:tcPr>
            <w:tcW w:type="dxa" w:w="316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Revionics Markdown · ad-system</w:t>
            </w:r>
          </w:p>
        </w:tc>
        <w:tc>
          <w:tcPr>
            <w:tcW w:type="dxa" w:w="21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Daily + on-publish</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15 min</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BRZ.RC.INVENTORY</w:t>
            </w:r>
          </w:p>
        </w:tc>
        <w:tc>
          <w:tcPr>
            <w:tcW w:type="dxa" w:w="316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SAP IM · Manhattan WMS</w:t>
            </w:r>
          </w:p>
        </w:tc>
        <w:tc>
          <w:tcPr>
            <w:tcW w:type="dxa" w:w="21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Hourly + delta CDC</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90 min</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BRZ.RC.REFRIG_TELEMETRY</w:t>
            </w:r>
          </w:p>
        </w:tc>
        <w:tc>
          <w:tcPr>
            <w:tcW w:type="dxa" w:w="316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Emerson/Honeywell/Hill PHOENIX EMS · MQTT</w:t>
            </w:r>
          </w:p>
        </w:tc>
        <w:tc>
          <w:tcPr>
            <w:tcW w:type="dxa" w:w="21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Streaming</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30 sec** (highest priority)</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BRZ.RC.REFRIG_SERVICE</w:t>
            </w:r>
          </w:p>
        </w:tc>
        <w:tc>
          <w:tcPr>
            <w:tcW w:type="dxa" w:w="316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Emerson/Lennox/Hussmann/Hill PHOENIX (REST)</w:t>
            </w:r>
          </w:p>
        </w:tc>
        <w:tc>
          <w:tcPr>
            <w:tcW w:type="dxa" w:w="21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15-min poll</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30 min</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BRZ.RC.FOOD_SAFETY</w:t>
            </w:r>
          </w:p>
        </w:tc>
        <w:tc>
          <w:tcPr>
            <w:tcW w:type="dxa" w:w="316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QMS (Trace One) · CDC</w:t>
            </w:r>
          </w:p>
        </w:tc>
        <w:tc>
          <w:tcPr>
            <w:tcW w:type="dxa" w:w="21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Streaming</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60 sec</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BRZ.RC.LOT_TRACE</w:t>
            </w:r>
          </w:p>
        </w:tc>
        <w:tc>
          <w:tcPr>
            <w:tcW w:type="dxa" w:w="316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Trace One · FoodLogiQ · supplier EDI</w:t>
            </w:r>
          </w:p>
        </w:tc>
        <w:tc>
          <w:tcPr>
            <w:tcW w:type="dxa" w:w="21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Mixed stream + batch</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4 hr (FSMA SLA)</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BRZ.RC.VENDOR_MASTER</w:t>
            </w:r>
          </w:p>
        </w:tc>
        <w:tc>
          <w:tcPr>
            <w:tcW w:type="dxa" w:w="316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Vendor master + supplier portal</w:t>
            </w:r>
          </w:p>
        </w:tc>
        <w:tc>
          <w:tcPr>
            <w:tcW w:type="dxa" w:w="21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Weekly Sun 03:00 UTC</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T+7d</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BRZ.RC.RECEIPT</w:t>
            </w:r>
          </w:p>
        </w:tc>
        <w:tc>
          <w:tcPr>
            <w:tcW w:type="dxa" w:w="316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Manhattan WMS · CDC</w:t>
            </w:r>
          </w:p>
        </w:tc>
        <w:tc>
          <w:tcPr>
            <w:tcW w:type="dxa" w:w="21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Streaming</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5 min</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BRZ.RC.LOYALTY_HH</w:t>
            </w:r>
          </w:p>
        </w:tc>
        <w:tc>
          <w:tcPr>
            <w:tcW w:type="dxa" w:w="316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84.51° loyalty platform (read-only)</w:t>
            </w:r>
          </w:p>
        </w:tc>
        <w:tc>
          <w:tcPr>
            <w:tcW w:type="dxa" w:w="21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Daily 04:00 UTC</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T+24h</w:t>
            </w:r>
          </w:p>
        </w:tc>
      </w:tr>
    </w:tbl>
    <w:p/>
    <w:p>
      <w:pPr>
        <w:pStyle w:val="Heading2"/>
        <w:spacing w:before="200" w:after="80"/>
      </w:pPr>
      <w:r>
        <w:rPr>
          <w:rFonts w:ascii="Fraunces" w:hAnsi="Fraunces" w:eastAsia="Fraunces" w:cs="Fraunces"/>
          <w:b/>
          <w:color w:val="0B0B0F"/>
          <w:sz w:val="28"/>
        </w:rPr>
        <w:t>9.3 · Silver canonical layer (MERML + SCML)</w:t>
      </w:r>
    </w:p>
    <w:tbl>
      <w:tblPr>
        <w:tblW w:type="auto" w:w="0"/>
        <w:jc w:val="center"/>
        <w:tblLook w:firstColumn="1" w:firstRow="1" w:lastColumn="0" w:lastRow="0" w:noHBand="0" w:noVBand="1" w:val="04A0"/>
      </w:tblPr>
      <w:tblGrid>
        <w:gridCol w:w="4752"/>
        <w:gridCol w:w="4752"/>
      </w:tblGrid>
      <w:tr>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Family</w:t>
            </w:r>
          </w:p>
        </w:tc>
        <w:tc>
          <w:tcPr>
            <w:tcW w:type="dxa" w:w="633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Shapes</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MERML (Merchandising)</w:t>
            </w:r>
          </w:p>
        </w:tc>
        <w:tc>
          <w:tcPr>
            <w:tcW w:type="dxa" w:w="633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MERML.Price · MERML.Markdown · MERML.Elasticity · MERML.Promotion</w:t>
            </w:r>
          </w:p>
        </w:tc>
      </w:tr>
      <w:tr>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SCML (Supply Chain &amp; Lot)</w:t>
            </w:r>
          </w:p>
        </w:tc>
        <w:tc>
          <w:tcPr>
            <w:tcW w:type="dxa" w:w="633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SCML.Lot · SCML.Inventory · SCML.Fixture · SCML.Receipt · SCML.Disposition</w:t>
            </w:r>
          </w:p>
        </w:tc>
      </w:tr>
      <w:tr>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Dimensional helpers</w:t>
            </w:r>
          </w:p>
        </w:tc>
        <w:tc>
          <w:tcPr>
            <w:tcW w:type="dxa" w:w="633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DIM.Item (SCD2) · DIM.Vendor (SCD2) · DIM.Household (SCD1 privacy-respecting)</w:t>
            </w:r>
          </w:p>
        </w:tc>
      </w:tr>
    </w:tbl>
    <w:p/>
    <w:p>
      <w:pPr>
        <w:pStyle w:val="Heading2"/>
        <w:spacing w:before="200" w:after="80"/>
      </w:pPr>
      <w:r>
        <w:rPr>
          <w:rFonts w:ascii="Fraunces" w:hAnsi="Fraunces" w:eastAsia="Fraunces" w:cs="Fraunces"/>
          <w:b/>
          <w:color w:val="0B0B0F"/>
          <w:sz w:val="28"/>
        </w:rPr>
        <w:t>9.4 · Data preparation requirements</w:t>
      </w:r>
    </w:p>
    <w:p>
      <w:pPr>
        <w:pStyle w:val="ListBullet"/>
      </w:pPr>
      <w:r>
        <w:rPr>
          <w:rFonts w:ascii="IBM Plex Sans" w:hAnsi="IBM Plex Sans" w:eastAsia="IBM Plex Sans" w:cs="IBM Plex Sans"/>
          <w:color w:val="0B0B0F"/>
          <w:sz w:val="22"/>
        </w:rPr>
        <w:t>Schema validation at Bronze land-time · Great Expectations or equivalent DQ pack</w:t>
      </w:r>
    </w:p>
    <w:p>
      <w:pPr>
        <w:pStyle w:val="ListBullet"/>
      </w:pPr>
      <w:r>
        <w:rPr>
          <w:rFonts w:ascii="IBM Plex Sans" w:hAnsi="IBM Plex Sans" w:eastAsia="IBM Plex Sans" w:cs="IBM Plex Sans"/>
          <w:color w:val="0B0B0F"/>
          <w:sz w:val="22"/>
        </w:rPr>
        <w:t>Idempotency · dedup on (source_system, source_record_id) at every Bronze write</w:t>
      </w:r>
    </w:p>
    <w:p>
      <w:pPr>
        <w:pStyle w:val="ListBullet"/>
      </w:pPr>
      <w:r>
        <w:rPr>
          <w:rFonts w:ascii="IBM Plex Sans" w:hAnsi="IBM Plex Sans" w:eastAsia="IBM Plex Sans" w:cs="IBM Plex Sans"/>
          <w:color w:val="0B0B0F"/>
          <w:sz w:val="22"/>
        </w:rPr>
        <w:t>Partitioning: ingest_date · Z-order on join keys · OPTIMIZE cadence per table velocity</w:t>
      </w:r>
    </w:p>
    <w:p>
      <w:pPr>
        <w:pStyle w:val="ListBullet"/>
      </w:pPr>
      <w:r>
        <w:rPr>
          <w:rFonts w:ascii="IBM Plex Sans" w:hAnsi="IBM Plex Sans" w:eastAsia="IBM Plex Sans" w:cs="IBM Plex Sans"/>
          <w:color w:val="0B0B0F"/>
          <w:sz w:val="22"/>
        </w:rPr>
        <w:t>Schema evolution: additive only at Bronze · breaking changes happen in Silver canonical</w:t>
      </w:r>
    </w:p>
    <w:p>
      <w:pPr>
        <w:pStyle w:val="ListBullet"/>
      </w:pPr>
      <w:r>
        <w:rPr>
          <w:rFonts w:ascii="IBM Plex Sans" w:hAnsi="IBM Plex Sans" w:eastAsia="IBM Plex Sans" w:cs="IBM Plex Sans"/>
          <w:color w:val="0B0B0F"/>
          <w:sz w:val="22"/>
        </w:rPr>
        <w:t>PII handling: hashed/tokenized at source · Purview classification at Bronze · consent-aware filtering at Silver</w:t>
      </w:r>
    </w:p>
    <w:p>
      <w:pPr>
        <w:pStyle w:val="ListBullet"/>
      </w:pPr>
      <w:r>
        <w:rPr>
          <w:rFonts w:ascii="IBM Plex Sans" w:hAnsi="IBM Plex Sans" w:eastAsia="IBM Plex Sans" w:cs="IBM Plex Sans"/>
          <w:color w:val="0B0B0F"/>
          <w:sz w:val="22"/>
        </w:rPr>
        <w:t>Retention: hot tier (7-30 days) · warm tier (per-table) · indefinite cold archive for FSMA 204 + audit-critical</w:t>
      </w:r>
    </w:p>
    <w:p>
      <w:pPr>
        <w:pStyle w:val="ListBullet"/>
      </w:pPr>
      <w:r>
        <w:rPr>
          <w:rFonts w:ascii="IBM Plex Sans" w:hAnsi="IBM Plex Sans" w:eastAsia="IBM Plex Sans" w:cs="IBM Plex Sans"/>
          <w:color w:val="0B0B0F"/>
          <w:sz w:val="22"/>
        </w:rPr>
        <w:t>Cross-table referential integrity: nightly checks (e.g., POS_TXN.sku must exist in ITEM_MASTER active window)</w:t>
      </w:r>
    </w:p>
    <w:p>
      <w:pPr>
        <w:pStyle w:val="ListBullet"/>
      </w:pPr>
      <w:r>
        <w:rPr>
          <w:rFonts w:ascii="IBM Plex Sans" w:hAnsi="IBM Plex Sans" w:eastAsia="IBM Plex Sans" w:cs="IBM Plex Sans"/>
          <w:color w:val="0B0B0F"/>
          <w:sz w:val="22"/>
        </w:rPr>
        <w:t>Late-arriving data: Bronze accepts late events with original event_ts preserved · Silver re-projects affected windows</w:t>
      </w:r>
    </w:p>
    <w:p>
      <w:pPr>
        <w:pStyle w:val="Heading2"/>
        <w:spacing w:before="200" w:after="80"/>
      </w:pPr>
      <w:r>
        <w:rPr>
          <w:rFonts w:ascii="Fraunces" w:hAnsi="Fraunces" w:eastAsia="Fraunces" w:cs="Fraunces"/>
          <w:b/>
          <w:color w:val="0B0B0F"/>
          <w:sz w:val="28"/>
        </w:rPr>
        <w:t>9.5 · Wave-by-wave ingest prioritization</w:t>
      </w:r>
    </w:p>
    <w:tbl>
      <w:tblPr>
        <w:tblW w:type="auto" w:w="0"/>
        <w:jc w:val="center"/>
        <w:tblLook w:firstColumn="1" w:firstRow="1" w:lastColumn="0" w:lastRow="0" w:noHBand="0" w:noVBand="1" w:val="04A0"/>
      </w:tblPr>
      <w:tblGrid>
        <w:gridCol w:w="3168"/>
        <w:gridCol w:w="3168"/>
        <w:gridCol w:w="3168"/>
      </w:tblGrid>
      <w:tr>
        <w:tc>
          <w:tcPr>
            <w:tcW w:type="dxa" w:w="230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Wave</w:t>
            </w:r>
          </w:p>
        </w:tc>
        <w:tc>
          <w:tcPr>
            <w:tcW w:type="dxa" w:w="432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Bronze tables landed</w:t>
            </w:r>
          </w:p>
        </w:tc>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Silver shapes</w:t>
            </w:r>
          </w:p>
        </w:tc>
      </w:tr>
      <w:tr>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W1 Foundation</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ITEM_MASTER · PRICING · REFRIG_TELEMETRY · FOOD_SAFETY · LOYALTY_HH (read-only)</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DIM.Item · MERML.Price · SCML.Fixture (basic)</w:t>
            </w:r>
          </w:p>
        </w:tc>
      </w:tr>
      <w:tr>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W1 extension</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POS_TXN · INVENTORY (snapshot)</w:t>
            </w:r>
          </w:p>
        </w:tc>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 MERML.Elasticity (initial fit)</w:t>
            </w:r>
          </w:p>
        </w:tc>
      </w:tr>
      <w:tr>
        <w:tc>
          <w:tcPr>
            <w:tcW w:type="dxa" w:w="230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W2 Pilot</w:t>
            </w:r>
          </w:p>
        </w:tc>
        <w:tc>
          <w:tcPr>
            <w:tcW w:type="dxa" w:w="432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 PROMO_MARKDOWN · REFRIG_SERVICE · LOT_TRACE · VENDOR_MASTER · RECEIPT</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Full MERML + SCML build · Power BI semantic models · LEDGER closeout rows</w:t>
            </w:r>
          </w:p>
        </w:tc>
      </w:tr>
      <w:tr>
        <w:tc>
          <w:tcPr>
            <w:tcW w:type="dxa" w:w="230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W3 Scale &amp; Fuse</w:t>
            </w:r>
          </w:p>
        </w:tc>
        <w:tc>
          <w:tcPr>
            <w:tcW w:type="dxa" w:w="432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All 12 at enterprise scale + cross-banner aggregation</w:t>
            </w:r>
          </w:p>
        </w:tc>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Cross-scenario fusion · multi-banner views</w:t>
            </w:r>
          </w:p>
        </w:tc>
      </w:tr>
    </w:tbl>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10 · Recommended one-week onboarding sequence</w:t>
      </w:r>
    </w:p>
    <w:p>
      <w:pPr>
        <w:spacing w:after="120"/>
      </w:pPr>
      <w:r>
        <w:rPr>
          <w:rFonts w:ascii="IBM Plex Sans" w:hAnsi="IBM Plex Sans" w:eastAsia="IBM Plex Sans" w:cs="IBM Plex Sans"/>
          <w:color w:val="0B0B0F"/>
          <w:sz w:val="22"/>
        </w:rPr>
        <w:t>Suggested ramp for the India build team. Five days · ~6 hours/day of focused reading + discussion. Day 1 establishes the framework; Days 2-4 deep-dive a reference engagement; Day 5 builds the team's own scope assessment.</w:t>
      </w:r>
    </w:p>
    <w:p>
      <w:pPr>
        <w:pStyle w:val="Heading2"/>
        <w:spacing w:before="200" w:after="80"/>
      </w:pPr>
      <w:r>
        <w:rPr>
          <w:rFonts w:ascii="Fraunces" w:hAnsi="Fraunces" w:eastAsia="Fraunces" w:cs="Fraunces"/>
          <w:b/>
          <w:color w:val="0B0B0F"/>
          <w:sz w:val="28"/>
        </w:rPr>
        <w:t>10.1 · Day-by-day reading list</w:t>
      </w:r>
    </w:p>
    <w:tbl>
      <w:tblPr>
        <w:tblW w:type="auto" w:w="0"/>
        <w:jc w:val="center"/>
        <w:tblLook w:firstColumn="1" w:firstRow="1" w:lastColumn="0" w:lastRow="0" w:noHBand="0" w:noVBand="1" w:val="04A0"/>
      </w:tblPr>
      <w:tblGrid>
        <w:gridCol w:w="2376"/>
        <w:gridCol w:w="2376"/>
        <w:gridCol w:w="2376"/>
        <w:gridCol w:w="2376"/>
      </w:tblGrid>
      <w:tr>
        <w:tc>
          <w:tcPr>
            <w:tcW w:type="dxa" w:w="100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Day</w:t>
            </w:r>
          </w:p>
        </w:tc>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Focus</w:t>
            </w:r>
          </w:p>
        </w:tc>
        <w:tc>
          <w:tcPr>
            <w:tcW w:type="dxa" w:w="3744"/>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Read</w:t>
            </w:r>
          </w:p>
        </w:tc>
        <w:tc>
          <w:tcPr>
            <w:tcW w:type="dxa" w:w="2448"/>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Output</w:t>
            </w:r>
          </w:p>
        </w:tc>
      </w:tr>
      <w:tr>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1 · Mon</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APEX framework foundations</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APEX_Design.md · Stacked Architecture (interactive) · CAF Integration · Sellers Guide chapters 1-13</w:t>
            </w:r>
          </w:p>
        </w:tc>
        <w:tc>
          <w:tcPr>
            <w:tcW w:type="dxa" w:w="244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Team understanding of 5 planes · 47 archetypes · LEDGER · CAF integration · sellers narrative</w:t>
            </w:r>
          </w:p>
        </w:tc>
      </w:tr>
      <w:tr>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2 · Tue</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Reference engagement walkthrough (Kroger)</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RC-E2E-03 Walkthrough · Service Portfolio · One-pager · ROI Case · Personas</w:t>
            </w:r>
          </w:p>
        </w:tc>
        <w:tc>
          <w:tcPr>
            <w:tcW w:type="dxa" w:w="244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Team understanding of value-delivery chain · personas · KPIs · commercial envelope</w:t>
            </w:r>
          </w:p>
        </w:tc>
      </w:tr>
      <w:tr>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3 · Wed</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Architecture deep dive</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Solution Architecture Document · Six-Agents Deep Dive + Maturation · MCP Server Deep Dive · Service Sequence Diagram</w:t>
            </w:r>
          </w:p>
        </w:tc>
        <w:tc>
          <w:tcPr>
            <w:tcW w:type="dxa" w:w="244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Team understanding of 6 agents · 19 MCP tools · sequence flow · maturation model</w:t>
            </w:r>
          </w:p>
        </w:tc>
      </w:tr>
      <w:tr>
        <w:tc>
          <w:tcPr>
            <w:tcW w:type="dxa" w:w="100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4 · Thu</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Data + build artifacts</w:t>
            </w:r>
          </w:p>
        </w:tc>
        <w:tc>
          <w:tcPr>
            <w:tcW w:type="dxa" w:w="3744"/>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SOR Bronze-to-Silver · ERD HTML · Fabric Runbook · Use Case Catalog · 7 manifest YAMLs · Test Plan</w:t>
            </w:r>
          </w:p>
        </w:tc>
        <w:tc>
          <w:tcPr>
            <w:tcW w:type="dxa" w:w="2448"/>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Team understanding of data layer · UC backlog · agent contracts · test strategy</w:t>
            </w:r>
          </w:p>
        </w:tc>
      </w:tr>
      <w:tr>
        <w:tc>
          <w:tcPr>
            <w:tcW w:type="dxa" w:w="100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5 · Fri</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Operations + governance + sizing</w:t>
            </w:r>
          </w:p>
        </w:tc>
        <w:tc>
          <w:tcPr>
            <w:tcW w:type="dxa" w:w="3744"/>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Operations Playbook · Risk Register · Stakeholder Map · Privacy Spec · ML Spec · Resource Plans · Disney/Nike Sprint Plans</w:t>
            </w:r>
          </w:p>
        </w:tc>
        <w:tc>
          <w:tcPr>
            <w:tcW w:type="dxa" w:w="2448"/>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Team's first-cut timeline + scope assessment for the engagement they're targeting</w:t>
            </w:r>
          </w:p>
        </w:tc>
      </w:tr>
    </w:tbl>
    <w:p/>
    <w:p>
      <w:pPr>
        <w:pStyle w:val="Heading2"/>
        <w:spacing w:before="200" w:after="80"/>
      </w:pPr>
      <w:r>
        <w:rPr>
          <w:rFonts w:ascii="Fraunces" w:hAnsi="Fraunces" w:eastAsia="Fraunces" w:cs="Fraunces"/>
          <w:b/>
          <w:color w:val="0B0B0F"/>
          <w:sz w:val="28"/>
        </w:rPr>
        <w:t>10.2 · Recommended team-up pairings</w:t>
      </w:r>
    </w:p>
    <w:p>
      <w:pPr>
        <w:pStyle w:val="ListBullet"/>
      </w:pPr>
      <w:r>
        <w:rPr>
          <w:rFonts w:ascii="IBM Plex Sans" w:hAnsi="IBM Plex Sans" w:eastAsia="IBM Plex Sans" w:cs="IBM Plex Sans"/>
          <w:color w:val="0B0B0F"/>
          <w:sz w:val="22"/>
        </w:rPr>
        <w:t>Engineering lead + Solution Architect on Days 1-3 (shared framework view)</w:t>
      </w:r>
    </w:p>
    <w:p>
      <w:pPr>
        <w:pStyle w:val="ListBullet"/>
      </w:pPr>
      <w:r>
        <w:rPr>
          <w:rFonts w:ascii="IBM Plex Sans" w:hAnsi="IBM Plex Sans" w:eastAsia="IBM Plex Sans" w:cs="IBM Plex Sans"/>
          <w:color w:val="0B0B0F"/>
          <w:sz w:val="22"/>
        </w:rPr>
        <w:t>Data engineering pair on Day 4 (shared SOR + ERD walkthrough)</w:t>
      </w:r>
    </w:p>
    <w:p>
      <w:pPr>
        <w:pStyle w:val="ListBullet"/>
      </w:pPr>
      <w:r>
        <w:rPr>
          <w:rFonts w:ascii="IBM Plex Sans" w:hAnsi="IBM Plex Sans" w:eastAsia="IBM Plex Sans" w:cs="IBM Plex Sans"/>
          <w:color w:val="0B0B0F"/>
          <w:sz w:val="22"/>
        </w:rPr>
        <w:t>Project manager + lead engineer on Day 5 (timeline assessment using Sprint Plan templates)</w:t>
      </w:r>
    </w:p>
    <w:p>
      <w:pPr>
        <w:pStyle w:val="ListBullet"/>
      </w:pPr>
      <w:r>
        <w:rPr>
          <w:rFonts w:ascii="IBM Plex Sans" w:hAnsi="IBM Plex Sans" w:eastAsia="IBM Plex Sans" w:cs="IBM Plex Sans"/>
          <w:color w:val="0B0B0F"/>
          <w:sz w:val="22"/>
        </w:rPr>
        <w:t>Cross-team session end-of-Day-5 with us (Apurva + Keven + Veera + Anand) to confirm the team's first-cut sizing and identify the open questions</w:t>
      </w:r>
    </w:p>
    <w:p>
      <w:pPr>
        <w:pStyle w:val="Heading2"/>
        <w:spacing w:before="200" w:after="80"/>
      </w:pPr>
      <w:r>
        <w:rPr>
          <w:rFonts w:ascii="Fraunces" w:hAnsi="Fraunces" w:eastAsia="Fraunces" w:cs="Fraunces"/>
          <w:b/>
          <w:color w:val="0B0B0F"/>
          <w:sz w:val="28"/>
        </w:rPr>
        <w:t>10.3 · What to flag back to us</w:t>
      </w:r>
    </w:p>
    <w:p>
      <w:pPr>
        <w:pStyle w:val="ListBullet"/>
      </w:pPr>
      <w:r>
        <w:rPr>
          <w:rFonts w:ascii="IBM Plex Sans" w:hAnsi="IBM Plex Sans" w:eastAsia="IBM Plex Sans" w:cs="IBM Plex Sans"/>
          <w:color w:val="0B0B0F"/>
          <w:sz w:val="22"/>
        </w:rPr>
        <w:t>Gaps in the documentation set (where you needed something we don't have)</w:t>
      </w:r>
    </w:p>
    <w:p>
      <w:pPr>
        <w:pStyle w:val="ListBullet"/>
      </w:pPr>
      <w:r>
        <w:rPr>
          <w:rFonts w:ascii="IBM Plex Sans" w:hAnsi="IBM Plex Sans" w:eastAsia="IBM Plex Sans" w:cs="IBM Plex Sans"/>
          <w:color w:val="0B0B0F"/>
          <w:sz w:val="22"/>
        </w:rPr>
        <w:t>Assumptions that don't hold for the target client (banner footprint · regulatory regime · existing platform stack)</w:t>
      </w:r>
    </w:p>
    <w:p>
      <w:pPr>
        <w:pStyle w:val="ListBullet"/>
      </w:pPr>
      <w:r>
        <w:rPr>
          <w:rFonts w:ascii="IBM Plex Sans" w:hAnsi="IBM Plex Sans" w:eastAsia="IBM Plex Sans" w:cs="IBM Plex Sans"/>
          <w:color w:val="0B0B0F"/>
          <w:sz w:val="22"/>
        </w:rPr>
        <w:t>First-cut sizing that diverges materially from the Disney+/Nike resource plans (&gt;20% in either direction)</w:t>
      </w:r>
    </w:p>
    <w:p>
      <w:pPr>
        <w:pStyle w:val="ListBullet"/>
      </w:pPr>
      <w:r>
        <w:rPr>
          <w:rFonts w:ascii="IBM Plex Sans" w:hAnsi="IBM Plex Sans" w:eastAsia="IBM Plex Sans" w:cs="IBM Plex Sans"/>
          <w:color w:val="0B0B0F"/>
          <w:sz w:val="22"/>
        </w:rPr>
        <w:t>Any UCs you'd add or remove relative to the 24-UC catalog · per-agent SP revisions · risk register additions</w:t>
      </w:r>
    </w:p>
    <w:p>
      <w:pPr>
        <w:pStyle w:val="ListBullet"/>
      </w:pPr>
      <w:r>
        <w:rPr>
          <w:rFonts w:ascii="IBM Plex Sans" w:hAnsi="IBM Plex Sans" w:eastAsia="IBM Plex Sans" w:cs="IBM Plex Sans"/>
          <w:color w:val="0B0B0F"/>
          <w:sz w:val="22"/>
        </w:rPr>
        <w:t>Data-readiness questions your first read of the SOR raised</w:t>
      </w:r>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11 · Complete artifact inventory · all four reference engagements</w:t>
      </w:r>
    </w:p>
    <w:p>
      <w:pPr>
        <w:spacing w:after="120"/>
      </w:pPr>
      <w:r>
        <w:rPr>
          <w:rFonts w:ascii="IBM Plex Sans" w:hAnsi="IBM Plex Sans" w:eastAsia="IBM Plex Sans" w:cs="IBM Plex Sans"/>
          <w:color w:val="0B0B0F"/>
          <w:sz w:val="22"/>
        </w:rPr>
        <w:t>For your reference · the full set of authored deliverables across the four engagements. Most relevant for sizing comparison + pattern reuse.</w:t>
      </w:r>
    </w:p>
    <w:p>
      <w:pPr>
        <w:pStyle w:val="Heading2"/>
        <w:spacing w:before="200" w:after="80"/>
      </w:pPr>
      <w:r>
        <w:rPr>
          <w:rFonts w:ascii="Fraunces" w:hAnsi="Fraunces" w:eastAsia="Fraunces" w:cs="Fraunces"/>
          <w:b/>
          <w:color w:val="0B0B0F"/>
          <w:sz w:val="28"/>
        </w:rPr>
        <w:t>11.1 · Kroger RC-E2E-03 + RC-E2E-09 (most complete · 27 artifacts)</w:t>
      </w:r>
    </w:p>
    <w:p>
      <w:pPr>
        <w:spacing w:after="120"/>
      </w:pPr>
      <w:r>
        <w:rPr>
          <w:rFonts w:ascii="IBM Plex Sans" w:hAnsi="IBM Plex Sans" w:eastAsia="IBM Plex Sans" w:cs="IBM Plex Sans"/>
          <w:i/>
          <w:color w:val="4A4A55"/>
          <w:sz w:val="20"/>
        </w:rPr>
        <w:t>Industries/Consumer/Retail/Kroger/02_projects/FY27_Pipeline/assortment-pricing-agentic/deliverables/</w:t>
      </w:r>
    </w:p>
    <w:tbl>
      <w:tblPr>
        <w:tblW w:type="auto" w:w="0"/>
        <w:jc w:val="center"/>
        <w:tblLook w:firstColumn="1" w:firstRow="1" w:lastColumn="0" w:lastRow="0" w:noHBand="0" w:noVBand="1" w:val="04A0"/>
      </w:tblPr>
      <w:tblGrid>
        <w:gridCol w:w="3168"/>
        <w:gridCol w:w="3168"/>
        <w:gridCol w:w="3168"/>
      </w:tblGrid>
      <w:tr>
        <w:tc>
          <w:tcPr>
            <w:tcW w:type="dxa" w:w="201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Tier</w:t>
            </w:r>
          </w:p>
        </w:tc>
        <w:tc>
          <w:tcPr>
            <w:tcW w:type="dxa" w:w="201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Service</w:t>
            </w:r>
          </w:p>
        </w:tc>
        <w:tc>
          <w:tcPr>
            <w:tcW w:type="dxa" w:w="576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Artifacts</w:t>
            </w:r>
          </w:p>
        </w:tc>
      </w:tr>
      <w:tr>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T0 Foundation</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RC-E2E-03</w:t>
            </w:r>
          </w:p>
        </w:tc>
        <w:tc>
          <w:tcPr>
            <w:tcW w:type="dxa" w:w="57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Walkthrough</w:t>
            </w:r>
          </w:p>
        </w:tc>
      </w:tr>
      <w:tr>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T0 Foundation</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Shared</w:t>
            </w:r>
          </w:p>
        </w:tc>
        <w:tc>
          <w:tcPr>
            <w:tcW w:type="dxa" w:w="57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SAD · SOR Bronze-to-Silver · SOR ERD · Service Portfolio</w:t>
            </w:r>
          </w:p>
        </w:tc>
      </w:tr>
      <w:tr>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T1 Executive</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RC-E2E-03</w:t>
            </w:r>
          </w:p>
        </w:tc>
        <w:tc>
          <w:tcPr>
            <w:tcW w:type="dxa" w:w="57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OnePager · ROI Case · Personas</w:t>
            </w:r>
          </w:p>
        </w:tc>
      </w:tr>
      <w:tr>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T1 Executive</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RC-E2E-09</w:t>
            </w:r>
          </w:p>
        </w:tc>
        <w:tc>
          <w:tcPr>
            <w:tcW w:type="dxa" w:w="57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FSMA-204 Compliance Checklist</w:t>
            </w:r>
          </w:p>
        </w:tc>
      </w:tr>
      <w:tr>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T2 Build</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RC-E2E-03</w:t>
            </w:r>
          </w:p>
        </w:tc>
        <w:tc>
          <w:tcPr>
            <w:tcW w:type="dxa" w:w="57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Use Case Catalog · 7 manifest YAMLs · Six-Agents Deep Dive · MCP Server Deep Dive · Service Sequence Diagram · Demo Script</w:t>
            </w:r>
          </w:p>
        </w:tc>
      </w:tr>
      <w:tr>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T2 Build</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Shared</w:t>
            </w:r>
          </w:p>
        </w:tc>
        <w:tc>
          <w:tcPr>
            <w:tcW w:type="dxa" w:w="57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Fabric Runbook · Operations Playbook · Test Strategy &amp; Test Plan</w:t>
            </w:r>
          </w:p>
        </w:tc>
      </w:tr>
      <w:tr>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T3 Governance</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RC-E2E-03</w:t>
            </w:r>
          </w:p>
        </w:tc>
        <w:tc>
          <w:tcPr>
            <w:tcW w:type="dxa" w:w="57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Risk Register · Stakeholder Map · Pitch Deck</w:t>
            </w:r>
          </w:p>
        </w:tc>
      </w:tr>
      <w:tr>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T4 Strategic</w:t>
            </w:r>
          </w:p>
        </w:tc>
        <w:tc>
          <w:tcPr>
            <w:tcW w:type="dxa" w:w="201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RC-E2E-03</w:t>
            </w:r>
          </w:p>
        </w:tc>
        <w:tc>
          <w:tcPr>
            <w:tcW w:type="dxa" w:w="576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Cross-Grocer Comparison</w:t>
            </w:r>
          </w:p>
        </w:tc>
      </w:tr>
      <w:tr>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T4 Strategic</w:t>
            </w:r>
          </w:p>
        </w:tc>
        <w:tc>
          <w:tcPr>
            <w:tcW w:type="dxa" w:w="201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Shared</w:t>
            </w:r>
          </w:p>
        </w:tc>
        <w:tc>
          <w:tcPr>
            <w:tcW w:type="dxa" w:w="576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AI/ML Model Spec · Privacy &amp; Data Governance · Service Roadmap</w:t>
            </w:r>
          </w:p>
        </w:tc>
      </w:tr>
    </w:tbl>
    <w:p/>
    <w:p>
      <w:pPr>
        <w:pStyle w:val="Heading2"/>
        <w:spacing w:before="200" w:after="80"/>
      </w:pPr>
      <w:r>
        <w:rPr>
          <w:rFonts w:ascii="Fraunces" w:hAnsi="Fraunces" w:eastAsia="Fraunces" w:cs="Fraunces"/>
          <w:b/>
          <w:color w:val="0B0B0F"/>
          <w:sz w:val="28"/>
        </w:rPr>
        <w:t>11.2 · Disney+ TMT-MED-01 (Subscriber Lifecycle)</w:t>
      </w:r>
    </w:p>
    <w:p>
      <w:pPr>
        <w:spacing w:after="120"/>
      </w:pPr>
      <w:r>
        <w:rPr>
          <w:rFonts w:ascii="IBM Plex Sans" w:hAnsi="IBM Plex Sans" w:eastAsia="IBM Plex Sans" w:cs="IBM Plex Sans"/>
          <w:i/>
          <w:color w:val="4A4A55"/>
          <w:sz w:val="20"/>
        </w:rPr>
        <w:t>Industries/TMT/Global_Media_Entertainment/Walt_Disney/02_projects/FY27_Pipeline/subscriber-lifecycle-agentic/deliverables/</w:t>
      </w:r>
    </w:p>
    <w:p>
      <w:pPr>
        <w:pStyle w:val="ListBullet"/>
      </w:pPr>
      <w:r>
        <w:rPr>
          <w:rFonts w:ascii="IBM Plex Sans" w:hAnsi="IBM Plex Sans" w:eastAsia="IBM Plex Sans" w:cs="IBM Plex Sans"/>
          <w:color w:val="0B0B0F"/>
          <w:sz w:val="22"/>
        </w:rPr>
        <w:t>APEX-TMT-MED-01-Walkthrough.docx (11-section service walkthrough)</w:t>
      </w:r>
    </w:p>
    <w:p>
      <w:pPr>
        <w:pStyle w:val="ListBullet"/>
      </w:pPr>
      <w:r>
        <w:rPr>
          <w:rFonts w:ascii="IBM Plex Sans" w:hAnsi="IBM Plex Sans" w:eastAsia="IBM Plex Sans" w:cs="IBM Plex Sans"/>
          <w:color w:val="0B0B0F"/>
          <w:sz w:val="22"/>
        </w:rPr>
        <w:t>TMT-MED-01-Sprint-Plan.xlsx (9-sheet · 33 tasks · UAC + RACI + KPI)</w:t>
      </w:r>
    </w:p>
    <w:p>
      <w:pPr>
        <w:pStyle w:val="ListBullet"/>
      </w:pPr>
      <w:r>
        <w:rPr>
          <w:rFonts w:ascii="IBM Plex Sans" w:hAnsi="IBM Plex Sans" w:eastAsia="IBM Plex Sans" w:cs="IBM Plex Sans"/>
          <w:color w:val="0B0B0F"/>
          <w:sz w:val="22"/>
        </w:rPr>
        <w:t>TMT-MED-01-Resource-Plan.xlsx (8-sheet · staffing + Microsoft + 3rd-party + envelope + ROI)</w:t>
      </w:r>
    </w:p>
    <w:p>
      <w:pPr>
        <w:pStyle w:val="Heading2"/>
        <w:spacing w:before="200" w:after="80"/>
      </w:pPr>
      <w:r>
        <w:rPr>
          <w:rFonts w:ascii="Fraunces" w:hAnsi="Fraunces" w:eastAsia="Fraunces" w:cs="Fraunces"/>
          <w:b/>
          <w:color w:val="0B0B0F"/>
          <w:sz w:val="28"/>
        </w:rPr>
        <w:t>11.3 · Nike RC-E2E-06 (R2R Close · NOAH program)</w:t>
      </w:r>
    </w:p>
    <w:p>
      <w:pPr>
        <w:spacing w:after="120"/>
      </w:pPr>
      <w:r>
        <w:rPr>
          <w:rFonts w:ascii="IBM Plex Sans" w:hAnsi="IBM Plex Sans" w:eastAsia="IBM Plex Sans" w:cs="IBM Plex Sans"/>
          <w:i/>
          <w:color w:val="4A4A55"/>
          <w:sz w:val="20"/>
        </w:rPr>
        <w:t>Industries/Consumer/Brands-Lifestyle/Nike/02_projects/FY27_Pipeline/r2r-agentic/deliverables/</w:t>
      </w:r>
    </w:p>
    <w:p>
      <w:pPr>
        <w:pStyle w:val="ListBullet"/>
      </w:pPr>
      <w:r>
        <w:rPr>
          <w:rFonts w:ascii="IBM Plex Sans" w:hAnsi="IBM Plex Sans" w:eastAsia="IBM Plex Sans" w:cs="IBM Plex Sans"/>
          <w:color w:val="0B0B0F"/>
          <w:sz w:val="22"/>
        </w:rPr>
        <w:t>Nike-R2R-NOAH-Walkthrough.docx (11-section service walkthrough)</w:t>
      </w:r>
    </w:p>
    <w:p>
      <w:pPr>
        <w:pStyle w:val="ListBullet"/>
      </w:pPr>
      <w:r>
        <w:rPr>
          <w:rFonts w:ascii="IBM Plex Sans" w:hAnsi="IBM Plex Sans" w:eastAsia="IBM Plex Sans" w:cs="IBM Plex Sans"/>
          <w:color w:val="0B0B0F"/>
          <w:sz w:val="22"/>
        </w:rPr>
        <w:t>Nike-R2R-NOAH-Sprint-Plan.xlsx (7-sheet · 43 tasks · earlier template)</w:t>
      </w:r>
    </w:p>
    <w:p>
      <w:pPr>
        <w:pStyle w:val="ListBullet"/>
      </w:pPr>
      <w:r>
        <w:rPr>
          <w:rFonts w:ascii="IBM Plex Sans" w:hAnsi="IBM Plex Sans" w:eastAsia="IBM Plex Sans" w:cs="IBM Plex Sans"/>
          <w:color w:val="0B0B0F"/>
          <w:sz w:val="22"/>
        </w:rPr>
        <w:t>Nike-R2R-NOAH-Resource-Plan.xlsx (8-sheet · earlier template)</w:t>
      </w:r>
    </w:p>
    <w:p>
      <w:pPr>
        <w:pStyle w:val="ListBullet"/>
      </w:pPr>
      <w:r>
        <w:rPr>
          <w:rFonts w:ascii="IBM Plex Sans" w:hAnsi="IBM Plex Sans" w:eastAsia="IBM Plex Sans" w:cs="IBM Plex Sans"/>
          <w:color w:val="0B0B0F"/>
          <w:sz w:val="22"/>
        </w:rPr>
        <w:t>Nike-R2R-NOAH-ROI-Case.html</w:t>
      </w:r>
    </w:p>
    <w:p>
      <w:pPr>
        <w:pStyle w:val="ListBullet"/>
      </w:pPr>
      <w:r>
        <w:rPr>
          <w:rFonts w:ascii="IBM Plex Sans" w:hAnsi="IBM Plex Sans" w:eastAsia="IBM Plex Sans" w:cs="IBM Plex Sans"/>
          <w:color w:val="0B0B0F"/>
          <w:sz w:val="22"/>
        </w:rPr>
        <w:t>Plus: deep-dive markdown · companion HTML one-pager · runnable W1 prototype scaffold</w:t>
      </w:r>
    </w:p>
    <w:p>
      <w:pPr>
        <w:pStyle w:val="Heading2"/>
        <w:spacing w:before="200" w:after="80"/>
      </w:pPr>
      <w:r>
        <w:rPr>
          <w:rFonts w:ascii="Fraunces" w:hAnsi="Fraunces" w:eastAsia="Fraunces" w:cs="Fraunces"/>
          <w:b/>
          <w:color w:val="0B0B0F"/>
          <w:sz w:val="28"/>
        </w:rPr>
        <w:t>11.4 · GMF AXLE-FIN-01 (Auto Loan Origination &amp; Underwriting)</w:t>
      </w:r>
    </w:p>
    <w:p>
      <w:pPr>
        <w:spacing w:after="120"/>
      </w:pPr>
      <w:r>
        <w:rPr>
          <w:rFonts w:ascii="IBM Plex Sans" w:hAnsi="IBM Plex Sans" w:eastAsia="IBM Plex Sans" w:cs="IBM Plex Sans"/>
          <w:i/>
          <w:color w:val="4A4A55"/>
          <w:sz w:val="20"/>
        </w:rPr>
        <w:t>Industries/Automotive/General_Motors/02_projects/FY27_Pipeline/apptrac-loan-origination-agentic/deliverables/</w:t>
      </w:r>
    </w:p>
    <w:p>
      <w:pPr>
        <w:pStyle w:val="ListBullet"/>
      </w:pPr>
      <w:r>
        <w:rPr>
          <w:rFonts w:ascii="IBM Plex Sans" w:hAnsi="IBM Plex Sans" w:eastAsia="IBM Plex Sans" w:cs="IBM Plex Sans"/>
          <w:color w:val="0B0B0F"/>
          <w:sz w:val="22"/>
        </w:rPr>
        <w:t>APEX-AXLE-FIN-01-Walkthrough.docx (11-section service walkthrough · ECOA/TILA/FCRA hooks)</w:t>
      </w:r>
    </w:p>
    <w:p>
      <w:pPr>
        <w:pStyle w:val="ListBullet"/>
      </w:pPr>
      <w:r>
        <w:rPr>
          <w:rFonts w:ascii="IBM Plex Sans" w:hAnsi="IBM Plex Sans" w:eastAsia="IBM Plex Sans" w:cs="IBM Plex Sans"/>
          <w:color w:val="0B0B0F"/>
          <w:sz w:val="22"/>
        </w:rPr>
        <w:t>APEX-AXLE-FIN-01-GMF-OnePager.html (executive leave-behind)</w:t>
      </w:r>
    </w:p>
    <w:p>
      <w:pPr>
        <w:pStyle w:val="ListBullet"/>
      </w:pPr>
      <w:r>
        <w:rPr>
          <w:rFonts w:ascii="IBM Plex Sans" w:hAnsi="IBM Plex Sans" w:eastAsia="IBM Plex Sans" w:cs="IBM Plex Sans"/>
          <w:color w:val="0B0B0F"/>
          <w:sz w:val="22"/>
        </w:rPr>
        <w:t>APEX-AXLE-FIN-01-Six-Agents-Architecture.docx (Doc Intelligence + Foundry deep-dive)</w:t>
      </w:r>
    </w:p>
    <w:p>
      <w:pPr>
        <w:pStyle w:val="ListBullet"/>
      </w:pPr>
      <w:r>
        <w:rPr>
          <w:rFonts w:ascii="IBM Plex Sans" w:hAnsi="IBM Plex Sans" w:eastAsia="IBM Plex Sans" w:cs="IBM Plex Sans"/>
          <w:color w:val="0B0B0F"/>
          <w:sz w:val="22"/>
        </w:rPr>
        <w:t>APEX-AXLE-FIN-01-AppTrac-SOR-Integration.docx (10 Bronze tables + FINML canonical)</w:t>
      </w:r>
    </w:p>
    <w:p>
      <w:pPr>
        <w:pStyle w:val="Heading2"/>
        <w:spacing w:before="200" w:after="80"/>
      </w:pPr>
      <w:r>
        <w:rPr>
          <w:rFonts w:ascii="Fraunces" w:hAnsi="Fraunces" w:eastAsia="Fraunces" w:cs="Fraunces"/>
          <w:b/>
          <w:color w:val="0B0B0F"/>
          <w:sz w:val="28"/>
        </w:rPr>
        <w:t>11.5 · APEX framework root</w:t>
      </w:r>
    </w:p>
    <w:p>
      <w:pPr>
        <w:spacing w:after="120"/>
      </w:pPr>
      <w:r>
        <w:rPr>
          <w:rFonts w:ascii="IBM Plex Sans" w:hAnsi="IBM Plex Sans" w:eastAsia="IBM Plex Sans" w:cs="IBM Plex Sans"/>
          <w:i/>
          <w:color w:val="4A4A55"/>
          <w:sz w:val="20"/>
        </w:rPr>
        <w:t>Industries/APEX/</w:t>
      </w:r>
    </w:p>
    <w:p>
      <w:pPr>
        <w:pStyle w:val="ListBullet"/>
      </w:pPr>
      <w:r>
        <w:rPr>
          <w:rFonts w:ascii="IBM Plex Sans" w:hAnsi="IBM Plex Sans" w:eastAsia="IBM Plex Sans" w:cs="IBM Plex Sans"/>
          <w:color w:val="0B0B0F"/>
          <w:sz w:val="22"/>
        </w:rPr>
        <w:t>docs/APEX - Design and Build/APEX_Design.md (foundational design spec)</w:t>
      </w:r>
    </w:p>
    <w:p>
      <w:pPr>
        <w:pStyle w:val="ListBullet"/>
      </w:pPr>
      <w:r>
        <w:rPr>
          <w:rFonts w:ascii="IBM Plex Sans" w:hAnsi="IBM Plex Sans" w:eastAsia="IBM Plex Sans" w:cs="IBM Plex Sans"/>
          <w:color w:val="0B0B0F"/>
          <w:sz w:val="22"/>
        </w:rPr>
        <w:t>docs/book/Professional-APEX-Sellers-Guide.html (72-chapter sellers guide)</w:t>
      </w:r>
    </w:p>
    <w:p>
      <w:pPr>
        <w:pStyle w:val="ListBullet"/>
      </w:pPr>
      <w:r>
        <w:rPr>
          <w:rFonts w:ascii="IBM Plex Sans" w:hAnsi="IBM Plex Sans" w:eastAsia="IBM Plex Sans" w:cs="IBM Plex Sans"/>
          <w:color w:val="0B0B0F"/>
          <w:sz w:val="22"/>
        </w:rPr>
        <w:t>docs/reference/APEX-Stacked-Architecture-Narrated.html (interactive architecture)</w:t>
      </w:r>
    </w:p>
    <w:p>
      <w:pPr>
        <w:pStyle w:val="ListBullet"/>
      </w:pPr>
      <w:r>
        <w:rPr>
          <w:rFonts w:ascii="IBM Plex Sans" w:hAnsi="IBM Plex Sans" w:eastAsia="IBM Plex Sans" w:cs="IBM Plex Sans"/>
          <w:color w:val="0B0B0F"/>
          <w:sz w:val="22"/>
        </w:rPr>
        <w:t>docs/scenarios/_catalog/ (scenario library · master xlsx · 736 scenarios · 37 services)</w:t>
      </w:r>
    </w:p>
    <w:p>
      <w:pPr>
        <w:pStyle w:val="ListBullet"/>
      </w:pPr>
      <w:r>
        <w:rPr>
          <w:rFonts w:ascii="IBM Plex Sans" w:hAnsi="IBM Plex Sans" w:eastAsia="IBM Plex Sans" w:cs="IBM Plex Sans"/>
          <w:color w:val="0B0B0F"/>
          <w:sz w:val="22"/>
        </w:rPr>
        <w:t>packages/apex-orchestrator/src/apex_orchestrator/archetypes/catalog.py (47-archetype catalog)</w:t>
      </w:r>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12 · Independence posture and contacts</w:t>
      </w:r>
    </w:p>
    <w:p>
      <w:pPr>
        <w:pStyle w:val="Heading2"/>
        <w:spacing w:before="200" w:after="80"/>
      </w:pPr>
      <w:r>
        <w:rPr>
          <w:rFonts w:ascii="Fraunces" w:hAnsi="Fraunces" w:eastAsia="Fraunces" w:cs="Fraunces"/>
          <w:b/>
          <w:color w:val="0B0B0F"/>
          <w:sz w:val="28"/>
        </w:rPr>
        <w:t>12.1 · Independence-safe by construction</w:t>
      </w:r>
    </w:p>
    <w:tbl>
      <w:tblPr>
        <w:tblW w:type="auto" w:w="0"/>
        <w:jc w:val="center"/>
        <w:tblLook w:firstColumn="1" w:firstRow="1" w:lastColumn="0" w:lastRow="0" w:noHBand="0" w:noVBand="1" w:val="04A0"/>
      </w:tblPr>
      <w:tblGrid>
        <w:gridCol w:w="9504"/>
      </w:tblGrid>
      <w:tr>
        <w:tc>
          <w:tcPr>
            <w:tcW w:type="dxa" w:w="9504"/>
            <w:shd w:val="clear" w:color="auto" w:fill="F6F1E4"/>
          </w:tcPr>
          <w:p>
            <w:r>
              <w:rPr>
                <w:rFonts w:ascii="IBM Plex Sans" w:hAnsi="IBM Plex Sans" w:eastAsia="IBM Plex Sans" w:cs="IBM Plex Sans"/>
              </w:rPr>
            </w:r>
            <w:r>
              <w:rPr>
                <w:rFonts w:ascii="IBM Plex Sans" w:hAnsi="IBM Plex Sans" w:eastAsia="IBM Plex Sans" w:cs="IBM Plex Sans"/>
                <w:b/>
                <w:color w:val="B8892E"/>
                <w:sz w:val="18"/>
              </w:rPr>
              <w:t>ALL APEX DELIVERABLES PRESERVE THE SAME INDEPENDENCE POSTURE</w:t>
            </w:r>
          </w:p>
          <w:p>
            <w:pPr>
              <w:spacing w:before="60"/>
            </w:pPr>
            <w:r>
              <w:rPr>
                <w:rFonts w:ascii="IBM Plex Sans" w:hAnsi="IBM Plex Sans" w:eastAsia="IBM Plex Sans" w:cs="IBM Plex Sans"/>
                <w:color w:val="0B0B0F"/>
                <w:sz w:val="21"/>
              </w:rPr>
              <w:t>All APEX commercial materials use 'Deloitte's Microsoft practice,' 'DMTSP,' 'Microsoft platform capabilities,' 'Microsoft-native deployment.' The terms 'partner,' 'alliance,' and 'strategic alliance' do not appear. Engagement structure preserves audit independence: manifests, policies, and LEDGER are client artifacts; Deloitte's role is advisory and implementation enablement. Before contracting, the SOW is routed through Deloitte's Independence office.</w:t>
            </w:r>
          </w:p>
        </w:tc>
      </w:tr>
    </w:tbl>
    <w:p/>
    <w:p>
      <w:pPr>
        <w:pStyle w:val="Heading2"/>
        <w:spacing w:before="200" w:after="80"/>
      </w:pPr>
      <w:r>
        <w:rPr>
          <w:rFonts w:ascii="Fraunces" w:hAnsi="Fraunces" w:eastAsia="Fraunces" w:cs="Fraunces"/>
          <w:b/>
          <w:color w:val="0B0B0F"/>
          <w:sz w:val="28"/>
        </w:rPr>
        <w:t>12.2 · Contacts</w:t>
      </w:r>
    </w:p>
    <w:tbl>
      <w:tblPr>
        <w:tblW w:type="auto" w:w="0"/>
        <w:jc w:val="center"/>
        <w:tblLook w:firstColumn="1" w:firstRow="1" w:lastColumn="0" w:lastRow="0" w:noHBand="0" w:noVBand="1" w:val="04A0"/>
      </w:tblPr>
      <w:tblGrid>
        <w:gridCol w:w="3168"/>
        <w:gridCol w:w="3168"/>
        <w:gridCol w:w="3168"/>
      </w:tblGrid>
      <w:tr>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Role</w:t>
            </w:r>
          </w:p>
        </w:tc>
        <w:tc>
          <w:tcPr>
            <w:tcW w:type="dxa" w:w="3456"/>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Name</w:t>
            </w:r>
          </w:p>
        </w:tc>
        <w:tc>
          <w:tcPr>
            <w:tcW w:type="dxa" w:w="2880"/>
            <w:shd w:val="clear" w:color="auto" w:fill="0B0B0F"/>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b/>
                <w:color w:val="FFFFFF"/>
                <w:sz w:val="20"/>
              </w:rPr>
              <w:t>Responsibility</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DMTSP relationship lead</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Markham, Keven</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APEX framework · this packet · onboarding facilitation</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DMTSP partner</w:t>
            </w:r>
          </w:p>
        </w:tc>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Limaye, Apurva</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Engagement scoping · Microsoft platform alignment</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India build team lead</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Qazi, Nabeel</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India team direction · scope/timeline assessment</w:t>
            </w:r>
          </w:p>
        </w:tc>
      </w:tr>
      <w:tr>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India build team</w:t>
            </w:r>
          </w:p>
        </w:tc>
        <w:tc>
          <w:tcPr>
            <w:tcW w:type="dxa" w:w="3456"/>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Veera, Sree Narendranath Reddy</w:t>
            </w:r>
          </w:p>
        </w:tc>
        <w:tc>
          <w:tcPr>
            <w:tcW w:type="dxa" w:w="2880"/>
            <w:tcBorders>
              <w:top w:val="single" w:sz="4" w:color="D4D4D7"/>
              <w:left w:val="single" w:sz="4" w:color="D4D4D7"/>
              <w:bottom w:val="single" w:sz="4" w:color="D4D4D7"/>
              <w:right w:val="single" w:sz="4" w:color="D4D4D7"/>
            </w:tcBorders>
            <w:shd w:val="clear" w:color="auto" w:fill="F3F3F5"/>
          </w:tcPr>
          <w:p>
            <w:r>
              <w:rPr>
                <w:rFonts w:ascii="IBM Plex Sans" w:hAnsi="IBM Plex Sans" w:eastAsia="IBM Plex Sans" w:cs="IBM Plex Sans"/>
              </w:rPr>
            </w:r>
            <w:r>
              <w:rPr>
                <w:rFonts w:ascii="IBM Plex Sans" w:hAnsi="IBM Plex Sans" w:eastAsia="IBM Plex Sans" w:cs="IBM Plex Sans"/>
                <w:color w:val="0B0B0F"/>
                <w:sz w:val="20"/>
              </w:rPr>
              <w:t>Build execution</w:t>
            </w:r>
          </w:p>
        </w:tc>
      </w:tr>
      <w:tr>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India build team</w:t>
            </w:r>
          </w:p>
        </w:tc>
        <w:tc>
          <w:tcPr>
            <w:tcW w:type="dxa" w:w="3456"/>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Krishnaswamy, Anand</w:t>
            </w:r>
          </w:p>
        </w:tc>
        <w:tc>
          <w:tcPr>
            <w:tcW w:type="dxa" w:w="2880"/>
            <w:tcBorders>
              <w:top w:val="single" w:sz="4" w:color="D4D4D7"/>
              <w:left w:val="single" w:sz="4" w:color="D4D4D7"/>
              <w:bottom w:val="single" w:sz="4" w:color="D4D4D7"/>
              <w:right w:val="single" w:sz="4" w:color="D4D4D7"/>
            </w:tcBorders>
          </w:tcPr>
          <w:p>
            <w:r>
              <w:rPr>
                <w:rFonts w:ascii="IBM Plex Sans" w:hAnsi="IBM Plex Sans" w:eastAsia="IBM Plex Sans" w:cs="IBM Plex Sans"/>
              </w:rPr>
            </w:r>
            <w:r>
              <w:rPr>
                <w:rFonts w:ascii="IBM Plex Sans" w:hAnsi="IBM Plex Sans" w:eastAsia="IBM Plex Sans" w:cs="IBM Plex Sans"/>
                <w:color w:val="0B0B0F"/>
                <w:sz w:val="20"/>
              </w:rPr>
              <w:t>Build execution</w:t>
            </w:r>
          </w:p>
        </w:tc>
      </w:tr>
    </w:tbl>
    <w:p/>
    <w:p>
      <w:pPr>
        <w:pStyle w:val="Heading2"/>
        <w:spacing w:before="200" w:after="80"/>
      </w:pPr>
      <w:r>
        <w:rPr>
          <w:rFonts w:ascii="Fraunces" w:hAnsi="Fraunces" w:eastAsia="Fraunces" w:cs="Fraunces"/>
          <w:b/>
          <w:color w:val="0B0B0F"/>
          <w:sz w:val="28"/>
        </w:rPr>
        <w:t>12.3 · How to escalate questions</w:t>
      </w:r>
    </w:p>
    <w:p>
      <w:pPr>
        <w:pStyle w:val="ListBullet"/>
      </w:pPr>
      <w:r>
        <w:rPr>
          <w:rFonts w:ascii="IBM Plex Sans" w:hAnsi="IBM Plex Sans" w:eastAsia="IBM Plex Sans" w:cs="IBM Plex Sans"/>
          <w:color w:val="0B0B0F"/>
          <w:sz w:val="22"/>
        </w:rPr>
        <w:t>Questions about specific artifacts → Keven (this packet's author) · 24-hr response target</w:t>
      </w:r>
    </w:p>
    <w:p>
      <w:pPr>
        <w:pStyle w:val="ListBullet"/>
      </w:pPr>
      <w:r>
        <w:rPr>
          <w:rFonts w:ascii="IBM Plex Sans" w:hAnsi="IBM Plex Sans" w:eastAsia="IBM Plex Sans" w:cs="IBM Plex Sans"/>
          <w:color w:val="0B0B0F"/>
          <w:sz w:val="22"/>
        </w:rPr>
        <w:t>Questions about engagement scope or commercial framing → Keven + Apurva</w:t>
      </w:r>
    </w:p>
    <w:p>
      <w:pPr>
        <w:pStyle w:val="ListBullet"/>
      </w:pPr>
      <w:r>
        <w:rPr>
          <w:rFonts w:ascii="IBM Plex Sans" w:hAnsi="IBM Plex Sans" w:eastAsia="IBM Plex Sans" w:cs="IBM Plex Sans"/>
          <w:color w:val="0B0B0F"/>
          <w:sz w:val="22"/>
        </w:rPr>
        <w:t>Questions about Microsoft platform alignment (Foundry · Fabric · Doc Intelligence specifics) → Keven loops in DMTSP technical leads</w:t>
      </w:r>
    </w:p>
    <w:p>
      <w:pPr>
        <w:pStyle w:val="ListBullet"/>
      </w:pPr>
      <w:r>
        <w:rPr>
          <w:rFonts w:ascii="IBM Plex Sans" w:hAnsi="IBM Plex Sans" w:eastAsia="IBM Plex Sans" w:cs="IBM Plex Sans"/>
          <w:color w:val="0B0B0F"/>
          <w:sz w:val="22"/>
        </w:rPr>
        <w:t>Questions about Independence-office requirements → Keven loops in Deloitte Independence office</w:t>
      </w:r>
    </w:p>
    <w:p>
      <w:pPr>
        <w:pStyle w:val="ListBullet"/>
      </w:pPr>
      <w:r>
        <w:rPr>
          <w:rFonts w:ascii="IBM Plex Sans" w:hAnsi="IBM Plex Sans" w:eastAsia="IBM Plex Sans" w:cs="IBM Plex Sans"/>
          <w:color w:val="0B0B0F"/>
          <w:sz w:val="22"/>
        </w:rPr>
        <w:t>Working session requests · joint scope assessment · daily standup integration → Keven calendar-direct</w:t>
      </w:r>
    </w:p>
    <w:p>
      <w:pPr>
        <w:pStyle w:val="Heading2"/>
        <w:spacing w:before="200" w:after="80"/>
      </w:pPr>
      <w:r>
        <w:rPr>
          <w:rFonts w:ascii="Fraunces" w:hAnsi="Fraunces" w:eastAsia="Fraunces" w:cs="Fraunces"/>
          <w:b/>
          <w:color w:val="0B0B0F"/>
          <w:sz w:val="28"/>
        </w:rPr>
        <w:t>12.4 · What's open for follow-up</w:t>
      </w:r>
    </w:p>
    <w:p>
      <w:pPr>
        <w:pStyle w:val="ListBullet"/>
      </w:pPr>
      <w:r>
        <w:rPr>
          <w:rFonts w:ascii="IBM Plex Sans" w:hAnsi="IBM Plex Sans" w:eastAsia="IBM Plex Sans" w:cs="IBM Plex Sans"/>
          <w:color w:val="0B0B0F"/>
          <w:sz w:val="22"/>
        </w:rPr>
        <w:t>Kroger Sprint Plan + Resource Plan · we held these during scoping · can be authored within 1 week of request</w:t>
      </w:r>
    </w:p>
    <w:p>
      <w:pPr>
        <w:pStyle w:val="ListBullet"/>
      </w:pPr>
      <w:r>
        <w:rPr>
          <w:rFonts w:ascii="IBM Plex Sans" w:hAnsi="IBM Plex Sans" w:eastAsia="IBM Plex Sans" w:cs="IBM Plex Sans"/>
          <w:color w:val="0B0B0F"/>
          <w:sz w:val="22"/>
        </w:rPr>
        <w:t>Discovery Questionnaire / Pre-Engagement Kit · Tier-B gap · ~3 days to author once a target client is selected</w:t>
      </w:r>
    </w:p>
    <w:p>
      <w:pPr>
        <w:pStyle w:val="ListBullet"/>
      </w:pPr>
      <w:r>
        <w:rPr>
          <w:rFonts w:ascii="IBM Plex Sans" w:hAnsi="IBM Plex Sans" w:eastAsia="IBM Plex Sans" w:cs="IBM Plex Sans"/>
          <w:color w:val="0B0B0F"/>
          <w:sz w:val="22"/>
        </w:rPr>
        <w:t>Per-engagement Sequence Diagram for engagements other than Kroger · 1-2 days each</w:t>
      </w:r>
    </w:p>
    <w:p>
      <w:pPr>
        <w:pStyle w:val="ListBullet"/>
      </w:pPr>
      <w:r>
        <w:rPr>
          <w:rFonts w:ascii="IBM Plex Sans" w:hAnsi="IBM Plex Sans" w:eastAsia="IBM Plex Sans" w:cs="IBM Plex Sans"/>
          <w:color w:val="0B0B0F"/>
          <w:sz w:val="22"/>
        </w:rPr>
        <w:t>Anything else surfaced during the team's onboarding read · captured in Day-5 cross-team session</w:t>
      </w:r>
    </w:p>
    <w:p>
      <w:r>
        <w:rPr>
          <w:rFonts w:ascii="IBM Plex Sans" w:hAnsi="IBM Plex Sans" w:eastAsia="IBM Plex Sans" w:cs="IBM Plex Sans"/>
        </w:rPr>
        <w:br w:type="page"/>
      </w:r>
    </w:p>
    <w:p>
      <w:pPr>
        <w:pStyle w:val="Heading1"/>
        <w:spacing w:before="320" w:after="80"/>
        <w:pBdr>
          <w:bottom w:val="single" w:sz="6" w:space="4" w:color="B8892E"/>
        </w:pBdr>
      </w:pPr>
      <w:r>
        <w:rPr>
          <w:rFonts w:ascii="Fraunces" w:hAnsi="Fraunces" w:eastAsia="Fraunces" w:cs="Fraunces"/>
          <w:b/>
          <w:color w:val="0B0B0F"/>
          <w:sz w:val="36"/>
        </w:rPr>
        <w:t>Appendix A · How this packet was assembled</w:t>
      </w:r>
    </w:p>
    <w:p>
      <w:pPr>
        <w:spacing w:after="120"/>
      </w:pPr>
      <w:r>
        <w:rPr>
          <w:rFonts w:ascii="IBM Plex Sans" w:hAnsi="IBM Plex Sans" w:eastAsia="IBM Plex Sans" w:cs="IBM Plex Sans"/>
          <w:color w:val="0B0B0F"/>
          <w:sz w:val="22"/>
        </w:rPr>
        <w:t>This packet was authored as a direct response to Nabeel's chat (with Apurva and Keven · cc Sree and Anand) requesting eight specific items to evaluate timeline and review scope. Each section here is anchored on one of those eight items, with a paragraph-level summary and concrete file paths into the existing artifact set. The artifact set itself was authored across approximately 60 deliverables across four reference engagements (Kroger · Disney+ · Nike · GMF) plus the foundational APEX framework documentation.</w:t>
      </w:r>
    </w:p>
    <w:p>
      <w:pPr>
        <w:spacing w:after="120"/>
      </w:pPr>
      <w:r>
        <w:rPr>
          <w:rFonts w:ascii="IBM Plex Sans" w:hAnsi="IBM Plex Sans" w:eastAsia="IBM Plex Sans" w:cs="IBM Plex Sans"/>
          <w:color w:val="0B0B0F"/>
          <w:sz w:val="22"/>
        </w:rPr>
        <w:t>If the India team identifies any documentation gap during the one-week onboarding ramp, the gap closes within 1-2 weeks of identification — most artifacts have been authored by extending established patterns from one reference engagement to another. The team should feel comfortable asking for what's not yet documented; the framework is designed to evolve and the documentation evolves with it.</w:t>
      </w:r>
    </w:p>
    <w:p>
      <w:pPr>
        <w:spacing w:after="120"/>
      </w:pPr>
      <w:r>
        <w:rPr>
          <w:rFonts w:ascii="IBM Plex Sans" w:hAnsi="IBM Plex Sans" w:eastAsia="IBM Plex Sans" w:cs="IBM Plex Sans"/>
          <w:i/>
          <w:color w:val="8A8A90"/>
          <w:sz w:val="18"/>
        </w:rPr>
        <w:t>Independence posture preserved across this packet: 'Deloitte's Microsoft practice,' 'DMTSP,' 'Microsoft platform capabilities,' 'Microsoft-native deployment.' The terms 'partner,' 'alliance,' and 'strategic alliance' do not appear.</w:t>
      </w:r>
    </w:p>
    <w:p>
      <w:pPr>
        <w:jc w:val="center"/>
      </w:pPr>
      <w:r>
        <w:rPr>
          <w:rFonts w:ascii="IBM Plex Sans" w:hAnsi="IBM Plex Sans" w:eastAsia="IBM Plex Sans" w:cs="IBM Plex Sans"/>
          <w:i/>
          <w:color w:val="8A8A90"/>
          <w:sz w:val="20"/>
        </w:rPr>
        <w:t>— End of documentation response packet —</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eastAsia="IBM Plex Sans" w:cs="IBM Plex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Fraunces" w:hAnsi="Fraunces" w:eastAsia="Fraunces" w:cs="Fraunce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Fraunces" w:hAnsi="Fraunces" w:eastAsia="Fraunces" w:cs="Fraunce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Fraunces" w:hAnsi="Fraunces" w:eastAsia="Fraunces" w:cs="Fraunce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Fraunces" w:hAnsi="Fraunces" w:eastAsia="Fraunces" w:cs="Fraunce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Fraunces" w:hAnsi="Fraunces" w:eastAsia="Fraunces" w:cs="Fraunce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Fraunces" w:hAnsi="Fraunces" w:eastAsia="Fraunces" w:cs="Fraunce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