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48"/>
          <w:szCs w:val="48"/>
        </w:rPr>
        <w:t xml:space="preserve">Microsoft Azure OpenAI</w:t>
      </w:r>
    </w:p>
    <w:p>
      <w:pPr>
        <w:spacing w:before="200"/>
        <w:jc w:val="center"/>
      </w:pPr>
      <w:r>
        <w:rPr>
          <w:rFonts w:ascii="Arial" w:cs="Arial" w:eastAsia="Arial" w:hAnsi="Arial"/>
          <w:b/>
          <w:bCs/>
          <w:color w:val="2E75B6"/>
          <w:sz w:val="44"/>
          <w:szCs w:val="44"/>
        </w:rPr>
        <w:t xml:space="preserve">Provisioned Throughput Units (PTU)</w:t>
      </w:r>
    </w:p>
    <w:p>
      <w:pPr>
        <w:spacing w:before="200"/>
        <w:jc w:val="center"/>
      </w:pPr>
      <w:r>
        <w:rPr>
          <w:rFonts w:ascii="Arial" w:cs="Arial" w:eastAsia="Arial" w:hAnsi="Arial"/>
          <w:color w:val="1F4E79"/>
          <w:sz w:val="36"/>
          <w:szCs w:val="36"/>
        </w:rPr>
        <w:t xml:space="preserve">Calculator &amp; Implementation Guide</w:t>
      </w:r>
    </w:p>
    <w:p>
      <w:pPr>
        <w:spacing w:before="1000"/>
      </w:pPr>
    </w:p>
    <w:p>
      <w:pPr>
        <w:jc w:val="center"/>
      </w:pPr>
      <w:r>
        <w:rPr>
          <w:rFonts w:ascii="Arial" w:cs="Arial" w:eastAsia="Arial" w:hAnsi="Arial"/>
          <w:sz w:val="24"/>
          <w:szCs w:val="24"/>
        </w:rPr>
        <w:t xml:space="preserve">A Comprehensive Guide to Sizing, Implementing, and Optimizing</w:t>
      </w:r>
    </w:p>
    <w:p>
      <w:pPr>
        <w:jc w:val="center"/>
      </w:pPr>
      <w:r>
        <w:rPr>
          <w:rFonts w:ascii="Arial" w:cs="Arial" w:eastAsia="Arial" w:hAnsi="Arial"/>
          <w:sz w:val="24"/>
          <w:szCs w:val="24"/>
        </w:rPr>
        <w:t xml:space="preserve">Azure OpenAI Provisioned Capacity for Enterprise Deployments</w:t>
      </w:r>
    </w:p>
    <w:p>
      <w:pPr>
        <w:spacing w:before="1500"/>
      </w:pPr>
    </w:p>
    <w:p>
      <w:pPr>
        <w:jc w:val="center"/>
      </w:pPr>
      <w:r>
        <w:rPr>
          <w:rFonts w:ascii="Arial" w:cs="Arial" w:eastAsia="Arial" w:hAnsi="Arial"/>
          <w:color w:val="666666"/>
          <w:sz w:val="22"/>
          <w:szCs w:val="22"/>
        </w:rPr>
        <w:t xml:space="preserve">Prepared by:</w:t>
      </w:r>
    </w:p>
    <w:p>
      <w:pPr>
        <w:spacing w:before="100"/>
        <w:jc w:val="center"/>
      </w:pPr>
      <w:r>
        <w:rPr>
          <w:rFonts w:ascii="Arial" w:cs="Arial" w:eastAsia="Arial" w:hAnsi="Arial"/>
          <w:b/>
          <w:bCs/>
          <w:sz w:val="26"/>
          <w:szCs w:val="26"/>
        </w:rPr>
        <w:t xml:space="preserve">Keven Markham</w:t>
      </w:r>
    </w:p>
    <w:p>
      <w:pPr>
        <w:jc w:val="center"/>
      </w:pPr>
      <w:r>
        <w:rPr>
          <w:rFonts w:ascii="Arial" w:cs="Arial" w:eastAsia="Arial" w:hAnsi="Arial"/>
          <w:sz w:val="22"/>
          <w:szCs w:val="22"/>
        </w:rPr>
        <w:t xml:space="preserve">Vice President, Enterprise Transformation</w:t>
      </w:r>
    </w:p>
    <w:p>
      <w:pPr>
        <w:jc w:val="center"/>
      </w:pPr>
      <w:r>
        <w:rPr>
          <w:rFonts w:ascii="Arial" w:cs="Arial" w:eastAsia="Arial" w:hAnsi="Arial"/>
          <w:sz w:val="22"/>
          <w:szCs w:val="22"/>
        </w:rPr>
        <w:t xml:space="preserve">Microsoft Technology &amp; Services Practice</w:t>
      </w:r>
    </w:p>
    <w:p>
      <w:pPr>
        <w:jc w:val="center"/>
      </w:pPr>
      <w:r>
        <w:rPr>
          <w:rFonts w:ascii="Arial" w:cs="Arial" w:eastAsia="Arial" w:hAnsi="Arial"/>
          <w:sz w:val="22"/>
          <w:szCs w:val="22"/>
        </w:rPr>
        <w:t xml:space="preserve">Deloitte Consulting LLP</w:t>
      </w:r>
    </w:p>
    <w:p>
      <w:pPr>
        <w:spacing w:before="500"/>
      </w:pPr>
    </w:p>
    <w:p>
      <w:pPr>
        <w:jc w:val="center"/>
      </w:pPr>
      <w:r>
        <w:rPr>
          <w:rFonts w:ascii="Arial" w:cs="Arial" w:eastAsia="Arial" w:hAnsi="Arial"/>
          <w:color w:val="666666"/>
          <w:sz w:val="22"/>
          <w:szCs w:val="22"/>
        </w:rPr>
        <w:t xml:space="preserve">February 2026</w:t>
      </w:r>
    </w:p>
    <w:p>
      <w:r>
        <w:br w:type="page"/>
      </w:r>
    </w:p>
    <w:p>
      <w:pPr>
        <w:pStyle w:val="Heading1"/>
        <w:spacing w:before="400" w:after="200"/>
      </w:pPr>
      <w:r>
        <w:rPr>
          <w:rFonts w:ascii="Arial" w:cs="Arial" w:eastAsia="Arial" w:hAnsi="Arial"/>
          <w:b/>
          <w:bCs/>
          <w:color w:val="1F4E79"/>
          <w:sz w:val="32"/>
          <w:szCs w:val="32"/>
        </w:rPr>
        <w:t xml:space="preserve">Executive Summary</w:t>
      </w:r>
    </w:p>
    <w:p>
      <w:pPr>
        <w:spacing w:before="120" w:after="120" w:line="276"/>
      </w:pPr>
      <w:r>
        <w:rPr>
          <w:rFonts w:ascii="Arial" w:cs="Arial" w:eastAsia="Arial" w:hAnsi="Arial"/>
          <w:sz w:val="22"/>
          <w:szCs w:val="22"/>
        </w:rPr>
        <w:t xml:space="preserve">After 22+ years working with Microsoft technologies, I have seen countless organizations struggle with the same fundamental challenge: how do you right-size your Azure OpenAI capacity to meet demand without overspending or under-delivering? The answer lies in understanding and properly utilizing Provisioned Throughput Units, or PTUs.</w:t>
      </w:r>
    </w:p>
    <w:p>
      <w:pPr>
        <w:spacing w:before="120" w:after="120" w:line="276"/>
      </w:pPr>
      <w:r>
        <w:rPr>
          <w:rFonts w:ascii="Arial" w:cs="Arial" w:eastAsia="Arial" w:hAnsi="Arial"/>
          <w:sz w:val="22"/>
          <w:szCs w:val="22"/>
        </w:rPr>
        <w:t xml:space="preserve">This guide is designed to walk you through everything you need to know about building and using a PTU calculator for your projects. Whether you are sizing capacity for a new chatbot deployment, planning an enterprise-wide Copilot rollout, or architecting a multi-application GenAI platform, the principles and tools outlined here will help you make informed decisions.</w:t>
      </w:r>
    </w:p>
    <w:p>
      <w:pPr>
        <w:spacing w:before="120" w:after="120" w:line="276"/>
      </w:pPr>
      <w:r>
        <w:rPr>
          <w:rFonts w:ascii="Arial" w:cs="Arial" w:eastAsia="Arial" w:hAnsi="Arial"/>
          <w:sz w:val="22"/>
          <w:szCs w:val="22"/>
        </w:rPr>
        <w:t xml:space="preserve">The reality is that PTU sizing is not just a technical exercise. It is a business decision that directly impacts your bottom line. Get it wrong, and you are either leaving performance on the table or burning budget on unused capacity. Get it right, and you have a predictable, performant foundation for your AI initiatives.</w:t>
      </w:r>
    </w:p>
    <w:p>
      <w:pPr>
        <w:shd w:fill="D4EDDA" w:val="clear"/>
        <w:spacing w:before="120" w:after="120"/>
        <w:ind w:left="200" w:right="200"/>
      </w:pPr>
      <w:r>
        <w:rPr>
          <w:rFonts w:ascii="Arial" w:cs="Arial" w:eastAsia="Arial" w:hAnsi="Arial"/>
          <w:b/>
          <w:bCs/>
          <w:color w:val="155724"/>
          <w:sz w:val="22"/>
          <w:szCs w:val="22"/>
        </w:rPr>
        <w:t xml:space="preserve">Pro Tip: </w:t>
      </w:r>
      <w:r>
        <w:rPr>
          <w:rFonts w:ascii="Arial" w:cs="Arial" w:eastAsia="Arial" w:hAnsi="Arial"/>
          <w:sz w:val="22"/>
          <w:szCs w:val="22"/>
        </w:rPr>
        <w:t xml:space="preserve">Always benchmark your actual workloads before committing to a PTU reservation. The calculator provides estimates, but real-world performance varies based on prompt complexity, generation length, and call patterns.</w:t>
      </w:r>
    </w:p>
    <w:p>
      <w:r>
        <w:br w:type="page"/>
      </w:r>
    </w:p>
    <w:p>
      <w:pPr>
        <w:pStyle w:val="Heading1"/>
        <w:spacing w:before="400" w:after="200"/>
      </w:pPr>
      <w:r>
        <w:rPr>
          <w:rFonts w:ascii="Arial" w:cs="Arial" w:eastAsia="Arial" w:hAnsi="Arial"/>
          <w:b/>
          <w:bCs/>
          <w:color w:val="1F4E79"/>
          <w:sz w:val="32"/>
          <w:szCs w:val="32"/>
        </w:rPr>
        <w:t xml:space="preserve">1. Understanding Provisioned Throughput Units</w:t>
      </w:r>
    </w:p>
    <w:p>
      <w:pPr>
        <w:pStyle w:val="Heading2"/>
        <w:spacing w:before="300" w:after="150"/>
      </w:pPr>
      <w:r>
        <w:rPr>
          <w:rFonts w:ascii="Arial" w:cs="Arial" w:eastAsia="Arial" w:hAnsi="Arial"/>
          <w:b/>
          <w:bCs/>
          <w:color w:val="2E75B6"/>
          <w:sz w:val="26"/>
          <w:szCs w:val="26"/>
        </w:rPr>
        <w:t xml:space="preserve">1.1 What Are PTUs?</w:t>
      </w:r>
    </w:p>
    <w:p>
      <w:pPr>
        <w:spacing w:before="120" w:after="120" w:line="276"/>
      </w:pPr>
      <w:r>
        <w:rPr>
          <w:rFonts w:ascii="Arial" w:cs="Arial" w:eastAsia="Arial" w:hAnsi="Arial"/>
          <w:sz w:val="22"/>
          <w:szCs w:val="22"/>
        </w:rPr>
        <w:t xml:space="preserve">Provisioned Throughput Units are generic units of model processing capacity that you reserve in advance to ensure consistent performance for your Azure OpenAI workloads. Think of PTUs like reserving lanes on a highway: you are guaranteeing yourself a certain amount of traffic capacity regardless of how congested the rest of the highway gets.</w:t>
      </w:r>
    </w:p>
    <w:p>
      <w:pPr>
        <w:spacing w:before="120" w:after="120" w:line="276"/>
      </w:pPr>
      <w:r>
        <w:rPr>
          <w:rFonts w:ascii="Arial" w:cs="Arial" w:eastAsia="Arial" w:hAnsi="Arial"/>
          <w:sz w:val="22"/>
          <w:szCs w:val="22"/>
        </w:rPr>
        <w:t xml:space="preserve">Unlike the Pay-As-You-Go model where you pay per token consumed, PTUs provide dedicated capacity that is billed hourly based on the number of units deployed. This fundamentally changes the economics and planning considerations for your AI deployments.</w:t>
      </w:r>
    </w:p>
    <w:p>
      <w:pPr>
        <w:pStyle w:val="Heading2"/>
        <w:spacing w:before="300" w:after="150"/>
      </w:pPr>
      <w:r>
        <w:rPr>
          <w:rFonts w:ascii="Arial" w:cs="Arial" w:eastAsia="Arial" w:hAnsi="Arial"/>
          <w:b/>
          <w:bCs/>
          <w:color w:val="2E75B6"/>
          <w:sz w:val="26"/>
          <w:szCs w:val="26"/>
        </w:rPr>
        <w:t xml:space="preserve">1.2 Key Characteristics of PTUs</w:t>
      </w:r>
    </w:p>
    <w:p>
      <w:pPr>
        <w:pStyle w:val="ListParagraph"/>
        <w:numPr>
          <w:ilvl w:val="0"/>
          <w:numId w:val="2"/>
        </w:numPr>
        <w:spacing w:before="60" w:after="60"/>
      </w:pPr>
      <w:r>
        <w:rPr>
          <w:rFonts w:ascii="Arial" w:cs="Arial" w:eastAsia="Arial" w:hAnsi="Arial"/>
          <w:sz w:val="22"/>
          <w:szCs w:val="22"/>
        </w:rPr>
        <w:t xml:space="preserve">Model-Independent Quota: PTU quota is not tied to specific models. You can deploy your quota across any supported model in the region.</w:t>
      </w:r>
    </w:p>
    <w:p>
      <w:pPr>
        <w:pStyle w:val="ListParagraph"/>
        <w:numPr>
          <w:ilvl w:val="0"/>
          <w:numId w:val="2"/>
        </w:numPr>
        <w:spacing w:before="60" w:after="60"/>
      </w:pPr>
      <w:r>
        <w:rPr>
          <w:rFonts w:ascii="Arial" w:cs="Arial" w:eastAsia="Arial" w:hAnsi="Arial"/>
          <w:sz w:val="22"/>
          <w:szCs w:val="22"/>
        </w:rPr>
        <w:t xml:space="preserve">Regional Allocation: Quota is assigned per subscription per region and must be deployed in the same region where it is allocated.</w:t>
      </w:r>
    </w:p>
    <w:p>
      <w:pPr>
        <w:pStyle w:val="ListParagraph"/>
        <w:numPr>
          <w:ilvl w:val="0"/>
          <w:numId w:val="2"/>
        </w:numPr>
        <w:spacing w:before="60" w:after="60"/>
      </w:pPr>
      <w:r>
        <w:rPr>
          <w:rFonts w:ascii="Arial" w:cs="Arial" w:eastAsia="Arial" w:hAnsi="Arial"/>
          <w:sz w:val="22"/>
          <w:szCs w:val="22"/>
        </w:rPr>
        <w:t xml:space="preserve">Hourly Billing: Deployments are charged per PTU per hour, with substantial discounts available through Azure Reservations.</w:t>
      </w:r>
    </w:p>
    <w:p>
      <w:pPr>
        <w:pStyle w:val="ListParagraph"/>
        <w:numPr>
          <w:ilvl w:val="0"/>
          <w:numId w:val="2"/>
        </w:numPr>
        <w:spacing w:before="60" w:after="60"/>
      </w:pPr>
      <w:r>
        <w:rPr>
          <w:rFonts w:ascii="Arial" w:cs="Arial" w:eastAsia="Arial" w:hAnsi="Arial"/>
          <w:sz w:val="22"/>
          <w:szCs w:val="22"/>
        </w:rPr>
        <w:t xml:space="preserve">Minimum Increments: PTUs are purchased in specific increments depending on the model. Planning must account for these step-wise allocations.</w:t>
      </w:r>
    </w:p>
    <w:p>
      <w:pPr>
        <w:pStyle w:val="ListParagraph"/>
        <w:numPr>
          <w:ilvl w:val="0"/>
          <w:numId w:val="2"/>
        </w:numPr>
        <w:spacing w:before="60" w:after="60"/>
      </w:pPr>
      <w:r>
        <w:rPr>
          <w:rFonts w:ascii="Arial" w:cs="Arial" w:eastAsia="Arial" w:hAnsi="Arial"/>
          <w:sz w:val="22"/>
          <w:szCs w:val="22"/>
        </w:rPr>
        <w:t xml:space="preserve">No Capacity Guarantee: Quota limits deployment size but does not guarantee capacity availability. Always deploy before purchasing reservations.</w:t>
      </w:r>
    </w:p>
    <w:p>
      <w:pPr>
        <w:pStyle w:val="Heading2"/>
        <w:spacing w:before="300" w:after="150"/>
      </w:pPr>
      <w:r>
        <w:rPr>
          <w:rFonts w:ascii="Arial" w:cs="Arial" w:eastAsia="Arial" w:hAnsi="Arial"/>
          <w:b/>
          <w:bCs/>
          <w:color w:val="2E75B6"/>
          <w:sz w:val="26"/>
          <w:szCs w:val="26"/>
        </w:rPr>
        <w:t xml:space="preserve">1.3 Deployment Types</w:t>
      </w:r>
    </w:p>
    <w:p>
      <w:pPr>
        <w:spacing w:before="120" w:after="120" w:line="276"/>
      </w:pPr>
      <w:r>
        <w:rPr>
          <w:rFonts w:ascii="Arial" w:cs="Arial" w:eastAsia="Arial" w:hAnsi="Arial"/>
          <w:sz w:val="22"/>
          <w:szCs w:val="22"/>
        </w:rPr>
        <w:t xml:space="preserve">Azure offers three provisioned deployment types, each with different data residency and performance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Deployment Type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Residency</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Best For</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Global Provisioned</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Data may be processed in any Azure region globally</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Cost optimization, global deployments with flexible data requirements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Data Zone Provisioned</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Data stays within the geographic zone (e.g., US, EU)</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Regional compliance requirements while maintaining flexibility</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Regional Provisioned</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Data stays within the specific Azure region</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Strict data sovereignty requirements, lowest latency</w:t>
            </w:r>
          </w:p>
        </w:tc>
      </w:tr>
    </w:tbl>
    <w:p>
      <w:pPr>
        <w:shd w:fill="FFF3CD" w:val="clear"/>
        <w:spacing w:before="120" w:after="120"/>
        <w:ind w:left="200" w:right="200"/>
      </w:pPr>
      <w:r>
        <w:rPr>
          <w:rFonts w:ascii="Arial" w:cs="Arial" w:eastAsia="Arial" w:hAnsi="Arial"/>
          <w:b/>
          <w:bCs/>
          <w:sz w:val="22"/>
          <w:szCs w:val="22"/>
        </w:rPr>
        <w:t xml:space="preserve">Note: </w:t>
      </w:r>
      <w:r>
        <w:rPr>
          <w:rFonts w:ascii="Arial" w:cs="Arial" w:eastAsia="Arial" w:hAnsi="Arial"/>
          <w:sz w:val="22"/>
          <w:szCs w:val="22"/>
        </w:rPr>
        <w:t xml:space="preserve">Choose your deployment type based on compliance requirements first, then optimize for cost and performance. Data residency decisions are harder to reverse later.</w:t>
      </w:r>
    </w:p>
    <w:p>
      <w:r>
        <w:br w:type="page"/>
      </w:r>
    </w:p>
    <w:p>
      <w:pPr>
        <w:pStyle w:val="Heading1"/>
        <w:spacing w:before="400" w:after="200"/>
      </w:pPr>
      <w:r>
        <w:rPr>
          <w:rFonts w:ascii="Arial" w:cs="Arial" w:eastAsia="Arial" w:hAnsi="Arial"/>
          <w:b/>
          <w:bCs/>
          <w:color w:val="1F4E79"/>
          <w:sz w:val="32"/>
          <w:szCs w:val="32"/>
        </w:rPr>
        <w:t xml:space="preserve">2. PTU Calculator Fundamentals</w:t>
      </w:r>
    </w:p>
    <w:p>
      <w:pPr>
        <w:pStyle w:val="Heading2"/>
        <w:spacing w:before="300" w:after="150"/>
      </w:pPr>
      <w:r>
        <w:rPr>
          <w:rFonts w:ascii="Arial" w:cs="Arial" w:eastAsia="Arial" w:hAnsi="Arial"/>
          <w:b/>
          <w:bCs/>
          <w:color w:val="2E75B6"/>
          <w:sz w:val="26"/>
          <w:szCs w:val="26"/>
        </w:rPr>
        <w:t xml:space="preserve">2.1 The Core Calculation</w:t>
      </w:r>
    </w:p>
    <w:p>
      <w:pPr>
        <w:spacing w:before="120" w:after="120" w:line="276"/>
      </w:pPr>
      <w:r>
        <w:rPr>
          <w:rFonts w:ascii="Arial" w:cs="Arial" w:eastAsia="Arial" w:hAnsi="Arial"/>
          <w:sz w:val="22"/>
          <w:szCs w:val="22"/>
        </w:rPr>
        <w:t xml:space="preserve">At its heart, PTU sizing comes down to understanding your token throughput requirements. The fundamental equation Microsoft uses is:</w:t>
      </w:r>
    </w:p>
    <w:p>
      <w:pPr>
        <w:spacing w:before="120" w:after="120" w:line="276"/>
      </w:pPr>
      <w:r>
        <w:rPr>
          <w:rFonts w:ascii="Arial" w:cs="Arial" w:eastAsia="Arial" w:hAnsi="Arial"/>
          <w:b/>
          <w:bCs/>
          <w:sz w:val="22"/>
          <w:szCs w:val="22"/>
        </w:rPr>
        <w:t xml:space="preserve">Total Tokens = Peak Calls per Minute × (Input Tokens per Call + Output Tokens per Call)</w:t>
      </w:r>
    </w:p>
    <w:p>
      <w:pPr>
        <w:spacing w:before="120" w:after="120" w:line="276"/>
      </w:pPr>
      <w:r>
        <w:rPr>
          <w:rFonts w:ascii="Arial" w:cs="Arial" w:eastAsia="Arial" w:hAnsi="Arial"/>
          <w:sz w:val="22"/>
          <w:szCs w:val="22"/>
        </w:rPr>
        <w:t xml:space="preserve">This gives you Tokens Per Minute (TPM), which then maps to PTU requirements based on model-specific conversion rates.</w:t>
      </w:r>
    </w:p>
    <w:p>
      <w:pPr>
        <w:pStyle w:val="Heading2"/>
        <w:spacing w:before="300" w:after="150"/>
      </w:pPr>
      <w:r>
        <w:rPr>
          <w:rFonts w:ascii="Arial" w:cs="Arial" w:eastAsia="Arial" w:hAnsi="Arial"/>
          <w:b/>
          <w:bCs/>
          <w:color w:val="2E75B6"/>
          <w:sz w:val="26"/>
          <w:szCs w:val="26"/>
        </w:rPr>
        <w:t xml:space="preserve">2.2 Key Input Variables</w:t>
      </w:r>
    </w:p>
    <w:p>
      <w:pPr>
        <w:spacing w:before="120" w:after="120" w:line="276"/>
      </w:pPr>
      <w:r>
        <w:rPr>
          <w:rFonts w:ascii="Arial" w:cs="Arial" w:eastAsia="Arial" w:hAnsi="Arial"/>
          <w:sz w:val="22"/>
          <w:szCs w:val="22"/>
        </w:rPr>
        <w:t xml:space="preserve">To effectively use any PTU calculator, you need to gather the following information about your workload:</w:t>
      </w:r>
    </w:p>
    <w:p>
      <w:pPr>
        <w:pStyle w:val="Heading3"/>
        <w:spacing w:before="240" w:after="120"/>
      </w:pPr>
      <w:r>
        <w:rPr>
          <w:rFonts w:ascii="Arial" w:cs="Arial" w:eastAsia="Arial" w:hAnsi="Arial"/>
          <w:b/>
          <w:bCs/>
          <w:color w:val="1F4E79"/>
          <w:sz w:val="22"/>
          <w:szCs w:val="22"/>
        </w:rPr>
        <w:t xml:space="preserve">Prompt Size (Input Tokens)</w:t>
      </w:r>
    </w:p>
    <w:p>
      <w:pPr>
        <w:pStyle w:val="ListParagraph"/>
        <w:numPr>
          <w:ilvl w:val="0"/>
          <w:numId w:val="2"/>
        </w:numPr>
        <w:spacing w:before="60" w:after="60"/>
      </w:pPr>
      <w:r>
        <w:rPr>
          <w:rFonts w:ascii="Arial" w:cs="Arial" w:eastAsia="Arial" w:hAnsi="Arial"/>
          <w:sz w:val="22"/>
          <w:szCs w:val="22"/>
        </w:rPr>
        <w:t xml:space="preserve">Average number of tokens in your prompts</w:t>
      </w:r>
    </w:p>
    <w:p>
      <w:pPr>
        <w:pStyle w:val="ListParagraph"/>
        <w:numPr>
          <w:ilvl w:val="0"/>
          <w:numId w:val="2"/>
        </w:numPr>
        <w:spacing w:before="60" w:after="60"/>
      </w:pPr>
      <w:r>
        <w:rPr>
          <w:rFonts w:ascii="Arial" w:cs="Arial" w:eastAsia="Arial" w:hAnsi="Arial"/>
          <w:sz w:val="22"/>
          <w:szCs w:val="22"/>
        </w:rPr>
        <w:t xml:space="preserve">Include system prompts, user messages, and any RAG context</w:t>
      </w:r>
    </w:p>
    <w:p>
      <w:pPr>
        <w:pStyle w:val="ListParagraph"/>
        <w:numPr>
          <w:ilvl w:val="0"/>
          <w:numId w:val="2"/>
        </w:numPr>
        <w:spacing w:before="60" w:after="60"/>
      </w:pPr>
      <w:r>
        <w:rPr>
          <w:rFonts w:ascii="Arial" w:cs="Arial" w:eastAsia="Arial" w:hAnsi="Arial"/>
          <w:sz w:val="22"/>
          <w:szCs w:val="22"/>
        </w:rPr>
        <w:t xml:space="preserve">Account for conversation history in chat applications</w:t>
      </w:r>
    </w:p>
    <w:p>
      <w:pPr>
        <w:pStyle w:val="Heading3"/>
        <w:spacing w:before="240" w:after="120"/>
      </w:pPr>
      <w:r>
        <w:rPr>
          <w:rFonts w:ascii="Arial" w:cs="Arial" w:eastAsia="Arial" w:hAnsi="Arial"/>
          <w:b/>
          <w:bCs/>
          <w:color w:val="1F4E79"/>
          <w:sz w:val="22"/>
          <w:szCs w:val="22"/>
        </w:rPr>
        <w:t xml:space="preserve">Generation Size (Output Tokens)</w:t>
      </w:r>
    </w:p>
    <w:p>
      <w:pPr>
        <w:pStyle w:val="ListParagraph"/>
        <w:numPr>
          <w:ilvl w:val="0"/>
          <w:numId w:val="2"/>
        </w:numPr>
        <w:spacing w:before="60" w:after="60"/>
      </w:pPr>
      <w:r>
        <w:rPr>
          <w:rFonts w:ascii="Arial" w:cs="Arial" w:eastAsia="Arial" w:hAnsi="Arial"/>
          <w:sz w:val="22"/>
          <w:szCs w:val="22"/>
        </w:rPr>
        <w:t xml:space="preserve">Average number of tokens in model responses</w:t>
      </w:r>
    </w:p>
    <w:p>
      <w:pPr>
        <w:pStyle w:val="ListParagraph"/>
        <w:numPr>
          <w:ilvl w:val="0"/>
          <w:numId w:val="2"/>
        </w:numPr>
        <w:spacing w:before="60" w:after="60"/>
      </w:pPr>
      <w:r>
        <w:rPr>
          <w:rFonts w:ascii="Arial" w:cs="Arial" w:eastAsia="Arial" w:hAnsi="Arial"/>
          <w:sz w:val="22"/>
          <w:szCs w:val="22"/>
        </w:rPr>
        <w:t xml:space="preserve">Consider your max_tokens setting</w:t>
      </w:r>
    </w:p>
    <w:p>
      <w:pPr>
        <w:pStyle w:val="ListParagraph"/>
        <w:numPr>
          <w:ilvl w:val="0"/>
          <w:numId w:val="2"/>
        </w:numPr>
        <w:spacing w:before="60" w:after="60"/>
      </w:pPr>
      <w:r>
        <w:rPr>
          <w:rFonts w:ascii="Arial" w:cs="Arial" w:eastAsia="Arial" w:hAnsi="Arial"/>
          <w:sz w:val="22"/>
          <w:szCs w:val="22"/>
        </w:rPr>
        <w:t xml:space="preserve">Actual generation often varies significantly from maximum</w:t>
      </w:r>
    </w:p>
    <w:p>
      <w:pPr>
        <w:pStyle w:val="Heading3"/>
        <w:spacing w:before="240" w:after="120"/>
      </w:pPr>
      <w:r>
        <w:rPr>
          <w:rFonts w:ascii="Arial" w:cs="Arial" w:eastAsia="Arial" w:hAnsi="Arial"/>
          <w:b/>
          <w:bCs/>
          <w:color w:val="1F4E79"/>
          <w:sz w:val="22"/>
          <w:szCs w:val="22"/>
        </w:rPr>
        <w:t xml:space="preserve">Calls Per Minute (RPM)</w:t>
      </w:r>
    </w:p>
    <w:p>
      <w:pPr>
        <w:pStyle w:val="ListParagraph"/>
        <w:numPr>
          <w:ilvl w:val="0"/>
          <w:numId w:val="2"/>
        </w:numPr>
        <w:spacing w:before="60" w:after="60"/>
      </w:pPr>
      <w:r>
        <w:rPr>
          <w:rFonts w:ascii="Arial" w:cs="Arial" w:eastAsia="Arial" w:hAnsi="Arial"/>
          <w:sz w:val="22"/>
          <w:szCs w:val="22"/>
        </w:rPr>
        <w:t xml:space="preserve">Peak requests per minute during normal operation</w:t>
      </w:r>
    </w:p>
    <w:p>
      <w:pPr>
        <w:pStyle w:val="ListParagraph"/>
        <w:numPr>
          <w:ilvl w:val="0"/>
          <w:numId w:val="2"/>
        </w:numPr>
        <w:spacing w:before="60" w:after="60"/>
      </w:pPr>
      <w:r>
        <w:rPr>
          <w:rFonts w:ascii="Arial" w:cs="Arial" w:eastAsia="Arial" w:hAnsi="Arial"/>
          <w:sz w:val="22"/>
          <w:szCs w:val="22"/>
        </w:rPr>
        <w:t xml:space="preserve">Account for burst patterns and seasonal variations</w:t>
      </w:r>
    </w:p>
    <w:p>
      <w:pPr>
        <w:pStyle w:val="ListParagraph"/>
        <w:numPr>
          <w:ilvl w:val="0"/>
          <w:numId w:val="2"/>
        </w:numPr>
        <w:spacing w:before="60" w:after="60"/>
      </w:pPr>
      <w:r>
        <w:rPr>
          <w:rFonts w:ascii="Arial" w:cs="Arial" w:eastAsia="Arial" w:hAnsi="Arial"/>
          <w:sz w:val="22"/>
          <w:szCs w:val="22"/>
        </w:rPr>
        <w:t xml:space="preserve">Consider concurrent users and their interaction frequency</w:t>
      </w:r>
    </w:p>
    <w:p>
      <w:pPr>
        <w:pStyle w:val="Heading3"/>
        <w:spacing w:before="240" w:after="120"/>
      </w:pPr>
      <w:r>
        <w:rPr>
          <w:rFonts w:ascii="Arial" w:cs="Arial" w:eastAsia="Arial" w:hAnsi="Arial"/>
          <w:b/>
          <w:bCs/>
          <w:color w:val="1F4E79"/>
          <w:sz w:val="22"/>
          <w:szCs w:val="22"/>
        </w:rPr>
        <w:t xml:space="preserve">Model Selection</w:t>
      </w:r>
    </w:p>
    <w:p>
      <w:pPr>
        <w:pStyle w:val="ListParagraph"/>
        <w:numPr>
          <w:ilvl w:val="0"/>
          <w:numId w:val="2"/>
        </w:numPr>
        <w:spacing w:before="60" w:after="60"/>
      </w:pPr>
      <w:r>
        <w:rPr>
          <w:rFonts w:ascii="Arial" w:cs="Arial" w:eastAsia="Arial" w:hAnsi="Arial"/>
          <w:sz w:val="22"/>
          <w:szCs w:val="22"/>
        </w:rPr>
        <w:t xml:space="preserve">Different models have different PTU efficiencies</w:t>
      </w:r>
    </w:p>
    <w:p>
      <w:pPr>
        <w:pStyle w:val="ListParagraph"/>
        <w:numPr>
          <w:ilvl w:val="0"/>
          <w:numId w:val="2"/>
        </w:numPr>
        <w:spacing w:before="60" w:after="60"/>
      </w:pPr>
      <w:r>
        <w:rPr>
          <w:rFonts w:ascii="Arial" w:cs="Arial" w:eastAsia="Arial" w:hAnsi="Arial"/>
          <w:sz w:val="22"/>
          <w:szCs w:val="22"/>
        </w:rPr>
        <w:t xml:space="preserve">Newer models often process more tokens per PTU</w:t>
      </w:r>
    </w:p>
    <w:p>
      <w:pPr>
        <w:pStyle w:val="ListParagraph"/>
        <w:numPr>
          <w:ilvl w:val="0"/>
          <w:numId w:val="2"/>
        </w:numPr>
        <w:spacing w:before="60" w:after="60"/>
      </w:pPr>
      <w:r>
        <w:rPr>
          <w:rFonts w:ascii="Arial" w:cs="Arial" w:eastAsia="Arial" w:hAnsi="Arial"/>
          <w:sz w:val="22"/>
          <w:szCs w:val="22"/>
        </w:rPr>
        <w:t xml:space="preserve">Consider model capabilities vs. cost tradeoffs</w:t>
      </w:r>
    </w:p>
    <w:p>
      <w:pPr>
        <w:pStyle w:val="Heading2"/>
        <w:spacing w:before="300" w:after="150"/>
      </w:pPr>
      <w:r>
        <w:rPr>
          <w:rFonts w:ascii="Arial" w:cs="Arial" w:eastAsia="Arial" w:hAnsi="Arial"/>
          <w:b/>
          <w:bCs/>
          <w:color w:val="2E75B6"/>
          <w:sz w:val="26"/>
          <w:szCs w:val="26"/>
        </w:rPr>
        <w:t xml:space="preserve">2.3 Microsoft's Official Calculator</w:t>
      </w:r>
    </w:p>
    <w:p>
      <w:pPr>
        <w:spacing w:before="120" w:after="120" w:line="276"/>
      </w:pPr>
      <w:r>
        <w:rPr>
          <w:rFonts w:ascii="Arial" w:cs="Arial" w:eastAsia="Arial" w:hAnsi="Arial"/>
          <w:sz w:val="22"/>
          <w:szCs w:val="22"/>
        </w:rPr>
        <w:t xml:space="preserve">Microsoft provides an official PTU capacity calculator at:</w:t>
      </w:r>
    </w:p>
    <w:p>
      <w:pPr>
        <w:spacing w:before="120" w:after="120" w:line="276"/>
      </w:pPr>
      <w:r>
        <w:rPr>
          <w:rFonts w:ascii="Arial" w:cs="Arial" w:eastAsia="Arial" w:hAnsi="Arial"/>
          <w:b/>
          <w:bCs/>
          <w:sz w:val="22"/>
          <w:szCs w:val="22"/>
        </w:rPr>
        <w:t xml:space="preserve">https://oai.azure.com/portal/calculator</w:t>
      </w:r>
    </w:p>
    <w:p>
      <w:pPr>
        <w:spacing w:before="120" w:after="120" w:line="276"/>
      </w:pPr>
      <w:r>
        <w:rPr>
          <w:rFonts w:ascii="Arial" w:cs="Arial" w:eastAsia="Arial" w:hAnsi="Arial"/>
          <w:sz w:val="22"/>
          <w:szCs w:val="22"/>
        </w:rPr>
        <w:t xml:space="preserve">This calculator provides the most current conversion rates and accounts for model-specific optimizations. Always validate your estimates against this tool.</w:t>
      </w:r>
    </w:p>
    <w:p>
      <w:pPr>
        <w:shd w:fill="D4EDDA" w:val="clear"/>
        <w:spacing w:before="120" w:after="120"/>
        <w:ind w:left="200" w:right="200"/>
      </w:pPr>
      <w:r>
        <w:rPr>
          <w:rFonts w:ascii="Arial" w:cs="Arial" w:eastAsia="Arial" w:hAnsi="Arial"/>
          <w:b/>
          <w:bCs/>
          <w:color w:val="155724"/>
          <w:sz w:val="22"/>
          <w:szCs w:val="22"/>
        </w:rPr>
        <w:t xml:space="preserve">Pro Tip: </w:t>
      </w:r>
      <w:r>
        <w:rPr>
          <w:rFonts w:ascii="Arial" w:cs="Arial" w:eastAsia="Arial" w:hAnsi="Arial"/>
          <w:sz w:val="22"/>
          <w:szCs w:val="22"/>
        </w:rPr>
        <w:t xml:space="preserve">For GPT-4o and later models, TPM per PTU is calculated separately for input and output tokens. Older models use a combined calculation where larger calls are progressively more expensive to compute.</w:t>
      </w:r>
    </w:p>
    <w:p>
      <w:r>
        <w:br w:type="page"/>
      </w:r>
    </w:p>
    <w:p>
      <w:pPr>
        <w:pStyle w:val="Heading1"/>
        <w:spacing w:before="400" w:after="200"/>
      </w:pPr>
      <w:r>
        <w:rPr>
          <w:rFonts w:ascii="Arial" w:cs="Arial" w:eastAsia="Arial" w:hAnsi="Arial"/>
          <w:b/>
          <w:bCs/>
          <w:color w:val="1F4E79"/>
          <w:sz w:val="32"/>
          <w:szCs w:val="32"/>
        </w:rPr>
        <w:t xml:space="preserve">3. Building Your PTU Calculator</w:t>
      </w:r>
    </w:p>
    <w:p>
      <w:pPr>
        <w:pStyle w:val="Heading2"/>
        <w:spacing w:before="300" w:after="150"/>
      </w:pPr>
      <w:r>
        <w:rPr>
          <w:rFonts w:ascii="Arial" w:cs="Arial" w:eastAsia="Arial" w:hAnsi="Arial"/>
          <w:b/>
          <w:bCs/>
          <w:color w:val="2E75B6"/>
          <w:sz w:val="26"/>
          <w:szCs w:val="26"/>
        </w:rPr>
        <w:t xml:space="preserve">3.1 Excel/Spreadsheet Approach</w:t>
      </w:r>
    </w:p>
    <w:p>
      <w:pPr>
        <w:spacing w:before="120" w:after="120" w:line="276"/>
      </w:pPr>
      <w:r>
        <w:rPr>
          <w:rFonts w:ascii="Arial" w:cs="Arial" w:eastAsia="Arial" w:hAnsi="Arial"/>
          <w:sz w:val="22"/>
          <w:szCs w:val="22"/>
        </w:rPr>
        <w:t xml:space="preserve">For most project planning purposes, a well-structured Excel workbook provides the flexibility and transparency needed for PTU sizing. Here is how to structure it:</w:t>
      </w:r>
    </w:p>
    <w:p>
      <w:pPr>
        <w:pStyle w:val="Heading3"/>
        <w:spacing w:before="240" w:after="120"/>
      </w:pPr>
      <w:r>
        <w:rPr>
          <w:rFonts w:ascii="Arial" w:cs="Arial" w:eastAsia="Arial" w:hAnsi="Arial"/>
          <w:b/>
          <w:bCs/>
          <w:color w:val="1F4E79"/>
          <w:sz w:val="22"/>
          <w:szCs w:val="22"/>
        </w:rPr>
        <w:t xml:space="preserve">Sheet 1: Workload Inputs</w:t>
      </w:r>
    </w:p>
    <w:p>
      <w:pPr>
        <w:pStyle w:val="ListParagraph"/>
        <w:numPr>
          <w:ilvl w:val="0"/>
          <w:numId w:val="2"/>
        </w:numPr>
        <w:spacing w:before="60" w:after="60"/>
      </w:pPr>
      <w:r>
        <w:rPr>
          <w:rFonts w:ascii="Arial" w:cs="Arial" w:eastAsia="Arial" w:hAnsi="Arial"/>
          <w:sz w:val="22"/>
          <w:szCs w:val="22"/>
        </w:rPr>
        <w:t xml:space="preserve">Application Name</w:t>
      </w:r>
    </w:p>
    <w:p>
      <w:pPr>
        <w:pStyle w:val="ListParagraph"/>
        <w:numPr>
          <w:ilvl w:val="0"/>
          <w:numId w:val="2"/>
        </w:numPr>
        <w:spacing w:before="60" w:after="60"/>
      </w:pPr>
      <w:r>
        <w:rPr>
          <w:rFonts w:ascii="Arial" w:cs="Arial" w:eastAsia="Arial" w:hAnsi="Arial"/>
          <w:sz w:val="22"/>
          <w:szCs w:val="22"/>
        </w:rPr>
        <w:t xml:space="preserve">Model Type (GPT-4o, GPT-4, GPT-3.5-Turbo, etc.)</w:t>
      </w:r>
    </w:p>
    <w:p>
      <w:pPr>
        <w:pStyle w:val="ListParagraph"/>
        <w:numPr>
          <w:ilvl w:val="0"/>
          <w:numId w:val="2"/>
        </w:numPr>
        <w:spacing w:before="60" w:after="60"/>
      </w:pPr>
      <w:r>
        <w:rPr>
          <w:rFonts w:ascii="Arial" w:cs="Arial" w:eastAsia="Arial" w:hAnsi="Arial"/>
          <w:sz w:val="22"/>
          <w:szCs w:val="22"/>
        </w:rPr>
        <w:t xml:space="preserve">Average Input Tokens per Request</w:t>
      </w:r>
    </w:p>
    <w:p>
      <w:pPr>
        <w:pStyle w:val="ListParagraph"/>
        <w:numPr>
          <w:ilvl w:val="0"/>
          <w:numId w:val="2"/>
        </w:numPr>
        <w:spacing w:before="60" w:after="60"/>
      </w:pPr>
      <w:r>
        <w:rPr>
          <w:rFonts w:ascii="Arial" w:cs="Arial" w:eastAsia="Arial" w:hAnsi="Arial"/>
          <w:sz w:val="22"/>
          <w:szCs w:val="22"/>
        </w:rPr>
        <w:t xml:space="preserve">Average Output Tokens per Request</w:t>
      </w:r>
    </w:p>
    <w:p>
      <w:pPr>
        <w:pStyle w:val="ListParagraph"/>
        <w:numPr>
          <w:ilvl w:val="0"/>
          <w:numId w:val="2"/>
        </w:numPr>
        <w:spacing w:before="60" w:after="60"/>
      </w:pPr>
      <w:r>
        <w:rPr>
          <w:rFonts w:ascii="Arial" w:cs="Arial" w:eastAsia="Arial" w:hAnsi="Arial"/>
          <w:sz w:val="22"/>
          <w:szCs w:val="22"/>
        </w:rPr>
        <w:t xml:space="preserve">Peak Requests per Minute</w:t>
      </w:r>
    </w:p>
    <w:p>
      <w:pPr>
        <w:pStyle w:val="ListParagraph"/>
        <w:numPr>
          <w:ilvl w:val="0"/>
          <w:numId w:val="2"/>
        </w:numPr>
        <w:spacing w:before="60" w:after="60"/>
      </w:pPr>
      <w:r>
        <w:rPr>
          <w:rFonts w:ascii="Arial" w:cs="Arial" w:eastAsia="Arial" w:hAnsi="Arial"/>
          <w:sz w:val="22"/>
          <w:szCs w:val="22"/>
        </w:rPr>
        <w:t xml:space="preserve">Expected Utilization Hours per Day</w:t>
      </w:r>
    </w:p>
    <w:p>
      <w:pPr>
        <w:pStyle w:val="ListParagraph"/>
        <w:numPr>
          <w:ilvl w:val="0"/>
          <w:numId w:val="2"/>
        </w:numPr>
        <w:spacing w:before="60" w:after="60"/>
      </w:pPr>
      <w:r>
        <w:rPr>
          <w:rFonts w:ascii="Arial" w:cs="Arial" w:eastAsia="Arial" w:hAnsi="Arial"/>
          <w:sz w:val="22"/>
          <w:szCs w:val="22"/>
        </w:rPr>
        <w:t xml:space="preserve">Priority Level (for spillover configuration)</w:t>
      </w:r>
    </w:p>
    <w:p>
      <w:pPr>
        <w:pStyle w:val="Heading3"/>
        <w:spacing w:before="240" w:after="120"/>
      </w:pPr>
      <w:r>
        <w:rPr>
          <w:rFonts w:ascii="Arial" w:cs="Arial" w:eastAsia="Arial" w:hAnsi="Arial"/>
          <w:b/>
          <w:bCs/>
          <w:color w:val="1F4E79"/>
          <w:sz w:val="22"/>
          <w:szCs w:val="22"/>
        </w:rPr>
        <w:t xml:space="preserve">Sheet 2: PTU Conversion Rates</w:t>
      </w:r>
    </w:p>
    <w:p>
      <w:pPr>
        <w:spacing w:before="120" w:after="120" w:line="276"/>
      </w:pPr>
      <w:r>
        <w:rPr>
          <w:rFonts w:ascii="Arial" w:cs="Arial" w:eastAsia="Arial" w:hAnsi="Arial"/>
          <w:sz w:val="22"/>
          <w:szCs w:val="22"/>
        </w:rPr>
        <w:t xml:space="preserve">Maintain a reference table with current TPM-to-PTU conversion rates per model. These rates change as Microsoft optimizes their infrastructure, so plan to update quarterly.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Input TPM per PTU</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 TPM per PTU</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GPT-4o</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~2,500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~833</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GPT-4 Turbo</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~1,200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~400</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GPT-3.5 Turbo</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~10,000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~3,333</w:t>
            </w:r>
          </w:p>
        </w:tc>
      </w:tr>
    </w:tbl>
    <w:p>
      <w:pPr>
        <w:shd w:fill="FFF3CD" w:val="clear"/>
        <w:spacing w:before="120" w:after="120"/>
        <w:ind w:left="200" w:right="200"/>
      </w:pPr>
      <w:r>
        <w:rPr>
          <w:rFonts w:ascii="Arial" w:cs="Arial" w:eastAsia="Arial" w:hAnsi="Arial"/>
          <w:b/>
          <w:bCs/>
          <w:sz w:val="22"/>
          <w:szCs w:val="22"/>
        </w:rPr>
        <w:t xml:space="preserve">Note: </w:t>
      </w:r>
      <w:r>
        <w:rPr>
          <w:rFonts w:ascii="Arial" w:cs="Arial" w:eastAsia="Arial" w:hAnsi="Arial"/>
          <w:sz w:val="22"/>
          <w:szCs w:val="22"/>
        </w:rPr>
        <w:t xml:space="preserve">These rates are approximate and vary based on workload characteristics. Always validate against Microsoft's official calculator for production planning.</w:t>
      </w:r>
    </w:p>
    <w:p>
      <w:pPr>
        <w:pStyle w:val="Heading3"/>
        <w:spacing w:before="240" w:after="120"/>
      </w:pPr>
      <w:r>
        <w:rPr>
          <w:rFonts w:ascii="Arial" w:cs="Arial" w:eastAsia="Arial" w:hAnsi="Arial"/>
          <w:b/>
          <w:bCs/>
          <w:color w:val="1F4E79"/>
          <w:sz w:val="22"/>
          <w:szCs w:val="22"/>
        </w:rPr>
        <w:t xml:space="preserve">Sheet 3: Cost Analysis</w:t>
      </w:r>
    </w:p>
    <w:p>
      <w:pPr>
        <w:pStyle w:val="ListParagraph"/>
        <w:numPr>
          <w:ilvl w:val="0"/>
          <w:numId w:val="2"/>
        </w:numPr>
        <w:spacing w:before="60" w:after="60"/>
      </w:pPr>
      <w:r>
        <w:rPr>
          <w:rFonts w:ascii="Arial" w:cs="Arial" w:eastAsia="Arial" w:hAnsi="Arial"/>
          <w:sz w:val="22"/>
          <w:szCs w:val="22"/>
        </w:rPr>
        <w:t xml:space="preserve">Hourly PTU Rate (varies by deployment type and region)</w:t>
      </w:r>
    </w:p>
    <w:p>
      <w:pPr>
        <w:pStyle w:val="ListParagraph"/>
        <w:numPr>
          <w:ilvl w:val="0"/>
          <w:numId w:val="2"/>
        </w:numPr>
        <w:spacing w:before="60" w:after="60"/>
      </w:pPr>
      <w:r>
        <w:rPr>
          <w:rFonts w:ascii="Arial" w:cs="Arial" w:eastAsia="Arial" w:hAnsi="Arial"/>
          <w:sz w:val="22"/>
          <w:szCs w:val="22"/>
        </w:rPr>
        <w:t xml:space="preserve">Monthly Cost = PTUs × Hourly Rate × 730 hours</w:t>
      </w:r>
    </w:p>
    <w:p>
      <w:pPr>
        <w:pStyle w:val="ListParagraph"/>
        <w:numPr>
          <w:ilvl w:val="0"/>
          <w:numId w:val="2"/>
        </w:numPr>
        <w:spacing w:before="60" w:after="60"/>
      </w:pPr>
      <w:r>
        <w:rPr>
          <w:rFonts w:ascii="Arial" w:cs="Arial" w:eastAsia="Arial" w:hAnsi="Arial"/>
          <w:sz w:val="22"/>
          <w:szCs w:val="22"/>
        </w:rPr>
        <w:t xml:space="preserve">Reservation Discount (typically 20-40% for annual commitments)</w:t>
      </w:r>
    </w:p>
    <w:p>
      <w:pPr>
        <w:pStyle w:val="ListParagraph"/>
        <w:numPr>
          <w:ilvl w:val="0"/>
          <w:numId w:val="2"/>
        </w:numPr>
        <w:spacing w:before="60" w:after="60"/>
      </w:pPr>
      <w:r>
        <w:rPr>
          <w:rFonts w:ascii="Arial" w:cs="Arial" w:eastAsia="Arial" w:hAnsi="Arial"/>
          <w:sz w:val="22"/>
          <w:szCs w:val="22"/>
        </w:rPr>
        <w:t xml:space="preserve">Comparison: PTU Cost vs. Pay-As-You-Go Equivalent</w:t>
      </w:r>
    </w:p>
    <w:p>
      <w:pPr>
        <w:pStyle w:val="Heading3"/>
        <w:spacing w:before="240" w:after="120"/>
      </w:pPr>
      <w:r>
        <w:rPr>
          <w:rFonts w:ascii="Arial" w:cs="Arial" w:eastAsia="Arial" w:hAnsi="Arial"/>
          <w:b/>
          <w:bCs/>
          <w:color w:val="1F4E79"/>
          <w:sz w:val="22"/>
          <w:szCs w:val="22"/>
        </w:rPr>
        <w:t xml:space="preserve">Sheet 4: Capacity Planning</w:t>
      </w:r>
    </w:p>
    <w:p>
      <w:pPr>
        <w:pStyle w:val="ListParagraph"/>
        <w:numPr>
          <w:ilvl w:val="0"/>
          <w:numId w:val="2"/>
        </w:numPr>
        <w:spacing w:before="60" w:after="60"/>
      </w:pPr>
      <w:r>
        <w:rPr>
          <w:rFonts w:ascii="Arial" w:cs="Arial" w:eastAsia="Arial" w:hAnsi="Arial"/>
          <w:sz w:val="22"/>
          <w:szCs w:val="22"/>
        </w:rPr>
        <w:t xml:space="preserve">Total PTU Requirement (sum of all workloads)</w:t>
      </w:r>
    </w:p>
    <w:p>
      <w:pPr>
        <w:pStyle w:val="ListParagraph"/>
        <w:numPr>
          <w:ilvl w:val="0"/>
          <w:numId w:val="2"/>
        </w:numPr>
        <w:spacing w:before="60" w:after="60"/>
      </w:pPr>
      <w:r>
        <w:rPr>
          <w:rFonts w:ascii="Arial" w:cs="Arial" w:eastAsia="Arial" w:hAnsi="Arial"/>
          <w:sz w:val="22"/>
          <w:szCs w:val="22"/>
        </w:rPr>
        <w:t xml:space="preserve">Buffer Allocation (typically 10-20% for variance)</w:t>
      </w:r>
    </w:p>
    <w:p>
      <w:pPr>
        <w:pStyle w:val="ListParagraph"/>
        <w:numPr>
          <w:ilvl w:val="0"/>
          <w:numId w:val="2"/>
        </w:numPr>
        <w:spacing w:before="60" w:after="60"/>
      </w:pPr>
      <w:r>
        <w:rPr>
          <w:rFonts w:ascii="Arial" w:cs="Arial" w:eastAsia="Arial" w:hAnsi="Arial"/>
          <w:sz w:val="22"/>
          <w:szCs w:val="22"/>
        </w:rPr>
        <w:t xml:space="preserve">Regional Distribution</w:t>
      </w:r>
    </w:p>
    <w:p>
      <w:pPr>
        <w:pStyle w:val="ListParagraph"/>
        <w:numPr>
          <w:ilvl w:val="0"/>
          <w:numId w:val="2"/>
        </w:numPr>
        <w:spacing w:before="60" w:after="60"/>
      </w:pPr>
      <w:r>
        <w:rPr>
          <w:rFonts w:ascii="Arial" w:cs="Arial" w:eastAsia="Arial" w:hAnsi="Arial"/>
          <w:sz w:val="22"/>
          <w:szCs w:val="22"/>
        </w:rPr>
        <w:t xml:space="preserve">Spillover Configuration</w:t>
      </w:r>
    </w:p>
    <w:p>
      <w:pPr>
        <w:pStyle w:val="Heading2"/>
        <w:spacing w:before="300" w:after="150"/>
      </w:pPr>
      <w:r>
        <w:rPr>
          <w:rFonts w:ascii="Arial" w:cs="Arial" w:eastAsia="Arial" w:hAnsi="Arial"/>
          <w:b/>
          <w:bCs/>
          <w:color w:val="2E75B6"/>
          <w:sz w:val="26"/>
          <w:szCs w:val="26"/>
        </w:rPr>
        <w:t xml:space="preserve">3.2 Calculation Formulas</w:t>
      </w:r>
    </w:p>
    <w:p>
      <w:pPr>
        <w:spacing w:before="120" w:after="120" w:line="276"/>
      </w:pPr>
      <w:r>
        <w:rPr>
          <w:rFonts w:ascii="Arial" w:cs="Arial" w:eastAsia="Arial" w:hAnsi="Arial"/>
          <w:sz w:val="22"/>
          <w:szCs w:val="22"/>
        </w:rPr>
        <w:t xml:space="preserve">Here are the key formulas for your spreadsheet:</w:t>
      </w:r>
    </w:p>
    <w:p>
      <w:pPr>
        <w:pStyle w:val="Heading3"/>
        <w:spacing w:before="240" w:after="120"/>
      </w:pPr>
      <w:r>
        <w:rPr>
          <w:rFonts w:ascii="Arial" w:cs="Arial" w:eastAsia="Arial" w:hAnsi="Arial"/>
          <w:b/>
          <w:bCs/>
          <w:color w:val="1F4E79"/>
          <w:sz w:val="22"/>
          <w:szCs w:val="22"/>
        </w:rPr>
        <w:t xml:space="preserve">Basic PTU Calculation</w:t>
      </w:r>
    </w:p>
    <w:p>
      <w:pPr>
        <w:spacing w:before="120" w:after="120" w:line="276"/>
      </w:pPr>
      <w:r>
        <w:rPr>
          <w:rFonts w:ascii="Arial" w:cs="Arial" w:eastAsia="Arial" w:hAnsi="Arial"/>
          <w:sz w:val="22"/>
          <w:szCs w:val="22"/>
        </w:rPr>
        <w:t xml:space="preserve">PTU_Required = CEILING((Input_TPM / Input_Rate) + (Output_TPM / Output_Rate), Minimum_Increment)</w:t>
      </w:r>
    </w:p>
    <w:p>
      <w:pPr>
        <w:pStyle w:val="Heading3"/>
        <w:spacing w:before="240" w:after="120"/>
      </w:pPr>
      <w:r>
        <w:rPr>
          <w:rFonts w:ascii="Arial" w:cs="Arial" w:eastAsia="Arial" w:hAnsi="Arial"/>
          <w:b/>
          <w:bCs/>
          <w:color w:val="1F4E79"/>
          <w:sz w:val="22"/>
          <w:szCs w:val="22"/>
        </w:rPr>
        <w:t xml:space="preserve">Cost Comparison</w:t>
      </w:r>
    </w:p>
    <w:p>
      <w:pPr>
        <w:spacing w:before="120" w:after="120" w:line="276"/>
      </w:pPr>
      <w:r>
        <w:rPr>
          <w:rFonts w:ascii="Arial" w:cs="Arial" w:eastAsia="Arial" w:hAnsi="Arial"/>
          <w:sz w:val="22"/>
          <w:szCs w:val="22"/>
        </w:rPr>
        <w:t xml:space="preserve">Breakeven_TPM = PTU_Monthly_Cost / PAYGO_Price_Per_Million_Tokens × 1,000,000</w:t>
      </w:r>
    </w:p>
    <w:p>
      <w:pPr>
        <w:pStyle w:val="Heading3"/>
        <w:spacing w:before="240" w:after="120"/>
      </w:pPr>
      <w:r>
        <w:rPr>
          <w:rFonts w:ascii="Arial" w:cs="Arial" w:eastAsia="Arial" w:hAnsi="Arial"/>
          <w:b/>
          <w:bCs/>
          <w:color w:val="1F4E79"/>
          <w:sz w:val="22"/>
          <w:szCs w:val="22"/>
        </w:rPr>
        <w:t xml:space="preserve">Utilization Efficiency</w:t>
      </w:r>
    </w:p>
    <w:p>
      <w:pPr>
        <w:spacing w:before="120" w:after="120" w:line="276"/>
      </w:pPr>
      <w:r>
        <w:rPr>
          <w:rFonts w:ascii="Arial" w:cs="Arial" w:eastAsia="Arial" w:hAnsi="Arial"/>
          <w:sz w:val="22"/>
          <w:szCs w:val="22"/>
        </w:rPr>
        <w:t xml:space="preserve">Utilization_Percent = (Actual_TPM / (PTU_Count × TPM_Per_PTU)) × 100</w:t>
      </w:r>
    </w:p>
    <w:p>
      <w:r>
        <w:br w:type="page"/>
      </w:r>
    </w:p>
    <w:p>
      <w:pPr>
        <w:pStyle w:val="Heading1"/>
        <w:spacing w:before="400" w:after="200"/>
      </w:pPr>
      <w:r>
        <w:rPr>
          <w:rFonts w:ascii="Arial" w:cs="Arial" w:eastAsia="Arial" w:hAnsi="Arial"/>
          <w:b/>
          <w:bCs/>
          <w:color w:val="1F4E79"/>
          <w:sz w:val="32"/>
          <w:szCs w:val="32"/>
        </w:rPr>
        <w:t xml:space="preserve">4. Advanced Calculator Features</w:t>
      </w:r>
    </w:p>
    <w:p>
      <w:pPr>
        <w:pStyle w:val="Heading2"/>
        <w:spacing w:before="300" w:after="150"/>
      </w:pPr>
      <w:r>
        <w:rPr>
          <w:rFonts w:ascii="Arial" w:cs="Arial" w:eastAsia="Arial" w:hAnsi="Arial"/>
          <w:b/>
          <w:bCs/>
          <w:color w:val="2E75B6"/>
          <w:sz w:val="26"/>
          <w:szCs w:val="26"/>
        </w:rPr>
        <w:t xml:space="preserve">4.1 Multi-Application Pooling</w:t>
      </w:r>
    </w:p>
    <w:p>
      <w:pPr>
        <w:spacing w:before="120" w:after="120" w:line="276"/>
      </w:pPr>
      <w:r>
        <w:rPr>
          <w:rFonts w:ascii="Arial" w:cs="Arial" w:eastAsia="Arial" w:hAnsi="Arial"/>
          <w:sz w:val="22"/>
          <w:szCs w:val="22"/>
        </w:rPr>
        <w:t xml:space="preserve">One of the most powerful aspects of PTU planning is the ability to share capacity across multiple applications. Your calculator should support:</w:t>
      </w:r>
    </w:p>
    <w:p>
      <w:pPr>
        <w:pStyle w:val="ListParagraph"/>
        <w:numPr>
          <w:ilvl w:val="0"/>
          <w:numId w:val="2"/>
        </w:numPr>
        <w:spacing w:before="60" w:after="60"/>
      </w:pPr>
      <w:r>
        <w:rPr>
          <w:rFonts w:ascii="Arial" w:cs="Arial" w:eastAsia="Arial" w:hAnsi="Arial"/>
          <w:sz w:val="22"/>
          <w:szCs w:val="22"/>
        </w:rPr>
        <w:t xml:space="preserve">Aggregating workloads with complementary usage patterns</w:t>
      </w:r>
    </w:p>
    <w:p>
      <w:pPr>
        <w:pStyle w:val="ListParagraph"/>
        <w:numPr>
          <w:ilvl w:val="0"/>
          <w:numId w:val="2"/>
        </w:numPr>
        <w:spacing w:before="60" w:after="60"/>
      </w:pPr>
      <w:r>
        <w:rPr>
          <w:rFonts w:ascii="Arial" w:cs="Arial" w:eastAsia="Arial" w:hAnsi="Arial"/>
          <w:sz w:val="22"/>
          <w:szCs w:val="22"/>
        </w:rPr>
        <w:t xml:space="preserve">Identifying peak overlap vs. time-shifted usage</w:t>
      </w:r>
    </w:p>
    <w:p>
      <w:pPr>
        <w:pStyle w:val="ListParagraph"/>
        <w:numPr>
          <w:ilvl w:val="0"/>
          <w:numId w:val="2"/>
        </w:numPr>
        <w:spacing w:before="60" w:after="60"/>
      </w:pPr>
      <w:r>
        <w:rPr>
          <w:rFonts w:ascii="Arial" w:cs="Arial" w:eastAsia="Arial" w:hAnsi="Arial"/>
          <w:sz w:val="22"/>
          <w:szCs w:val="22"/>
        </w:rPr>
        <w:t xml:space="preserve">Calculating shared PTU requirements vs. dedicated allocations</w:t>
      </w:r>
    </w:p>
    <w:p>
      <w:pPr>
        <w:shd w:fill="D4EDDA" w:val="clear"/>
        <w:spacing w:before="120" w:after="120"/>
        <w:ind w:left="200" w:right="200"/>
      </w:pPr>
      <w:r>
        <w:rPr>
          <w:rFonts w:ascii="Arial" w:cs="Arial" w:eastAsia="Arial" w:hAnsi="Arial"/>
          <w:b/>
          <w:bCs/>
          <w:color w:val="155724"/>
          <w:sz w:val="22"/>
          <w:szCs w:val="22"/>
        </w:rPr>
        <w:t xml:space="preserve">Pro Tip: </w:t>
      </w:r>
      <w:r>
        <w:rPr>
          <w:rFonts w:ascii="Arial" w:cs="Arial" w:eastAsia="Arial" w:hAnsi="Arial"/>
          <w:sz w:val="22"/>
          <w:szCs w:val="22"/>
        </w:rPr>
        <w:t xml:space="preserve">Applications with different peak hours can share PTU capacity effectively. A morning-heavy analytics workload pairs well with an evening-heavy consumer chatbot.</w:t>
      </w:r>
    </w:p>
    <w:p>
      <w:pPr>
        <w:pStyle w:val="Heading2"/>
        <w:spacing w:before="300" w:after="150"/>
      </w:pPr>
      <w:r>
        <w:rPr>
          <w:rFonts w:ascii="Arial" w:cs="Arial" w:eastAsia="Arial" w:hAnsi="Arial"/>
          <w:b/>
          <w:bCs/>
          <w:color w:val="2E75B6"/>
          <w:sz w:val="26"/>
          <w:szCs w:val="26"/>
        </w:rPr>
        <w:t xml:space="preserve">4.2 Spillover Planning</w:t>
      </w:r>
    </w:p>
    <w:p>
      <w:pPr>
        <w:spacing w:before="120" w:after="120" w:line="276"/>
      </w:pPr>
      <w:r>
        <w:rPr>
          <w:rFonts w:ascii="Arial" w:cs="Arial" w:eastAsia="Arial" w:hAnsi="Arial"/>
          <w:sz w:val="22"/>
          <w:szCs w:val="22"/>
        </w:rPr>
        <w:t xml:space="preserve">A well-designed calculator should model spillover scenarios. The spillover pattern routes traffic to PTU deployments first, then falls back to Pay-As-You-Go when PTU capacity is exceeded.</w:t>
      </w:r>
    </w:p>
    <w:p>
      <w:pPr>
        <w:pStyle w:val="Heading3"/>
        <w:spacing w:before="240" w:after="120"/>
      </w:pPr>
      <w:r>
        <w:rPr>
          <w:rFonts w:ascii="Arial" w:cs="Arial" w:eastAsia="Arial" w:hAnsi="Arial"/>
          <w:b/>
          <w:bCs/>
          <w:color w:val="1F4E79"/>
          <w:sz w:val="22"/>
          <w:szCs w:val="22"/>
        </w:rPr>
        <w:t xml:space="preserve">Spillover Configuration Variables</w:t>
      </w:r>
    </w:p>
    <w:p>
      <w:pPr>
        <w:pStyle w:val="ListParagraph"/>
        <w:numPr>
          <w:ilvl w:val="0"/>
          <w:numId w:val="2"/>
        </w:numPr>
        <w:spacing w:before="60" w:after="60"/>
      </w:pPr>
      <w:r>
        <w:rPr>
          <w:rFonts w:ascii="Arial" w:cs="Arial" w:eastAsia="Arial" w:hAnsi="Arial"/>
          <w:sz w:val="22"/>
          <w:szCs w:val="22"/>
        </w:rPr>
        <w:t xml:space="preserve">Base PTU Allocation (sized for 85-95th percentile traffic)</w:t>
      </w:r>
    </w:p>
    <w:p>
      <w:pPr>
        <w:pStyle w:val="ListParagraph"/>
        <w:numPr>
          <w:ilvl w:val="0"/>
          <w:numId w:val="2"/>
        </w:numPr>
        <w:spacing w:before="60" w:after="60"/>
      </w:pPr>
      <w:r>
        <w:rPr>
          <w:rFonts w:ascii="Arial" w:cs="Arial" w:eastAsia="Arial" w:hAnsi="Arial"/>
          <w:sz w:val="22"/>
          <w:szCs w:val="22"/>
        </w:rPr>
        <w:t xml:space="preserve">Expected Spillover Percentage</w:t>
      </w:r>
    </w:p>
    <w:p>
      <w:pPr>
        <w:pStyle w:val="ListParagraph"/>
        <w:numPr>
          <w:ilvl w:val="0"/>
          <w:numId w:val="2"/>
        </w:numPr>
        <w:spacing w:before="60" w:after="60"/>
      </w:pPr>
      <w:r>
        <w:rPr>
          <w:rFonts w:ascii="Arial" w:cs="Arial" w:eastAsia="Arial" w:hAnsi="Arial"/>
          <w:sz w:val="22"/>
          <w:szCs w:val="22"/>
        </w:rPr>
        <w:t xml:space="preserve">PAYGO Rate for Overflow Traffic</w:t>
      </w:r>
    </w:p>
    <w:p>
      <w:pPr>
        <w:pStyle w:val="ListParagraph"/>
        <w:numPr>
          <w:ilvl w:val="0"/>
          <w:numId w:val="2"/>
        </w:numPr>
        <w:spacing w:before="60" w:after="60"/>
      </w:pPr>
      <w:r>
        <w:rPr>
          <w:rFonts w:ascii="Arial" w:cs="Arial" w:eastAsia="Arial" w:hAnsi="Arial"/>
          <w:sz w:val="22"/>
          <w:szCs w:val="22"/>
        </w:rPr>
        <w:t xml:space="preserve">Blended Cost Calculation</w:t>
      </w:r>
    </w:p>
    <w:p>
      <w:pPr>
        <w:pStyle w:val="Heading3"/>
        <w:spacing w:before="240" w:after="120"/>
      </w:pPr>
      <w:r>
        <w:rPr>
          <w:rFonts w:ascii="Arial" w:cs="Arial" w:eastAsia="Arial" w:hAnsi="Arial"/>
          <w:b/>
          <w:bCs/>
          <w:color w:val="1F4E79"/>
          <w:sz w:val="22"/>
          <w:szCs w:val="22"/>
        </w:rPr>
        <w:t xml:space="preserve">Spillover Economics</w:t>
      </w:r>
    </w:p>
    <w:p>
      <w:pPr>
        <w:spacing w:before="120" w:after="120" w:line="276"/>
      </w:pPr>
      <w:r>
        <w:rPr>
          <w:rFonts w:ascii="Arial" w:cs="Arial" w:eastAsia="Arial" w:hAnsi="Arial"/>
          <w:sz w:val="22"/>
          <w:szCs w:val="22"/>
        </w:rPr>
        <w:t xml:space="preserve">The optimal PTU allocation is often NOT 100% of peak traffic. Consider this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Monthly Cost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100% PTU (sized for peak)</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$15,000</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85% PTU + 15% PAYGO Spillover</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$13,500</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70% PTU + 30% PAYGO Spillover</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$12,800</w:t>
            </w:r>
          </w:p>
        </w:tc>
      </w:tr>
    </w:tbl>
    <w:p>
      <w:pPr>
        <w:shd w:fill="FFF3CD" w:val="clear"/>
        <w:spacing w:before="120" w:after="120"/>
        <w:ind w:left="200" w:right="200"/>
      </w:pPr>
      <w:r>
        <w:rPr>
          <w:rFonts w:ascii="Arial" w:cs="Arial" w:eastAsia="Arial" w:hAnsi="Arial"/>
          <w:b/>
          <w:bCs/>
          <w:sz w:val="22"/>
          <w:szCs w:val="22"/>
        </w:rPr>
        <w:t xml:space="preserve">Note: </w:t>
      </w:r>
      <w:r>
        <w:rPr>
          <w:rFonts w:ascii="Arial" w:cs="Arial" w:eastAsia="Arial" w:hAnsi="Arial"/>
          <w:sz w:val="22"/>
          <w:szCs w:val="22"/>
        </w:rPr>
        <w:t xml:space="preserve">Spillover strategies can reduce costs significantly, but introduce variable latency during peak periods. Balance cost savings against SLA requirements.</w:t>
      </w:r>
    </w:p>
    <w:p>
      <w:pPr>
        <w:pStyle w:val="Heading2"/>
        <w:spacing w:before="300" w:after="150"/>
      </w:pPr>
      <w:r>
        <w:rPr>
          <w:rFonts w:ascii="Arial" w:cs="Arial" w:eastAsia="Arial" w:hAnsi="Arial"/>
          <w:b/>
          <w:bCs/>
          <w:color w:val="2E75B6"/>
          <w:sz w:val="26"/>
          <w:szCs w:val="26"/>
        </w:rPr>
        <w:t xml:space="preserve">4.3 Reservation Optimization</w:t>
      </w:r>
    </w:p>
    <w:p>
      <w:pPr>
        <w:spacing w:before="120" w:after="120" w:line="276"/>
      </w:pPr>
      <w:r>
        <w:rPr>
          <w:rFonts w:ascii="Arial" w:cs="Arial" w:eastAsia="Arial" w:hAnsi="Arial"/>
          <w:sz w:val="22"/>
          <w:szCs w:val="22"/>
        </w:rPr>
        <w:t xml:space="preserve">Azure Reservations provide significant discounts on PTU capacity. Your calculator should model:</w:t>
      </w:r>
    </w:p>
    <w:p>
      <w:pPr>
        <w:pStyle w:val="ListParagraph"/>
        <w:numPr>
          <w:ilvl w:val="0"/>
          <w:numId w:val="2"/>
        </w:numPr>
        <w:spacing w:before="60" w:after="60"/>
      </w:pPr>
      <w:r>
        <w:rPr>
          <w:rFonts w:ascii="Arial" w:cs="Arial" w:eastAsia="Arial" w:hAnsi="Arial"/>
          <w:sz w:val="22"/>
          <w:szCs w:val="22"/>
        </w:rPr>
        <w:t xml:space="preserve">1-Year vs. 3-Year Reservation Discounts</w:t>
      </w:r>
    </w:p>
    <w:p>
      <w:pPr>
        <w:pStyle w:val="ListParagraph"/>
        <w:numPr>
          <w:ilvl w:val="0"/>
          <w:numId w:val="2"/>
        </w:numPr>
        <w:spacing w:before="60" w:after="60"/>
      </w:pPr>
      <w:r>
        <w:rPr>
          <w:rFonts w:ascii="Arial" w:cs="Arial" w:eastAsia="Arial" w:hAnsi="Arial"/>
          <w:sz w:val="22"/>
          <w:szCs w:val="22"/>
        </w:rPr>
        <w:t xml:space="preserve">Upfront vs. Monthly Payment Options</w:t>
      </w:r>
    </w:p>
    <w:p>
      <w:pPr>
        <w:pStyle w:val="ListParagraph"/>
        <w:numPr>
          <w:ilvl w:val="0"/>
          <w:numId w:val="2"/>
        </w:numPr>
        <w:spacing w:before="60" w:after="60"/>
      </w:pPr>
      <w:r>
        <w:rPr>
          <w:rFonts w:ascii="Arial" w:cs="Arial" w:eastAsia="Arial" w:hAnsi="Arial"/>
          <w:sz w:val="22"/>
          <w:szCs w:val="22"/>
        </w:rPr>
        <w:t xml:space="preserve">Reservation Exchange and Cancellation Policies</w:t>
      </w:r>
    </w:p>
    <w:p>
      <w:pPr>
        <w:pStyle w:val="ListParagraph"/>
        <w:numPr>
          <w:ilvl w:val="0"/>
          <w:numId w:val="2"/>
        </w:numPr>
        <w:spacing w:before="60" w:after="60"/>
      </w:pPr>
      <w:r>
        <w:rPr>
          <w:rFonts w:ascii="Arial" w:cs="Arial" w:eastAsia="Arial" w:hAnsi="Arial"/>
          <w:sz w:val="22"/>
          <w:szCs w:val="22"/>
        </w:rPr>
        <w:t xml:space="preserve">Break-Even Analysis for Commitment Terms</w:t>
      </w:r>
    </w:p>
    <w:p>
      <w:r>
        <w:br w:type="page"/>
      </w:r>
    </w:p>
    <w:p>
      <w:pPr>
        <w:pStyle w:val="Heading1"/>
        <w:spacing w:before="400" w:after="200"/>
      </w:pPr>
      <w:r>
        <w:rPr>
          <w:rFonts w:ascii="Arial" w:cs="Arial" w:eastAsia="Arial" w:hAnsi="Arial"/>
          <w:b/>
          <w:bCs/>
          <w:color w:val="1F4E79"/>
          <w:sz w:val="32"/>
          <w:szCs w:val="32"/>
        </w:rPr>
        <w:t xml:space="preserve">5. Plugin and Integration Options</w:t>
      </w:r>
    </w:p>
    <w:p>
      <w:pPr>
        <w:pStyle w:val="Heading2"/>
        <w:spacing w:before="300" w:after="150"/>
      </w:pPr>
      <w:r>
        <w:rPr>
          <w:rFonts w:ascii="Arial" w:cs="Arial" w:eastAsia="Arial" w:hAnsi="Arial"/>
          <w:b/>
          <w:bCs/>
          <w:color w:val="2E75B6"/>
          <w:sz w:val="26"/>
          <w:szCs w:val="26"/>
        </w:rPr>
        <w:t xml:space="preserve">5.1 Azure API Management (APIM) Integration</w:t>
      </w:r>
    </w:p>
    <w:p>
      <w:pPr>
        <w:spacing w:before="120" w:after="120" w:line="276"/>
      </w:pPr>
      <w:r>
        <w:rPr>
          <w:rFonts w:ascii="Arial" w:cs="Arial" w:eastAsia="Arial" w:hAnsi="Arial"/>
          <w:sz w:val="22"/>
          <w:szCs w:val="22"/>
        </w:rPr>
        <w:t xml:space="preserve">APIM serves as a GenAI gateway and is essential for production PTU deployments. Your calculator should account for APIM-enabled architectures:</w:t>
      </w:r>
    </w:p>
    <w:p>
      <w:pPr>
        <w:pStyle w:val="Heading3"/>
        <w:spacing w:before="240" w:after="120"/>
      </w:pPr>
      <w:r>
        <w:rPr>
          <w:rFonts w:ascii="Arial" w:cs="Arial" w:eastAsia="Arial" w:hAnsi="Arial"/>
          <w:b/>
          <w:bCs/>
          <w:color w:val="1F4E79"/>
          <w:sz w:val="22"/>
          <w:szCs w:val="22"/>
        </w:rPr>
        <w:t xml:space="preserve">Key APIM Capabilities</w:t>
      </w:r>
    </w:p>
    <w:p>
      <w:pPr>
        <w:pStyle w:val="ListParagraph"/>
        <w:numPr>
          <w:ilvl w:val="0"/>
          <w:numId w:val="2"/>
        </w:numPr>
        <w:spacing w:before="60" w:after="60"/>
      </w:pPr>
      <w:r>
        <w:rPr>
          <w:rFonts w:ascii="Arial" w:cs="Arial" w:eastAsia="Arial" w:hAnsi="Arial"/>
          <w:sz w:val="22"/>
          <w:szCs w:val="22"/>
        </w:rPr>
        <w:t xml:space="preserve">Token Limit Policies: Enforce per-application or per-user TPM limits</w:t>
      </w:r>
    </w:p>
    <w:p>
      <w:pPr>
        <w:pStyle w:val="ListParagraph"/>
        <w:numPr>
          <w:ilvl w:val="0"/>
          <w:numId w:val="2"/>
        </w:numPr>
        <w:spacing w:before="60" w:after="60"/>
      </w:pPr>
      <w:r>
        <w:rPr>
          <w:rFonts w:ascii="Arial" w:cs="Arial" w:eastAsia="Arial" w:hAnsi="Arial"/>
          <w:sz w:val="22"/>
          <w:szCs w:val="22"/>
        </w:rPr>
        <w:t xml:space="preserve">Circuit Breaker: Automatic failover when PTU deployment returns 429s</w:t>
      </w:r>
    </w:p>
    <w:p>
      <w:pPr>
        <w:pStyle w:val="ListParagraph"/>
        <w:numPr>
          <w:ilvl w:val="0"/>
          <w:numId w:val="2"/>
        </w:numPr>
        <w:spacing w:before="60" w:after="60"/>
      </w:pPr>
      <w:r>
        <w:rPr>
          <w:rFonts w:ascii="Arial" w:cs="Arial" w:eastAsia="Arial" w:hAnsi="Arial"/>
          <w:sz w:val="22"/>
          <w:szCs w:val="22"/>
        </w:rPr>
        <w:t xml:space="preserve">Load Balancing: Distribute traffic across multiple PTU and PAYGO backends</w:t>
      </w:r>
    </w:p>
    <w:p>
      <w:pPr>
        <w:pStyle w:val="ListParagraph"/>
        <w:numPr>
          <w:ilvl w:val="0"/>
          <w:numId w:val="2"/>
        </w:numPr>
        <w:spacing w:before="60" w:after="60"/>
      </w:pPr>
      <w:r>
        <w:rPr>
          <w:rFonts w:ascii="Arial" w:cs="Arial" w:eastAsia="Arial" w:hAnsi="Arial"/>
          <w:sz w:val="22"/>
          <w:szCs w:val="22"/>
        </w:rPr>
        <w:t xml:space="preserve">Content-Based Routing: Route requests to specific deployments based on model or priority</w:t>
      </w:r>
    </w:p>
    <w:p>
      <w:pPr>
        <w:pStyle w:val="ListParagraph"/>
        <w:numPr>
          <w:ilvl w:val="0"/>
          <w:numId w:val="2"/>
        </w:numPr>
        <w:spacing w:before="60" w:after="60"/>
      </w:pPr>
      <w:r>
        <w:rPr>
          <w:rFonts w:ascii="Arial" w:cs="Arial" w:eastAsia="Arial" w:hAnsi="Arial"/>
          <w:sz w:val="22"/>
          <w:szCs w:val="22"/>
        </w:rPr>
        <w:t xml:space="preserve">Semantic Caching: Reduce token consumption by caching similar prompts</w:t>
      </w:r>
    </w:p>
    <w:p>
      <w:pPr>
        <w:pStyle w:val="Heading3"/>
        <w:spacing w:before="240" w:after="120"/>
      </w:pPr>
      <w:r>
        <w:rPr>
          <w:rFonts w:ascii="Arial" w:cs="Arial" w:eastAsia="Arial" w:hAnsi="Arial"/>
          <w:b/>
          <w:bCs/>
          <w:color w:val="1F4E79"/>
          <w:sz w:val="22"/>
          <w:szCs w:val="22"/>
        </w:rPr>
        <w:t xml:space="preserve">APIM Architecture Patterns</w:t>
      </w:r>
    </w:p>
    <w:p>
      <w:pPr>
        <w:pStyle w:val="ListParagraph"/>
        <w:numPr>
          <w:ilvl w:val="0"/>
          <w:numId w:val="3"/>
        </w:numPr>
        <w:spacing w:before="60" w:after="60"/>
      </w:pPr>
      <w:r>
        <w:rPr>
          <w:rFonts w:ascii="Arial" w:cs="Arial" w:eastAsia="Arial" w:hAnsi="Arial"/>
          <w:sz w:val="22"/>
          <w:szCs w:val="22"/>
        </w:rPr>
        <w:t xml:space="preserve">Priority-Based Routing: Route to PTU first (Priority 1), regional PAYGO second (Priority 2), secondary region PAYGO third (Priority 3)</w:t>
      </w:r>
    </w:p>
    <w:p>
      <w:pPr>
        <w:pStyle w:val="ListParagraph"/>
        <w:numPr>
          <w:ilvl w:val="0"/>
          <w:numId w:val="3"/>
        </w:numPr>
        <w:spacing w:before="60" w:after="60"/>
      </w:pPr>
      <w:r>
        <w:rPr>
          <w:rFonts w:ascii="Arial" w:cs="Arial" w:eastAsia="Arial" w:hAnsi="Arial"/>
          <w:sz w:val="22"/>
          <w:szCs w:val="22"/>
        </w:rPr>
        <w:t xml:space="preserve">Time-Based Allocation: Reserve PTU capacity for high-priority applications during business hours, allow batch/low-priority access during off-hours</w:t>
      </w:r>
    </w:p>
    <w:p>
      <w:pPr>
        <w:pStyle w:val="ListParagraph"/>
        <w:numPr>
          <w:ilvl w:val="0"/>
          <w:numId w:val="3"/>
        </w:numPr>
        <w:spacing w:before="60" w:after="60"/>
      </w:pPr>
      <w:r>
        <w:rPr>
          <w:rFonts w:ascii="Arial" w:cs="Arial" w:eastAsia="Arial" w:hAnsi="Arial"/>
          <w:sz w:val="22"/>
          <w:szCs w:val="22"/>
        </w:rPr>
        <w:t xml:space="preserve">Token Budget Allocation: Assign TPM quotas per application via subscription keys for chargeback</w:t>
      </w:r>
    </w:p>
    <w:p>
      <w:pPr>
        <w:pStyle w:val="Heading2"/>
        <w:spacing w:before="300" w:after="150"/>
      </w:pPr>
      <w:r>
        <w:rPr>
          <w:rFonts w:ascii="Arial" w:cs="Arial" w:eastAsia="Arial" w:hAnsi="Arial"/>
          <w:b/>
          <w:bCs/>
          <w:color w:val="2E75B6"/>
          <w:sz w:val="26"/>
          <w:szCs w:val="26"/>
        </w:rPr>
        <w:t xml:space="preserve">5.2 Azure Monitor Workbooks</w:t>
      </w:r>
    </w:p>
    <w:p>
      <w:pPr>
        <w:spacing w:before="120" w:after="120" w:line="276"/>
      </w:pPr>
      <w:r>
        <w:rPr>
          <w:rFonts w:ascii="Arial" w:cs="Arial" w:eastAsia="Arial" w:hAnsi="Arial"/>
          <w:sz w:val="22"/>
          <w:szCs w:val="22"/>
        </w:rPr>
        <w:t xml:space="preserve">Build monitoring workbooks to track PTU utilization and inform calculator adjustments:</w:t>
      </w:r>
    </w:p>
    <w:p>
      <w:pPr>
        <w:pStyle w:val="ListParagraph"/>
        <w:numPr>
          <w:ilvl w:val="0"/>
          <w:numId w:val="2"/>
        </w:numPr>
        <w:spacing w:before="60" w:after="60"/>
      </w:pPr>
      <w:r>
        <w:rPr>
          <w:rFonts w:ascii="Arial" w:cs="Arial" w:eastAsia="Arial" w:hAnsi="Arial"/>
          <w:sz w:val="22"/>
          <w:szCs w:val="22"/>
        </w:rPr>
        <w:t xml:space="preserve">Real-time PTU utilization percentage</w:t>
      </w:r>
    </w:p>
    <w:p>
      <w:pPr>
        <w:pStyle w:val="ListParagraph"/>
        <w:numPr>
          <w:ilvl w:val="0"/>
          <w:numId w:val="2"/>
        </w:numPr>
        <w:spacing w:before="60" w:after="60"/>
      </w:pPr>
      <w:r>
        <w:rPr>
          <w:rFonts w:ascii="Arial" w:cs="Arial" w:eastAsia="Arial" w:hAnsi="Arial"/>
          <w:sz w:val="22"/>
          <w:szCs w:val="22"/>
        </w:rPr>
        <w:t xml:space="preserve">Token consumption by application/subscription</w:t>
      </w:r>
    </w:p>
    <w:p>
      <w:pPr>
        <w:pStyle w:val="ListParagraph"/>
        <w:numPr>
          <w:ilvl w:val="0"/>
          <w:numId w:val="2"/>
        </w:numPr>
        <w:spacing w:before="60" w:after="60"/>
      </w:pPr>
      <w:r>
        <w:rPr>
          <w:rFonts w:ascii="Arial" w:cs="Arial" w:eastAsia="Arial" w:hAnsi="Arial"/>
          <w:sz w:val="22"/>
          <w:szCs w:val="22"/>
        </w:rPr>
        <w:t xml:space="preserve">429 error rates and patterns</w:t>
      </w:r>
    </w:p>
    <w:p>
      <w:pPr>
        <w:pStyle w:val="ListParagraph"/>
        <w:numPr>
          <w:ilvl w:val="0"/>
          <w:numId w:val="2"/>
        </w:numPr>
        <w:spacing w:before="60" w:after="60"/>
      </w:pPr>
      <w:r>
        <w:rPr>
          <w:rFonts w:ascii="Arial" w:cs="Arial" w:eastAsia="Arial" w:hAnsi="Arial"/>
          <w:sz w:val="22"/>
          <w:szCs w:val="22"/>
        </w:rPr>
        <w:t xml:space="preserve">Latency percentiles (P50, P95, P99)</w:t>
      </w:r>
    </w:p>
    <w:p>
      <w:pPr>
        <w:pStyle w:val="ListParagraph"/>
        <w:numPr>
          <w:ilvl w:val="0"/>
          <w:numId w:val="2"/>
        </w:numPr>
        <w:spacing w:before="60" w:after="60"/>
      </w:pPr>
      <w:r>
        <w:rPr>
          <w:rFonts w:ascii="Arial" w:cs="Arial" w:eastAsia="Arial" w:hAnsi="Arial"/>
          <w:sz w:val="22"/>
          <w:szCs w:val="22"/>
        </w:rPr>
        <w:t xml:space="preserve">Cost allocation and chargeback reports</w:t>
      </w:r>
    </w:p>
    <w:p>
      <w:pPr>
        <w:pStyle w:val="Heading2"/>
        <w:spacing w:before="300" w:after="150"/>
      </w:pPr>
      <w:r>
        <w:rPr>
          <w:rFonts w:ascii="Arial" w:cs="Arial" w:eastAsia="Arial" w:hAnsi="Arial"/>
          <w:b/>
          <w:bCs/>
          <w:color w:val="2E75B6"/>
          <w:sz w:val="26"/>
          <w:szCs w:val="26"/>
        </w:rPr>
        <w:t xml:space="preserve">5.3 Benchmarking Tools</w:t>
      </w:r>
    </w:p>
    <w:p>
      <w:pPr>
        <w:spacing w:before="120" w:after="120" w:line="276"/>
      </w:pPr>
      <w:r>
        <w:rPr>
          <w:rFonts w:ascii="Arial" w:cs="Arial" w:eastAsia="Arial" w:hAnsi="Arial"/>
          <w:sz w:val="22"/>
          <w:szCs w:val="22"/>
        </w:rPr>
        <w:t xml:space="preserve">Microsoft provides the Azure OpenAI Benchmark tool (github.com/Azure/azure-openai-benchmark) for validating calculator estimates:</w:t>
      </w:r>
    </w:p>
    <w:p>
      <w:pPr>
        <w:pStyle w:val="ListParagraph"/>
        <w:numPr>
          <w:ilvl w:val="0"/>
          <w:numId w:val="2"/>
        </w:numPr>
        <w:spacing w:before="60" w:after="60"/>
      </w:pPr>
      <w:r>
        <w:rPr>
          <w:rFonts w:ascii="Arial" w:cs="Arial" w:eastAsia="Arial" w:hAnsi="Arial"/>
          <w:sz w:val="22"/>
          <w:szCs w:val="22"/>
        </w:rPr>
        <w:t xml:space="preserve">Test actual throughput at different utilization levels</w:t>
      </w:r>
    </w:p>
    <w:p>
      <w:pPr>
        <w:pStyle w:val="ListParagraph"/>
        <w:numPr>
          <w:ilvl w:val="0"/>
          <w:numId w:val="2"/>
        </w:numPr>
        <w:spacing w:before="60" w:after="60"/>
      </w:pPr>
      <w:r>
        <w:rPr>
          <w:rFonts w:ascii="Arial" w:cs="Arial" w:eastAsia="Arial" w:hAnsi="Arial"/>
          <w:sz w:val="22"/>
          <w:szCs w:val="22"/>
        </w:rPr>
        <w:t xml:space="preserve">Measure latency under load</w:t>
      </w:r>
    </w:p>
    <w:p>
      <w:pPr>
        <w:pStyle w:val="ListParagraph"/>
        <w:numPr>
          <w:ilvl w:val="0"/>
          <w:numId w:val="2"/>
        </w:numPr>
        <w:spacing w:before="60" w:after="60"/>
      </w:pPr>
      <w:r>
        <w:rPr>
          <w:rFonts w:ascii="Arial" w:cs="Arial" w:eastAsia="Arial" w:hAnsi="Arial"/>
          <w:sz w:val="22"/>
          <w:szCs w:val="22"/>
        </w:rPr>
        <w:t xml:space="preserve">Identify optimal PTU allocation for your specific workload</w:t>
      </w:r>
    </w:p>
    <w:p>
      <w:pPr>
        <w:pStyle w:val="ListParagraph"/>
        <w:numPr>
          <w:ilvl w:val="0"/>
          <w:numId w:val="2"/>
        </w:numPr>
        <w:spacing w:before="60" w:after="60"/>
      </w:pPr>
      <w:r>
        <w:rPr>
          <w:rFonts w:ascii="Arial" w:cs="Arial" w:eastAsia="Arial" w:hAnsi="Arial"/>
          <w:sz w:val="22"/>
          <w:szCs w:val="22"/>
        </w:rPr>
        <w:t xml:space="preserve">Validate spillover behavior</w:t>
      </w:r>
    </w:p>
    <w:p>
      <w:pPr>
        <w:shd w:fill="D4EDDA" w:val="clear"/>
        <w:spacing w:before="120" w:after="120"/>
        <w:ind w:left="200" w:right="200"/>
      </w:pPr>
      <w:r>
        <w:rPr>
          <w:rFonts w:ascii="Arial" w:cs="Arial" w:eastAsia="Arial" w:hAnsi="Arial"/>
          <w:b/>
          <w:bCs/>
          <w:color w:val="155724"/>
          <w:sz w:val="22"/>
          <w:szCs w:val="22"/>
        </w:rPr>
        <w:t xml:space="preserve">Pro Tip: </w:t>
      </w:r>
      <w:r>
        <w:rPr>
          <w:rFonts w:ascii="Arial" w:cs="Arial" w:eastAsia="Arial" w:hAnsi="Arial"/>
          <w:sz w:val="22"/>
          <w:szCs w:val="22"/>
        </w:rPr>
        <w:t xml:space="preserve">Run benchmarks with representative prompts from your actual application. Generic test prompts often produce misleading results.</w:t>
      </w:r>
    </w:p>
    <w:p>
      <w:pPr>
        <w:pStyle w:val="Heading2"/>
        <w:spacing w:before="300" w:after="150"/>
      </w:pPr>
      <w:r>
        <w:rPr>
          <w:rFonts w:ascii="Arial" w:cs="Arial" w:eastAsia="Arial" w:hAnsi="Arial"/>
          <w:b/>
          <w:bCs/>
          <w:color w:val="2E75B6"/>
          <w:sz w:val="26"/>
          <w:szCs w:val="26"/>
        </w:rPr>
        <w:t xml:space="preserve">5.4 Terraform/Bicep Integration</w:t>
      </w:r>
    </w:p>
    <w:p>
      <w:pPr>
        <w:spacing w:before="120" w:after="120" w:line="276"/>
      </w:pPr>
      <w:r>
        <w:rPr>
          <w:rFonts w:ascii="Arial" w:cs="Arial" w:eastAsia="Arial" w:hAnsi="Arial"/>
          <w:sz w:val="22"/>
          <w:szCs w:val="22"/>
        </w:rPr>
        <w:t xml:space="preserve">Infrastructure-as-Code templates can consume calculator outputs directly:</w:t>
      </w:r>
    </w:p>
    <w:p>
      <w:pPr>
        <w:pStyle w:val="ListParagraph"/>
        <w:numPr>
          <w:ilvl w:val="0"/>
          <w:numId w:val="2"/>
        </w:numPr>
        <w:spacing w:before="60" w:after="60"/>
      </w:pPr>
      <w:r>
        <w:rPr>
          <w:rFonts w:ascii="Arial" w:cs="Arial" w:eastAsia="Arial" w:hAnsi="Arial"/>
          <w:sz w:val="22"/>
          <w:szCs w:val="22"/>
        </w:rPr>
        <w:t xml:space="preserve">Export PTU counts per region and model</w:t>
      </w:r>
    </w:p>
    <w:p>
      <w:pPr>
        <w:pStyle w:val="ListParagraph"/>
        <w:numPr>
          <w:ilvl w:val="0"/>
          <w:numId w:val="2"/>
        </w:numPr>
        <w:spacing w:before="60" w:after="60"/>
      </w:pPr>
      <w:r>
        <w:rPr>
          <w:rFonts w:ascii="Arial" w:cs="Arial" w:eastAsia="Arial" w:hAnsi="Arial"/>
          <w:sz w:val="22"/>
          <w:szCs w:val="22"/>
        </w:rPr>
        <w:t xml:space="preserve">Generate deployment configurations</w:t>
      </w:r>
    </w:p>
    <w:p>
      <w:pPr>
        <w:pStyle w:val="ListParagraph"/>
        <w:numPr>
          <w:ilvl w:val="0"/>
          <w:numId w:val="2"/>
        </w:numPr>
        <w:spacing w:before="60" w:after="60"/>
      </w:pPr>
      <w:r>
        <w:rPr>
          <w:rFonts w:ascii="Arial" w:cs="Arial" w:eastAsia="Arial" w:hAnsi="Arial"/>
          <w:sz w:val="22"/>
          <w:szCs w:val="22"/>
        </w:rPr>
        <w:t xml:space="preserve">Automate reservation purchases via ARM templates</w:t>
      </w:r>
    </w:p>
    <w:p>
      <w:pPr>
        <w:pStyle w:val="ListParagraph"/>
        <w:numPr>
          <w:ilvl w:val="0"/>
          <w:numId w:val="2"/>
        </w:numPr>
        <w:spacing w:before="60" w:after="60"/>
      </w:pPr>
      <w:r>
        <w:rPr>
          <w:rFonts w:ascii="Arial" w:cs="Arial" w:eastAsia="Arial" w:hAnsi="Arial"/>
          <w:sz w:val="22"/>
          <w:szCs w:val="22"/>
        </w:rPr>
        <w:t xml:space="preserve">Version control capacity planning decisions</w:t>
      </w:r>
    </w:p>
    <w:p>
      <w:r>
        <w:br w:type="page"/>
      </w:r>
    </w:p>
    <w:p>
      <w:pPr>
        <w:pStyle w:val="Heading1"/>
        <w:spacing w:before="400" w:after="200"/>
      </w:pPr>
      <w:r>
        <w:rPr>
          <w:rFonts w:ascii="Arial" w:cs="Arial" w:eastAsia="Arial" w:hAnsi="Arial"/>
          <w:b/>
          <w:bCs/>
          <w:color w:val="1F4E79"/>
          <w:sz w:val="32"/>
          <w:szCs w:val="32"/>
        </w:rPr>
        <w:t xml:space="preserve">6. Project Implementation Guide</w:t>
      </w:r>
    </w:p>
    <w:p>
      <w:pPr>
        <w:pStyle w:val="Heading2"/>
        <w:spacing w:before="300" w:after="150"/>
      </w:pPr>
      <w:r>
        <w:rPr>
          <w:rFonts w:ascii="Arial" w:cs="Arial" w:eastAsia="Arial" w:hAnsi="Arial"/>
          <w:b/>
          <w:bCs/>
          <w:color w:val="2E75B6"/>
          <w:sz w:val="26"/>
          <w:szCs w:val="26"/>
        </w:rPr>
        <w:t xml:space="preserve">6.1 Discovery Phase</w:t>
      </w:r>
    </w:p>
    <w:p>
      <w:pPr>
        <w:spacing w:before="120" w:after="120" w:line="276"/>
      </w:pPr>
      <w:r>
        <w:rPr>
          <w:rFonts w:ascii="Arial" w:cs="Arial" w:eastAsia="Arial" w:hAnsi="Arial"/>
          <w:sz w:val="22"/>
          <w:szCs w:val="22"/>
        </w:rPr>
        <w:t xml:space="preserve">Before touching the calculator, gather these inputs from your project:</w:t>
      </w:r>
    </w:p>
    <w:p>
      <w:pPr>
        <w:pStyle w:val="Heading3"/>
        <w:spacing w:before="240" w:after="120"/>
      </w:pPr>
      <w:r>
        <w:rPr>
          <w:rFonts w:ascii="Arial" w:cs="Arial" w:eastAsia="Arial" w:hAnsi="Arial"/>
          <w:b/>
          <w:bCs/>
          <w:color w:val="1F4E79"/>
          <w:sz w:val="22"/>
          <w:szCs w:val="22"/>
        </w:rPr>
        <w:t xml:space="preserve">Business Requirements</w:t>
      </w:r>
    </w:p>
    <w:p>
      <w:pPr>
        <w:pStyle w:val="ListParagraph"/>
        <w:numPr>
          <w:ilvl w:val="0"/>
          <w:numId w:val="2"/>
        </w:numPr>
        <w:spacing w:before="60" w:after="60"/>
      </w:pPr>
      <w:r>
        <w:rPr>
          <w:rFonts w:ascii="Arial" w:cs="Arial" w:eastAsia="Arial" w:hAnsi="Arial"/>
          <w:sz w:val="22"/>
          <w:szCs w:val="22"/>
        </w:rPr>
        <w:t xml:space="preserve">Expected user base and growth trajectory</w:t>
      </w:r>
    </w:p>
    <w:p>
      <w:pPr>
        <w:pStyle w:val="ListParagraph"/>
        <w:numPr>
          <w:ilvl w:val="0"/>
          <w:numId w:val="2"/>
        </w:numPr>
        <w:spacing w:before="60" w:after="60"/>
      </w:pPr>
      <w:r>
        <w:rPr>
          <w:rFonts w:ascii="Arial" w:cs="Arial" w:eastAsia="Arial" w:hAnsi="Arial"/>
          <w:sz w:val="22"/>
          <w:szCs w:val="22"/>
        </w:rPr>
        <w:t xml:space="preserve">SLA requirements (response time, availability)</w:t>
      </w:r>
    </w:p>
    <w:p>
      <w:pPr>
        <w:pStyle w:val="ListParagraph"/>
        <w:numPr>
          <w:ilvl w:val="0"/>
          <w:numId w:val="2"/>
        </w:numPr>
        <w:spacing w:before="60" w:after="60"/>
      </w:pPr>
      <w:r>
        <w:rPr>
          <w:rFonts w:ascii="Arial" w:cs="Arial" w:eastAsia="Arial" w:hAnsi="Arial"/>
          <w:sz w:val="22"/>
          <w:szCs w:val="22"/>
        </w:rPr>
        <w:t xml:space="preserve">Budget constraints and approval thresholds</w:t>
      </w:r>
    </w:p>
    <w:p>
      <w:pPr>
        <w:pStyle w:val="ListParagraph"/>
        <w:numPr>
          <w:ilvl w:val="0"/>
          <w:numId w:val="2"/>
        </w:numPr>
        <w:spacing w:before="60" w:after="60"/>
      </w:pPr>
      <w:r>
        <w:rPr>
          <w:rFonts w:ascii="Arial" w:cs="Arial" w:eastAsia="Arial" w:hAnsi="Arial"/>
          <w:sz w:val="22"/>
          <w:szCs w:val="22"/>
        </w:rPr>
        <w:t xml:space="preserve">Data residency and compliance requirements</w:t>
      </w:r>
    </w:p>
    <w:p>
      <w:pPr>
        <w:pStyle w:val="Heading3"/>
        <w:spacing w:before="240" w:after="120"/>
      </w:pPr>
      <w:r>
        <w:rPr>
          <w:rFonts w:ascii="Arial" w:cs="Arial" w:eastAsia="Arial" w:hAnsi="Arial"/>
          <w:b/>
          <w:bCs/>
          <w:color w:val="1F4E79"/>
          <w:sz w:val="22"/>
          <w:szCs w:val="22"/>
        </w:rPr>
        <w:t xml:space="preserve">Technical Requirements</w:t>
      </w:r>
    </w:p>
    <w:p>
      <w:pPr>
        <w:pStyle w:val="ListParagraph"/>
        <w:numPr>
          <w:ilvl w:val="0"/>
          <w:numId w:val="2"/>
        </w:numPr>
        <w:spacing w:before="60" w:after="60"/>
      </w:pPr>
      <w:r>
        <w:rPr>
          <w:rFonts w:ascii="Arial" w:cs="Arial" w:eastAsia="Arial" w:hAnsi="Arial"/>
          <w:sz w:val="22"/>
          <w:szCs w:val="22"/>
        </w:rPr>
        <w:t xml:space="preserve">Application architecture and integration points</w:t>
      </w:r>
    </w:p>
    <w:p>
      <w:pPr>
        <w:pStyle w:val="ListParagraph"/>
        <w:numPr>
          <w:ilvl w:val="0"/>
          <w:numId w:val="2"/>
        </w:numPr>
        <w:spacing w:before="60" w:after="60"/>
      </w:pPr>
      <w:r>
        <w:rPr>
          <w:rFonts w:ascii="Arial" w:cs="Arial" w:eastAsia="Arial" w:hAnsi="Arial"/>
          <w:sz w:val="22"/>
          <w:szCs w:val="22"/>
        </w:rPr>
        <w:t xml:space="preserve">Model requirements and capabilities needed</w:t>
      </w:r>
    </w:p>
    <w:p>
      <w:pPr>
        <w:pStyle w:val="ListParagraph"/>
        <w:numPr>
          <w:ilvl w:val="0"/>
          <w:numId w:val="2"/>
        </w:numPr>
        <w:spacing w:before="60" w:after="60"/>
      </w:pPr>
      <w:r>
        <w:rPr>
          <w:rFonts w:ascii="Arial" w:cs="Arial" w:eastAsia="Arial" w:hAnsi="Arial"/>
          <w:sz w:val="22"/>
          <w:szCs w:val="22"/>
        </w:rPr>
        <w:t xml:space="preserve">Prompt engineering patterns and token estimates</w:t>
      </w:r>
    </w:p>
    <w:p>
      <w:pPr>
        <w:pStyle w:val="ListParagraph"/>
        <w:numPr>
          <w:ilvl w:val="0"/>
          <w:numId w:val="2"/>
        </w:numPr>
        <w:spacing w:before="60" w:after="60"/>
      </w:pPr>
      <w:r>
        <w:rPr>
          <w:rFonts w:ascii="Arial" w:cs="Arial" w:eastAsia="Arial" w:hAnsi="Arial"/>
          <w:sz w:val="22"/>
          <w:szCs w:val="22"/>
        </w:rPr>
        <w:t xml:space="preserve">Peak usage patterns and seasonal variations</w:t>
      </w:r>
    </w:p>
    <w:p>
      <w:pPr>
        <w:pStyle w:val="Heading2"/>
        <w:spacing w:before="300" w:after="150"/>
      </w:pPr>
      <w:r>
        <w:rPr>
          <w:rFonts w:ascii="Arial" w:cs="Arial" w:eastAsia="Arial" w:hAnsi="Arial"/>
          <w:b/>
          <w:bCs/>
          <w:color w:val="2E75B6"/>
          <w:sz w:val="26"/>
          <w:szCs w:val="26"/>
        </w:rPr>
        <w:t xml:space="preserve">6.2 Sizing Methodology</w:t>
      </w:r>
    </w:p>
    <w:p>
      <w:pPr>
        <w:pStyle w:val="ListParagraph"/>
        <w:numPr>
          <w:ilvl w:val="0"/>
          <w:numId w:val="3"/>
        </w:numPr>
        <w:spacing w:before="60" w:after="60"/>
      </w:pPr>
      <w:r>
        <w:rPr>
          <w:rFonts w:ascii="Arial" w:cs="Arial" w:eastAsia="Arial" w:hAnsi="Arial"/>
          <w:sz w:val="22"/>
          <w:szCs w:val="22"/>
        </w:rPr>
        <w:t xml:space="preserve">Start with Estimates: Use historical data or industry benchmarks to estimate token consumption</w:t>
      </w:r>
    </w:p>
    <w:p>
      <w:pPr>
        <w:pStyle w:val="ListParagraph"/>
        <w:numPr>
          <w:ilvl w:val="0"/>
          <w:numId w:val="3"/>
        </w:numPr>
        <w:spacing w:before="60" w:after="60"/>
      </w:pPr>
      <w:r>
        <w:rPr>
          <w:rFonts w:ascii="Arial" w:cs="Arial" w:eastAsia="Arial" w:hAnsi="Arial"/>
          <w:sz w:val="22"/>
          <w:szCs w:val="22"/>
        </w:rPr>
        <w:t xml:space="preserve">Prototype and Measure: Build a representative prototype and measure actual token usage</w:t>
      </w:r>
    </w:p>
    <w:p>
      <w:pPr>
        <w:pStyle w:val="ListParagraph"/>
        <w:numPr>
          <w:ilvl w:val="0"/>
          <w:numId w:val="3"/>
        </w:numPr>
        <w:spacing w:before="60" w:after="60"/>
      </w:pPr>
      <w:r>
        <w:rPr>
          <w:rFonts w:ascii="Arial" w:cs="Arial" w:eastAsia="Arial" w:hAnsi="Arial"/>
          <w:sz w:val="22"/>
          <w:szCs w:val="22"/>
        </w:rPr>
        <w:t xml:space="preserve">Apply Calculator: Input measured values into the PTU calculator</w:t>
      </w:r>
    </w:p>
    <w:p>
      <w:pPr>
        <w:pStyle w:val="ListParagraph"/>
        <w:numPr>
          <w:ilvl w:val="0"/>
          <w:numId w:val="3"/>
        </w:numPr>
        <w:spacing w:before="60" w:after="60"/>
      </w:pPr>
      <w:r>
        <w:rPr>
          <w:rFonts w:ascii="Arial" w:cs="Arial" w:eastAsia="Arial" w:hAnsi="Arial"/>
          <w:sz w:val="22"/>
          <w:szCs w:val="22"/>
        </w:rPr>
        <w:t xml:space="preserve">Add Buffer: Add 10-20% buffer for variance and growth</w:t>
      </w:r>
    </w:p>
    <w:p>
      <w:pPr>
        <w:pStyle w:val="ListParagraph"/>
        <w:numPr>
          <w:ilvl w:val="0"/>
          <w:numId w:val="3"/>
        </w:numPr>
        <w:spacing w:before="60" w:after="60"/>
      </w:pPr>
      <w:r>
        <w:rPr>
          <w:rFonts w:ascii="Arial" w:cs="Arial" w:eastAsia="Arial" w:hAnsi="Arial"/>
          <w:sz w:val="22"/>
          <w:szCs w:val="22"/>
        </w:rPr>
        <w:t xml:space="preserve">Round to Increments: Adjust to PTU purchase increments</w:t>
      </w:r>
    </w:p>
    <w:p>
      <w:pPr>
        <w:pStyle w:val="ListParagraph"/>
        <w:numPr>
          <w:ilvl w:val="0"/>
          <w:numId w:val="3"/>
        </w:numPr>
        <w:spacing w:before="60" w:after="60"/>
      </w:pPr>
      <w:r>
        <w:rPr>
          <w:rFonts w:ascii="Arial" w:cs="Arial" w:eastAsia="Arial" w:hAnsi="Arial"/>
          <w:sz w:val="22"/>
          <w:szCs w:val="22"/>
        </w:rPr>
        <w:t xml:space="preserve">Benchmark: Validate with load testing before committing</w:t>
      </w:r>
    </w:p>
    <w:p>
      <w:pPr>
        <w:pStyle w:val="Heading2"/>
        <w:spacing w:before="300" w:after="150"/>
      </w:pPr>
      <w:r>
        <w:rPr>
          <w:rFonts w:ascii="Arial" w:cs="Arial" w:eastAsia="Arial" w:hAnsi="Arial"/>
          <w:b/>
          <w:bCs/>
          <w:color w:val="2E75B6"/>
          <w:sz w:val="26"/>
          <w:szCs w:val="26"/>
        </w:rPr>
        <w:t xml:space="preserve">6.3 Deployment Checklist</w:t>
      </w:r>
    </w:p>
    <w:p>
      <w:pPr>
        <w:spacing w:before="120" w:after="120" w:line="276"/>
      </w:pPr>
      <w:r>
        <w:rPr>
          <w:rFonts w:ascii="Arial" w:cs="Arial" w:eastAsia="Arial" w:hAnsi="Arial"/>
          <w:sz w:val="22"/>
          <w:szCs w:val="22"/>
        </w:rPr>
        <w:t xml:space="preserve">Follow this sequence for production PTU deployments:</w:t>
      </w:r>
    </w:p>
    <w:p>
      <w:pPr>
        <w:pStyle w:val="ListParagraph"/>
        <w:numPr>
          <w:ilvl w:val="0"/>
          <w:numId w:val="3"/>
        </w:numPr>
        <w:spacing w:before="60" w:after="60"/>
      </w:pPr>
      <w:r>
        <w:rPr>
          <w:rFonts w:ascii="Arial" w:cs="Arial" w:eastAsia="Arial" w:hAnsi="Arial"/>
          <w:sz w:val="22"/>
          <w:szCs w:val="22"/>
        </w:rPr>
        <w:t xml:space="preserve">Verify quota availability in target region</w:t>
      </w:r>
    </w:p>
    <w:p>
      <w:pPr>
        <w:pStyle w:val="ListParagraph"/>
        <w:numPr>
          <w:ilvl w:val="0"/>
          <w:numId w:val="3"/>
        </w:numPr>
        <w:spacing w:before="60" w:after="60"/>
      </w:pPr>
      <w:r>
        <w:rPr>
          <w:rFonts w:ascii="Arial" w:cs="Arial" w:eastAsia="Arial" w:hAnsi="Arial"/>
          <w:sz w:val="22"/>
          <w:szCs w:val="22"/>
        </w:rPr>
        <w:t xml:space="preserve">Create provisioned deployment (validates capacity)</w:t>
      </w:r>
    </w:p>
    <w:p>
      <w:pPr>
        <w:pStyle w:val="ListParagraph"/>
        <w:numPr>
          <w:ilvl w:val="0"/>
          <w:numId w:val="3"/>
        </w:numPr>
        <w:spacing w:before="60" w:after="60"/>
      </w:pPr>
      <w:r>
        <w:rPr>
          <w:rFonts w:ascii="Arial" w:cs="Arial" w:eastAsia="Arial" w:hAnsi="Arial"/>
          <w:sz w:val="22"/>
          <w:szCs w:val="22"/>
        </w:rPr>
        <w:t xml:space="preserve">Configure APIM gateway with spillover</w:t>
      </w:r>
    </w:p>
    <w:p>
      <w:pPr>
        <w:pStyle w:val="ListParagraph"/>
        <w:numPr>
          <w:ilvl w:val="0"/>
          <w:numId w:val="3"/>
        </w:numPr>
        <w:spacing w:before="60" w:after="60"/>
      </w:pPr>
      <w:r>
        <w:rPr>
          <w:rFonts w:ascii="Arial" w:cs="Arial" w:eastAsia="Arial" w:hAnsi="Arial"/>
          <w:sz w:val="22"/>
          <w:szCs w:val="22"/>
        </w:rPr>
        <w:t xml:space="preserve">Set up monitoring and alerts</w:t>
      </w:r>
    </w:p>
    <w:p>
      <w:pPr>
        <w:pStyle w:val="ListParagraph"/>
        <w:numPr>
          <w:ilvl w:val="0"/>
          <w:numId w:val="3"/>
        </w:numPr>
        <w:spacing w:before="60" w:after="60"/>
      </w:pPr>
      <w:r>
        <w:rPr>
          <w:rFonts w:ascii="Arial" w:cs="Arial" w:eastAsia="Arial" w:hAnsi="Arial"/>
          <w:sz w:val="22"/>
          <w:szCs w:val="22"/>
        </w:rPr>
        <w:t xml:space="preserve">Run load test to validate performance</w:t>
      </w:r>
    </w:p>
    <w:p>
      <w:pPr>
        <w:pStyle w:val="ListParagraph"/>
        <w:numPr>
          <w:ilvl w:val="0"/>
          <w:numId w:val="3"/>
        </w:numPr>
        <w:spacing w:before="60" w:after="60"/>
      </w:pPr>
      <w:r>
        <w:rPr>
          <w:rFonts w:ascii="Arial" w:cs="Arial" w:eastAsia="Arial" w:hAnsi="Arial"/>
          <w:sz w:val="22"/>
          <w:szCs w:val="22"/>
        </w:rPr>
        <w:t xml:space="preserve">Purchase Azure Reservation to lock in pricing</w:t>
      </w:r>
    </w:p>
    <w:p>
      <w:pPr>
        <w:shd w:fill="FFF3CD" w:val="clear"/>
        <w:spacing w:before="120" w:after="120"/>
        <w:ind w:left="200" w:right="200"/>
      </w:pPr>
      <w:r>
        <w:rPr>
          <w:rFonts w:ascii="Arial" w:cs="Arial" w:eastAsia="Arial" w:hAnsi="Arial"/>
          <w:b/>
          <w:bCs/>
          <w:sz w:val="22"/>
          <w:szCs w:val="22"/>
        </w:rPr>
        <w:t xml:space="preserve">Note: </w:t>
      </w:r>
      <w:r>
        <w:rPr>
          <w:rFonts w:ascii="Arial" w:cs="Arial" w:eastAsia="Arial" w:hAnsi="Arial"/>
          <w:sz w:val="22"/>
          <w:szCs w:val="22"/>
        </w:rPr>
        <w:t xml:space="preserve">Always deploy first, then purchase reservations. Reservations are financial instruments that do not guarantee capacity.</w:t>
      </w:r>
    </w:p>
    <w:p>
      <w:pPr>
        <w:pStyle w:val="Heading2"/>
        <w:spacing w:before="300" w:after="150"/>
      </w:pPr>
      <w:r>
        <w:rPr>
          <w:rFonts w:ascii="Arial" w:cs="Arial" w:eastAsia="Arial" w:hAnsi="Arial"/>
          <w:b/>
          <w:bCs/>
          <w:color w:val="2E75B6"/>
          <w:sz w:val="26"/>
          <w:szCs w:val="26"/>
        </w:rPr>
        <w:t xml:space="preserve">6.4 Ongoing Optimization</w:t>
      </w:r>
    </w:p>
    <w:p>
      <w:pPr>
        <w:spacing w:before="120" w:after="120" w:line="276"/>
      </w:pPr>
      <w:r>
        <w:rPr>
          <w:rFonts w:ascii="Arial" w:cs="Arial" w:eastAsia="Arial" w:hAnsi="Arial"/>
          <w:sz w:val="22"/>
          <w:szCs w:val="22"/>
        </w:rPr>
        <w:t xml:space="preserve">PTU sizing is not a one-time exercise. Establish a quarterly review cadence to:</w:t>
      </w:r>
    </w:p>
    <w:p>
      <w:pPr>
        <w:pStyle w:val="ListParagraph"/>
        <w:numPr>
          <w:ilvl w:val="0"/>
          <w:numId w:val="2"/>
        </w:numPr>
        <w:spacing w:before="60" w:after="60"/>
      </w:pPr>
      <w:r>
        <w:rPr>
          <w:rFonts w:ascii="Arial" w:cs="Arial" w:eastAsia="Arial" w:hAnsi="Arial"/>
          <w:sz w:val="22"/>
          <w:szCs w:val="22"/>
        </w:rPr>
        <w:t xml:space="preserve">Review actual utilization against projections</w:t>
      </w:r>
    </w:p>
    <w:p>
      <w:pPr>
        <w:pStyle w:val="ListParagraph"/>
        <w:numPr>
          <w:ilvl w:val="0"/>
          <w:numId w:val="2"/>
        </w:numPr>
        <w:spacing w:before="60" w:after="60"/>
      </w:pPr>
      <w:r>
        <w:rPr>
          <w:rFonts w:ascii="Arial" w:cs="Arial" w:eastAsia="Arial" w:hAnsi="Arial"/>
          <w:sz w:val="22"/>
          <w:szCs w:val="22"/>
        </w:rPr>
        <w:t xml:space="preserve">Adjust PTU allocation based on usage patterns</w:t>
      </w:r>
    </w:p>
    <w:p>
      <w:pPr>
        <w:pStyle w:val="ListParagraph"/>
        <w:numPr>
          <w:ilvl w:val="0"/>
          <w:numId w:val="2"/>
        </w:numPr>
        <w:spacing w:before="60" w:after="60"/>
      </w:pPr>
      <w:r>
        <w:rPr>
          <w:rFonts w:ascii="Arial" w:cs="Arial" w:eastAsia="Arial" w:hAnsi="Arial"/>
          <w:sz w:val="22"/>
          <w:szCs w:val="22"/>
        </w:rPr>
        <w:t xml:space="preserve">Evaluate new model options and conversion rates</w:t>
      </w:r>
    </w:p>
    <w:p>
      <w:pPr>
        <w:pStyle w:val="ListParagraph"/>
        <w:numPr>
          <w:ilvl w:val="0"/>
          <w:numId w:val="2"/>
        </w:numPr>
        <w:spacing w:before="60" w:after="60"/>
      </w:pPr>
      <w:r>
        <w:rPr>
          <w:rFonts w:ascii="Arial" w:cs="Arial" w:eastAsia="Arial" w:hAnsi="Arial"/>
          <w:sz w:val="22"/>
          <w:szCs w:val="22"/>
        </w:rPr>
        <w:t xml:space="preserve">Optimize spillover thresholds</w:t>
      </w:r>
    </w:p>
    <w:p>
      <w:pPr>
        <w:pStyle w:val="ListParagraph"/>
        <w:numPr>
          <w:ilvl w:val="0"/>
          <w:numId w:val="2"/>
        </w:numPr>
        <w:spacing w:before="60" w:after="60"/>
      </w:pPr>
      <w:r>
        <w:rPr>
          <w:rFonts w:ascii="Arial" w:cs="Arial" w:eastAsia="Arial" w:hAnsi="Arial"/>
          <w:sz w:val="22"/>
          <w:szCs w:val="22"/>
        </w:rPr>
        <w:t xml:space="preserve">Update cost models and chargeback rates</w:t>
      </w:r>
    </w:p>
    <w:p>
      <w:r>
        <w:br w:type="page"/>
      </w:r>
    </w:p>
    <w:p>
      <w:pPr>
        <w:pStyle w:val="Heading1"/>
        <w:spacing w:before="400" w:after="200"/>
      </w:pPr>
      <w:r>
        <w:rPr>
          <w:rFonts w:ascii="Arial" w:cs="Arial" w:eastAsia="Arial" w:hAnsi="Arial"/>
          <w:b/>
          <w:bCs/>
          <w:color w:val="1F4E79"/>
          <w:sz w:val="32"/>
          <w:szCs w:val="32"/>
        </w:rPr>
        <w:t xml:space="preserve">7. Common Pitfalls and How to Avoid Them</w:t>
      </w:r>
    </w:p>
    <w:p>
      <w:pPr>
        <w:pStyle w:val="Heading2"/>
        <w:spacing w:before="300" w:after="150"/>
      </w:pPr>
      <w:r>
        <w:rPr>
          <w:rFonts w:ascii="Arial" w:cs="Arial" w:eastAsia="Arial" w:hAnsi="Arial"/>
          <w:b/>
          <w:bCs/>
          <w:color w:val="2E75B6"/>
          <w:sz w:val="26"/>
          <w:szCs w:val="26"/>
        </w:rPr>
        <w:t xml:space="preserve">7.1 Sizing Mistakes</w:t>
      </w:r>
    </w:p>
    <w:p>
      <w:pPr>
        <w:pStyle w:val="ListParagraph"/>
        <w:numPr>
          <w:ilvl w:val="0"/>
          <w:numId w:val="2"/>
        </w:numPr>
        <w:spacing w:before="60" w:after="60"/>
      </w:pPr>
      <w:r>
        <w:rPr>
          <w:rFonts w:ascii="Arial" w:cs="Arial" w:eastAsia="Arial" w:hAnsi="Arial"/>
          <w:sz w:val="22"/>
          <w:szCs w:val="22"/>
        </w:rPr>
        <w:t xml:space="preserve">Over-sizing for peak: PTUs are expensive when underutilized. Use spillover for peaks.</w:t>
      </w:r>
    </w:p>
    <w:p>
      <w:pPr>
        <w:pStyle w:val="ListParagraph"/>
        <w:numPr>
          <w:ilvl w:val="0"/>
          <w:numId w:val="2"/>
        </w:numPr>
        <w:spacing w:before="60" w:after="60"/>
      </w:pPr>
      <w:r>
        <w:rPr>
          <w:rFonts w:ascii="Arial" w:cs="Arial" w:eastAsia="Arial" w:hAnsi="Arial"/>
          <w:sz w:val="22"/>
          <w:szCs w:val="22"/>
        </w:rPr>
        <w:t xml:space="preserve">Under-sizing prompts: RAG applications often have much larger prompts than expected. Measure, do not guess.</w:t>
      </w:r>
    </w:p>
    <w:p>
      <w:pPr>
        <w:pStyle w:val="ListParagraph"/>
        <w:numPr>
          <w:ilvl w:val="0"/>
          <w:numId w:val="2"/>
        </w:numPr>
        <w:spacing w:before="60" w:after="60"/>
      </w:pPr>
      <w:r>
        <w:rPr>
          <w:rFonts w:ascii="Arial" w:cs="Arial" w:eastAsia="Arial" w:hAnsi="Arial"/>
          <w:sz w:val="22"/>
          <w:szCs w:val="22"/>
        </w:rPr>
        <w:t xml:space="preserve">Ignoring output variance: Actual generation is often 40-60% of max_tokens setting.</w:t>
      </w:r>
    </w:p>
    <w:p>
      <w:pPr>
        <w:pStyle w:val="ListParagraph"/>
        <w:numPr>
          <w:ilvl w:val="0"/>
          <w:numId w:val="2"/>
        </w:numPr>
        <w:spacing w:before="60" w:after="60"/>
      </w:pPr>
      <w:r>
        <w:rPr>
          <w:rFonts w:ascii="Arial" w:cs="Arial" w:eastAsia="Arial" w:hAnsi="Arial"/>
          <w:sz w:val="22"/>
          <w:szCs w:val="22"/>
        </w:rPr>
        <w:t xml:space="preserve">Using wrong conversion rates: Rates vary by model and change over time. Verify quarterly.</w:t>
      </w:r>
    </w:p>
    <w:p>
      <w:pPr>
        <w:pStyle w:val="Heading2"/>
        <w:spacing w:before="300" w:after="150"/>
      </w:pPr>
      <w:r>
        <w:rPr>
          <w:rFonts w:ascii="Arial" w:cs="Arial" w:eastAsia="Arial" w:hAnsi="Arial"/>
          <w:b/>
          <w:bCs/>
          <w:color w:val="2E75B6"/>
          <w:sz w:val="26"/>
          <w:szCs w:val="26"/>
        </w:rPr>
        <w:t xml:space="preserve">7.2 Architecture Mistakes</w:t>
      </w:r>
    </w:p>
    <w:p>
      <w:pPr>
        <w:pStyle w:val="ListParagraph"/>
        <w:numPr>
          <w:ilvl w:val="0"/>
          <w:numId w:val="2"/>
        </w:numPr>
        <w:spacing w:before="60" w:after="60"/>
      </w:pPr>
      <w:r>
        <w:rPr>
          <w:rFonts w:ascii="Arial" w:cs="Arial" w:eastAsia="Arial" w:hAnsi="Arial"/>
          <w:sz w:val="22"/>
          <w:szCs w:val="22"/>
        </w:rPr>
        <w:t xml:space="preserve">Single region deployment: Always plan for multi-region or secondary PAYGO fallback.</w:t>
      </w:r>
    </w:p>
    <w:p>
      <w:pPr>
        <w:pStyle w:val="ListParagraph"/>
        <w:numPr>
          <w:ilvl w:val="0"/>
          <w:numId w:val="2"/>
        </w:numPr>
        <w:spacing w:before="60" w:after="60"/>
      </w:pPr>
      <w:r>
        <w:rPr>
          <w:rFonts w:ascii="Arial" w:cs="Arial" w:eastAsia="Arial" w:hAnsi="Arial"/>
          <w:sz w:val="22"/>
          <w:szCs w:val="22"/>
        </w:rPr>
        <w:t xml:space="preserve">No circuit breaker: Without automatic failover, 429s cascade to application errors.</w:t>
      </w:r>
    </w:p>
    <w:p>
      <w:pPr>
        <w:pStyle w:val="ListParagraph"/>
        <w:numPr>
          <w:ilvl w:val="0"/>
          <w:numId w:val="2"/>
        </w:numPr>
        <w:spacing w:before="60" w:after="60"/>
      </w:pPr>
      <w:r>
        <w:rPr>
          <w:rFonts w:ascii="Arial" w:cs="Arial" w:eastAsia="Arial" w:hAnsi="Arial"/>
          <w:sz w:val="22"/>
          <w:szCs w:val="22"/>
        </w:rPr>
        <w:t xml:space="preserve">Missing monitoring: You cannot optimize what you cannot measure.</w:t>
      </w:r>
    </w:p>
    <w:p>
      <w:pPr>
        <w:pStyle w:val="ListParagraph"/>
        <w:numPr>
          <w:ilvl w:val="0"/>
          <w:numId w:val="2"/>
        </w:numPr>
        <w:spacing w:before="60" w:after="60"/>
      </w:pPr>
      <w:r>
        <w:rPr>
          <w:rFonts w:ascii="Arial" w:cs="Arial" w:eastAsia="Arial" w:hAnsi="Arial"/>
          <w:sz w:val="22"/>
          <w:szCs w:val="22"/>
        </w:rPr>
        <w:t xml:space="preserve">Shared deployments without quotas: One runaway application can starve others.</w:t>
      </w:r>
    </w:p>
    <w:p>
      <w:pPr>
        <w:pStyle w:val="Heading2"/>
        <w:spacing w:before="300" w:after="150"/>
      </w:pPr>
      <w:r>
        <w:rPr>
          <w:rFonts w:ascii="Arial" w:cs="Arial" w:eastAsia="Arial" w:hAnsi="Arial"/>
          <w:b/>
          <w:bCs/>
          <w:color w:val="2E75B6"/>
          <w:sz w:val="26"/>
          <w:szCs w:val="26"/>
        </w:rPr>
        <w:t xml:space="preserve">7.3 Commercial Mistakes</w:t>
      </w:r>
    </w:p>
    <w:p>
      <w:pPr>
        <w:pStyle w:val="ListParagraph"/>
        <w:numPr>
          <w:ilvl w:val="0"/>
          <w:numId w:val="2"/>
        </w:numPr>
        <w:spacing w:before="60" w:after="60"/>
      </w:pPr>
      <w:r>
        <w:rPr>
          <w:rFonts w:ascii="Arial" w:cs="Arial" w:eastAsia="Arial" w:hAnsi="Arial"/>
          <w:sz w:val="22"/>
          <w:szCs w:val="22"/>
        </w:rPr>
        <w:t xml:space="preserve">Reservations before deployment: Capacity is not guaranteed. Deploy first, reserve second.</w:t>
      </w:r>
    </w:p>
    <w:p>
      <w:pPr>
        <w:pStyle w:val="ListParagraph"/>
        <w:numPr>
          <w:ilvl w:val="0"/>
          <w:numId w:val="2"/>
        </w:numPr>
        <w:spacing w:before="60" w:after="60"/>
      </w:pPr>
      <w:r>
        <w:rPr>
          <w:rFonts w:ascii="Arial" w:cs="Arial" w:eastAsia="Arial" w:hAnsi="Arial"/>
          <w:sz w:val="22"/>
          <w:szCs w:val="22"/>
        </w:rPr>
        <w:t xml:space="preserve">Wrong commitment term: Start with monthly billing until usage patterns stabilize.</w:t>
      </w:r>
    </w:p>
    <w:p>
      <w:pPr>
        <w:pStyle w:val="ListParagraph"/>
        <w:numPr>
          <w:ilvl w:val="0"/>
          <w:numId w:val="2"/>
        </w:numPr>
        <w:spacing w:before="60" w:after="60"/>
      </w:pPr>
      <w:r>
        <w:rPr>
          <w:rFonts w:ascii="Arial" w:cs="Arial" w:eastAsia="Arial" w:hAnsi="Arial"/>
          <w:sz w:val="22"/>
          <w:szCs w:val="22"/>
        </w:rPr>
        <w:t xml:space="preserve">No chargeback model: Without cost allocation, consumption tends to grow unchecked.</w:t>
      </w:r>
    </w:p>
    <w:p>
      <w:pPr>
        <w:pStyle w:val="ListParagraph"/>
        <w:numPr>
          <w:ilvl w:val="0"/>
          <w:numId w:val="2"/>
        </w:numPr>
        <w:spacing w:before="60" w:after="60"/>
      </w:pPr>
      <w:r>
        <w:rPr>
          <w:rFonts w:ascii="Arial" w:cs="Arial" w:eastAsia="Arial" w:hAnsi="Arial"/>
          <w:sz w:val="22"/>
          <w:szCs w:val="22"/>
        </w:rPr>
        <w:t xml:space="preserve">Ignoring model updates: New model versions often have better PTU efficiency.</w:t>
      </w:r>
    </w:p>
    <w:p>
      <w:r>
        <w:br w:type="page"/>
      </w:r>
    </w:p>
    <w:p>
      <w:pPr>
        <w:pStyle w:val="Heading1"/>
        <w:spacing w:before="400" w:after="200"/>
      </w:pPr>
      <w:r>
        <w:rPr>
          <w:rFonts w:ascii="Arial" w:cs="Arial" w:eastAsia="Arial" w:hAnsi="Arial"/>
          <w:b/>
          <w:bCs/>
          <w:color w:val="1F4E79"/>
          <w:sz w:val="32"/>
          <w:szCs w:val="32"/>
        </w:rPr>
        <w:t xml:space="preserve">8. Reference Architecture</w:t>
      </w:r>
    </w:p>
    <w:p>
      <w:pPr>
        <w:pStyle w:val="Heading2"/>
        <w:spacing w:before="300" w:after="150"/>
      </w:pPr>
      <w:r>
        <w:rPr>
          <w:rFonts w:ascii="Arial" w:cs="Arial" w:eastAsia="Arial" w:hAnsi="Arial"/>
          <w:b/>
          <w:bCs/>
          <w:color w:val="2E75B6"/>
          <w:sz w:val="26"/>
          <w:szCs w:val="26"/>
        </w:rPr>
        <w:t xml:space="preserve">8.1 Enterprise PTU Architecture</w:t>
      </w:r>
    </w:p>
    <w:p>
      <w:pPr>
        <w:spacing w:before="120" w:after="120" w:line="276"/>
      </w:pPr>
      <w:r>
        <w:rPr>
          <w:rFonts w:ascii="Arial" w:cs="Arial" w:eastAsia="Arial" w:hAnsi="Arial"/>
          <w:sz w:val="22"/>
          <w:szCs w:val="22"/>
        </w:rPr>
        <w:t xml:space="preserve">A production-ready PTU architecture includes these components:</w:t>
      </w:r>
    </w:p>
    <w:p>
      <w:pPr>
        <w:pStyle w:val="Heading3"/>
        <w:spacing w:before="240" w:after="120"/>
      </w:pPr>
      <w:r>
        <w:rPr>
          <w:rFonts w:ascii="Arial" w:cs="Arial" w:eastAsia="Arial" w:hAnsi="Arial"/>
          <w:b/>
          <w:bCs/>
          <w:color w:val="1F4E79"/>
          <w:sz w:val="22"/>
          <w:szCs w:val="22"/>
        </w:rPr>
        <w:t xml:space="preserve">Gateway Layer</w:t>
      </w:r>
    </w:p>
    <w:p>
      <w:pPr>
        <w:pStyle w:val="ListParagraph"/>
        <w:numPr>
          <w:ilvl w:val="0"/>
          <w:numId w:val="2"/>
        </w:numPr>
        <w:spacing w:before="60" w:after="60"/>
      </w:pPr>
      <w:r>
        <w:rPr>
          <w:rFonts w:ascii="Arial" w:cs="Arial" w:eastAsia="Arial" w:hAnsi="Arial"/>
          <w:sz w:val="22"/>
          <w:szCs w:val="22"/>
        </w:rPr>
        <w:t xml:space="preserve">Azure API Management with GenAI gateway policies</w:t>
      </w:r>
    </w:p>
    <w:p>
      <w:pPr>
        <w:pStyle w:val="ListParagraph"/>
        <w:numPr>
          <w:ilvl w:val="0"/>
          <w:numId w:val="2"/>
        </w:numPr>
        <w:spacing w:before="60" w:after="60"/>
      </w:pPr>
      <w:r>
        <w:rPr>
          <w:rFonts w:ascii="Arial" w:cs="Arial" w:eastAsia="Arial" w:hAnsi="Arial"/>
          <w:sz w:val="22"/>
          <w:szCs w:val="22"/>
        </w:rPr>
        <w:t xml:space="preserve">Token limit and rate throttling policies</w:t>
      </w:r>
    </w:p>
    <w:p>
      <w:pPr>
        <w:pStyle w:val="ListParagraph"/>
        <w:numPr>
          <w:ilvl w:val="0"/>
          <w:numId w:val="2"/>
        </w:numPr>
        <w:spacing w:before="60" w:after="60"/>
      </w:pPr>
      <w:r>
        <w:rPr>
          <w:rFonts w:ascii="Arial" w:cs="Arial" w:eastAsia="Arial" w:hAnsi="Arial"/>
          <w:sz w:val="22"/>
          <w:szCs w:val="22"/>
        </w:rPr>
        <w:t xml:space="preserve">Circuit breaker with backend pool configuration</w:t>
      </w:r>
    </w:p>
    <w:p>
      <w:pPr>
        <w:pStyle w:val="ListParagraph"/>
        <w:numPr>
          <w:ilvl w:val="0"/>
          <w:numId w:val="2"/>
        </w:numPr>
        <w:spacing w:before="60" w:after="60"/>
      </w:pPr>
      <w:r>
        <w:rPr>
          <w:rFonts w:ascii="Arial" w:cs="Arial" w:eastAsia="Arial" w:hAnsi="Arial"/>
          <w:sz w:val="22"/>
          <w:szCs w:val="22"/>
        </w:rPr>
        <w:t xml:space="preserve">Subscription-based access control</w:t>
      </w:r>
    </w:p>
    <w:p>
      <w:pPr>
        <w:pStyle w:val="Heading3"/>
        <w:spacing w:before="240" w:after="120"/>
      </w:pPr>
      <w:r>
        <w:rPr>
          <w:rFonts w:ascii="Arial" w:cs="Arial" w:eastAsia="Arial" w:hAnsi="Arial"/>
          <w:b/>
          <w:bCs/>
          <w:color w:val="1F4E79"/>
          <w:sz w:val="22"/>
          <w:szCs w:val="22"/>
        </w:rPr>
        <w:t xml:space="preserve">Compute Layer</w:t>
      </w:r>
    </w:p>
    <w:p>
      <w:pPr>
        <w:pStyle w:val="ListParagraph"/>
        <w:numPr>
          <w:ilvl w:val="0"/>
          <w:numId w:val="2"/>
        </w:numPr>
        <w:spacing w:before="60" w:after="60"/>
      </w:pPr>
      <w:r>
        <w:rPr>
          <w:rFonts w:ascii="Arial" w:cs="Arial" w:eastAsia="Arial" w:hAnsi="Arial"/>
          <w:sz w:val="22"/>
          <w:szCs w:val="22"/>
        </w:rPr>
        <w:t xml:space="preserve">Primary: Regional PTU deployment (Priority 1)</w:t>
      </w:r>
    </w:p>
    <w:p>
      <w:pPr>
        <w:pStyle w:val="ListParagraph"/>
        <w:numPr>
          <w:ilvl w:val="0"/>
          <w:numId w:val="2"/>
        </w:numPr>
        <w:spacing w:before="60" w:after="60"/>
      </w:pPr>
      <w:r>
        <w:rPr>
          <w:rFonts w:ascii="Arial" w:cs="Arial" w:eastAsia="Arial" w:hAnsi="Arial"/>
          <w:sz w:val="22"/>
          <w:szCs w:val="22"/>
        </w:rPr>
        <w:t xml:space="preserve">Spillover: Same-region PAYGO deployment (Priority 2)</w:t>
      </w:r>
    </w:p>
    <w:p>
      <w:pPr>
        <w:pStyle w:val="ListParagraph"/>
        <w:numPr>
          <w:ilvl w:val="0"/>
          <w:numId w:val="2"/>
        </w:numPr>
        <w:spacing w:before="60" w:after="60"/>
      </w:pPr>
      <w:r>
        <w:rPr>
          <w:rFonts w:ascii="Arial" w:cs="Arial" w:eastAsia="Arial" w:hAnsi="Arial"/>
          <w:sz w:val="22"/>
          <w:szCs w:val="22"/>
        </w:rPr>
        <w:t xml:space="preserve">Disaster Recovery: Secondary region PAYGO (Priority 3)</w:t>
      </w:r>
    </w:p>
    <w:p>
      <w:pPr>
        <w:pStyle w:val="Heading3"/>
        <w:spacing w:before="240" w:after="120"/>
      </w:pPr>
      <w:r>
        <w:rPr>
          <w:rFonts w:ascii="Arial" w:cs="Arial" w:eastAsia="Arial" w:hAnsi="Arial"/>
          <w:b/>
          <w:bCs/>
          <w:color w:val="1F4E79"/>
          <w:sz w:val="22"/>
          <w:szCs w:val="22"/>
        </w:rPr>
        <w:t xml:space="preserve">Monitoring Layer</w:t>
      </w:r>
    </w:p>
    <w:p>
      <w:pPr>
        <w:pStyle w:val="ListParagraph"/>
        <w:numPr>
          <w:ilvl w:val="0"/>
          <w:numId w:val="2"/>
        </w:numPr>
        <w:spacing w:before="60" w:after="60"/>
      </w:pPr>
      <w:r>
        <w:rPr>
          <w:rFonts w:ascii="Arial" w:cs="Arial" w:eastAsia="Arial" w:hAnsi="Arial"/>
          <w:sz w:val="22"/>
          <w:szCs w:val="22"/>
        </w:rPr>
        <w:t xml:space="preserve">Application Insights for token metrics</w:t>
      </w:r>
    </w:p>
    <w:p>
      <w:pPr>
        <w:pStyle w:val="ListParagraph"/>
        <w:numPr>
          <w:ilvl w:val="0"/>
          <w:numId w:val="2"/>
        </w:numPr>
        <w:spacing w:before="60" w:after="60"/>
      </w:pPr>
      <w:r>
        <w:rPr>
          <w:rFonts w:ascii="Arial" w:cs="Arial" w:eastAsia="Arial" w:hAnsi="Arial"/>
          <w:sz w:val="22"/>
          <w:szCs w:val="22"/>
        </w:rPr>
        <w:t xml:space="preserve">Azure Monitor workbooks for utilization dashboards</w:t>
      </w:r>
    </w:p>
    <w:p>
      <w:pPr>
        <w:pStyle w:val="ListParagraph"/>
        <w:numPr>
          <w:ilvl w:val="0"/>
          <w:numId w:val="2"/>
        </w:numPr>
        <w:spacing w:before="60" w:after="60"/>
      </w:pPr>
      <w:r>
        <w:rPr>
          <w:rFonts w:ascii="Arial" w:cs="Arial" w:eastAsia="Arial" w:hAnsi="Arial"/>
          <w:sz w:val="22"/>
          <w:szCs w:val="22"/>
        </w:rPr>
        <w:t xml:space="preserve">Cost Management for chargeback reports</w:t>
      </w:r>
    </w:p>
    <w:p>
      <w:pPr>
        <w:pStyle w:val="ListParagraph"/>
        <w:numPr>
          <w:ilvl w:val="0"/>
          <w:numId w:val="2"/>
        </w:numPr>
        <w:spacing w:before="60" w:after="60"/>
      </w:pPr>
      <w:r>
        <w:rPr>
          <w:rFonts w:ascii="Arial" w:cs="Arial" w:eastAsia="Arial" w:hAnsi="Arial"/>
          <w:sz w:val="22"/>
          <w:szCs w:val="22"/>
        </w:rPr>
        <w:t xml:space="preserve">Alerting for utilization and error thresholds</w:t>
      </w:r>
    </w:p>
    <w:p>
      <w:pPr>
        <w:pStyle w:val="Heading2"/>
        <w:spacing w:before="300" w:after="150"/>
      </w:pPr>
      <w:r>
        <w:rPr>
          <w:rFonts w:ascii="Arial" w:cs="Arial" w:eastAsia="Arial" w:hAnsi="Arial"/>
          <w:b/>
          <w:bCs/>
          <w:color w:val="2E75B6"/>
          <w:sz w:val="26"/>
          <w:szCs w:val="26"/>
        </w:rPr>
        <w:t xml:space="preserve">8.2 Multi-Application Shared PTU</w:t>
      </w:r>
    </w:p>
    <w:p>
      <w:pPr>
        <w:spacing w:before="120" w:after="120" w:line="276"/>
      </w:pPr>
      <w:r>
        <w:rPr>
          <w:rFonts w:ascii="Arial" w:cs="Arial" w:eastAsia="Arial" w:hAnsi="Arial"/>
          <w:sz w:val="22"/>
          <w:szCs w:val="22"/>
        </w:rPr>
        <w:t xml:space="preserve">For organizations with multiple AI applications sharing PTU capacity:</w:t>
      </w:r>
    </w:p>
    <w:p>
      <w:pPr>
        <w:pStyle w:val="ListParagraph"/>
        <w:numPr>
          <w:ilvl w:val="0"/>
          <w:numId w:val="2"/>
        </w:numPr>
        <w:spacing w:before="60" w:after="60"/>
      </w:pPr>
      <w:r>
        <w:rPr>
          <w:rFonts w:ascii="Arial" w:cs="Arial" w:eastAsia="Arial" w:hAnsi="Arial"/>
          <w:sz w:val="22"/>
          <w:szCs w:val="22"/>
        </w:rPr>
        <w:t xml:space="preserve">Single APIM instance with multiple subscription keys</w:t>
      </w:r>
    </w:p>
    <w:p>
      <w:pPr>
        <w:pStyle w:val="ListParagraph"/>
        <w:numPr>
          <w:ilvl w:val="0"/>
          <w:numId w:val="2"/>
        </w:numPr>
        <w:spacing w:before="60" w:after="60"/>
      </w:pPr>
      <w:r>
        <w:rPr>
          <w:rFonts w:ascii="Arial" w:cs="Arial" w:eastAsia="Arial" w:hAnsi="Arial"/>
          <w:sz w:val="22"/>
          <w:szCs w:val="22"/>
        </w:rPr>
        <w:t xml:space="preserve">Per-application TPM quotas via token limit policies</w:t>
      </w:r>
    </w:p>
    <w:p>
      <w:pPr>
        <w:pStyle w:val="ListParagraph"/>
        <w:numPr>
          <w:ilvl w:val="0"/>
          <w:numId w:val="2"/>
        </w:numPr>
        <w:spacing w:before="60" w:after="60"/>
      </w:pPr>
      <w:r>
        <w:rPr>
          <w:rFonts w:ascii="Arial" w:cs="Arial" w:eastAsia="Arial" w:hAnsi="Arial"/>
          <w:sz w:val="22"/>
          <w:szCs w:val="22"/>
        </w:rPr>
        <w:t xml:space="preserve">Shared PTU pool with priority-based access</w:t>
      </w:r>
    </w:p>
    <w:p>
      <w:pPr>
        <w:pStyle w:val="ListParagraph"/>
        <w:numPr>
          <w:ilvl w:val="0"/>
          <w:numId w:val="2"/>
        </w:numPr>
        <w:spacing w:before="60" w:after="60"/>
      </w:pPr>
      <w:r>
        <w:rPr>
          <w:rFonts w:ascii="Arial" w:cs="Arial" w:eastAsia="Arial" w:hAnsi="Arial"/>
          <w:sz w:val="22"/>
          <w:szCs w:val="22"/>
        </w:rPr>
        <w:t xml:space="preserve">Application Insights with custom dimensions for attribution</w:t>
      </w:r>
    </w:p>
    <w:p>
      <w:r>
        <w:br w:type="page"/>
      </w:r>
    </w:p>
    <w:p>
      <w:pPr>
        <w:pStyle w:val="Heading1"/>
        <w:spacing w:before="400" w:after="200"/>
      </w:pPr>
      <w:r>
        <w:rPr>
          <w:rFonts w:ascii="Arial" w:cs="Arial" w:eastAsia="Arial" w:hAnsi="Arial"/>
          <w:b/>
          <w:bCs/>
          <w:color w:val="1F4E79"/>
          <w:sz w:val="32"/>
          <w:szCs w:val="32"/>
        </w:rPr>
        <w:t xml:space="preserve">9. Summary and Next Steps</w:t>
      </w:r>
    </w:p>
    <w:p>
      <w:pPr>
        <w:spacing w:before="120" w:after="120" w:line="276"/>
      </w:pPr>
      <w:r>
        <w:rPr>
          <w:rFonts w:ascii="Arial" w:cs="Arial" w:eastAsia="Arial" w:hAnsi="Arial"/>
          <w:sz w:val="22"/>
          <w:szCs w:val="22"/>
        </w:rPr>
        <w:t xml:space="preserve">Building an effective PTU calculator is not about complex formulas. It is about understanding your workload, measuring accurately, and planning for the realities of production deployment.</w:t>
      </w:r>
    </w:p>
    <w:p>
      <w:pPr>
        <w:spacing w:before="120" w:after="120" w:line="276"/>
      </w:pPr>
      <w:r>
        <w:rPr>
          <w:rFonts w:ascii="Arial" w:cs="Arial" w:eastAsia="Arial" w:hAnsi="Arial"/>
          <w:sz w:val="22"/>
          <w:szCs w:val="22"/>
        </w:rPr>
        <w:t xml:space="preserve">Here is what I recommend for your next steps:</w:t>
      </w:r>
    </w:p>
    <w:p>
      <w:pPr>
        <w:pStyle w:val="ListParagraph"/>
        <w:numPr>
          <w:ilvl w:val="0"/>
          <w:numId w:val="3"/>
        </w:numPr>
        <w:spacing w:before="60" w:after="60"/>
      </w:pPr>
      <w:r>
        <w:rPr>
          <w:rFonts w:ascii="Arial" w:cs="Arial" w:eastAsia="Arial" w:hAnsi="Arial"/>
          <w:sz w:val="22"/>
          <w:szCs w:val="22"/>
        </w:rPr>
        <w:t xml:space="preserve">Build your workload profile: Document all applications that will consume Azure OpenAI, their token patterns, and peak usage expectations.</w:t>
      </w:r>
    </w:p>
    <w:p>
      <w:pPr>
        <w:pStyle w:val="ListParagraph"/>
        <w:numPr>
          <w:ilvl w:val="0"/>
          <w:numId w:val="3"/>
        </w:numPr>
        <w:spacing w:before="60" w:after="60"/>
      </w:pPr>
      <w:r>
        <w:rPr>
          <w:rFonts w:ascii="Arial" w:cs="Arial" w:eastAsia="Arial" w:hAnsi="Arial"/>
          <w:sz w:val="22"/>
          <w:szCs w:val="22"/>
        </w:rPr>
        <w:t xml:space="preserve">Create your calculator: Use the spreadsheet structure outlined in this guide, populated with your specific workload data and current PTU rates.</w:t>
      </w:r>
    </w:p>
    <w:p>
      <w:pPr>
        <w:pStyle w:val="ListParagraph"/>
        <w:numPr>
          <w:ilvl w:val="0"/>
          <w:numId w:val="3"/>
        </w:numPr>
        <w:spacing w:before="60" w:after="60"/>
      </w:pPr>
      <w:r>
        <w:rPr>
          <w:rFonts w:ascii="Arial" w:cs="Arial" w:eastAsia="Arial" w:hAnsi="Arial"/>
          <w:sz w:val="22"/>
          <w:szCs w:val="22"/>
        </w:rPr>
        <w:t xml:space="preserve">Prototype and measure: Deploy a pilot with PAYGO to gather real token consumption data before committing to PTU capacity.</w:t>
      </w:r>
    </w:p>
    <w:p>
      <w:pPr>
        <w:pStyle w:val="ListParagraph"/>
        <w:numPr>
          <w:ilvl w:val="0"/>
          <w:numId w:val="3"/>
        </w:numPr>
        <w:spacing w:before="60" w:after="60"/>
      </w:pPr>
      <w:r>
        <w:rPr>
          <w:rFonts w:ascii="Arial" w:cs="Arial" w:eastAsia="Arial" w:hAnsi="Arial"/>
          <w:sz w:val="22"/>
          <w:szCs w:val="22"/>
        </w:rPr>
        <w:t xml:space="preserve">Design for resilience: Architect your solution with APIM, spillover, and proper monitoring from the start.</w:t>
      </w:r>
    </w:p>
    <w:p>
      <w:pPr>
        <w:pStyle w:val="ListParagraph"/>
        <w:numPr>
          <w:ilvl w:val="0"/>
          <w:numId w:val="3"/>
        </w:numPr>
        <w:spacing w:before="60" w:after="60"/>
      </w:pPr>
      <w:r>
        <w:rPr>
          <w:rFonts w:ascii="Arial" w:cs="Arial" w:eastAsia="Arial" w:hAnsi="Arial"/>
          <w:sz w:val="22"/>
          <w:szCs w:val="22"/>
        </w:rPr>
        <w:t xml:space="preserve">Start conservative: Begin with lower PTU allocation and spillover, then optimize as you gather utilization data.</w:t>
      </w:r>
    </w:p>
    <w:p>
      <w:pPr>
        <w:pStyle w:val="ListParagraph"/>
        <w:numPr>
          <w:ilvl w:val="0"/>
          <w:numId w:val="3"/>
        </w:numPr>
        <w:spacing w:before="60" w:after="60"/>
      </w:pPr>
      <w:r>
        <w:rPr>
          <w:rFonts w:ascii="Arial" w:cs="Arial" w:eastAsia="Arial" w:hAnsi="Arial"/>
          <w:sz w:val="22"/>
          <w:szCs w:val="22"/>
        </w:rPr>
        <w:t xml:space="preserve">Establish governance: Implement chargeback models and quarterly optimization reviews.</w:t>
      </w:r>
    </w:p>
    <w:p>
      <w:pPr>
        <w:spacing w:before="120" w:after="120" w:line="276"/>
      </w:pPr>
      <w:r>
        <w:rPr>
          <w:rFonts w:ascii="Arial" w:cs="Arial" w:eastAsia="Arial" w:hAnsi="Arial"/>
          <w:sz w:val="22"/>
          <w:szCs w:val="22"/>
        </w:rPr>
        <w:t xml:space="preserve">I have seen organizations transform their AI economics by getting PTU planning right. The calculator is your tool for making informed decisions. The architecture is your foundation for reliable operations. And the discipline of ongoing optimization is what separates cost-effective deployments from expensive mistakes.</w:t>
      </w:r>
    </w:p>
    <w:p>
      <w:r>
        <w:br w:type="page"/>
      </w:r>
    </w:p>
    <w:p>
      <w:pPr>
        <w:pStyle w:val="Heading1"/>
        <w:spacing w:before="400" w:after="200"/>
      </w:pPr>
      <w:r>
        <w:rPr>
          <w:rFonts w:ascii="Arial" w:cs="Arial" w:eastAsia="Arial" w:hAnsi="Arial"/>
          <w:b/>
          <w:bCs/>
          <w:color w:val="1F4E79"/>
          <w:sz w:val="32"/>
          <w:szCs w:val="32"/>
        </w:rPr>
        <w:t xml:space="preserve">Appendix A: Excel Calculator Framework</w:t>
      </w:r>
    </w:p>
    <w:p>
      <w:pPr>
        <w:spacing w:before="120" w:after="120" w:line="276"/>
      </w:pPr>
      <w:r>
        <w:rPr>
          <w:rFonts w:ascii="Arial" w:cs="Arial" w:eastAsia="Arial" w:hAnsi="Arial"/>
          <w:sz w:val="22"/>
          <w:szCs w:val="22"/>
        </w:rPr>
        <w:t xml:space="preserve">This guide is accompanied by a comprehensive Excel-based PTU Calculator Framework (Azure_PTU_Calculator_Framework.xlsx) that implements all the concepts discussed in this document.</w:t>
      </w:r>
    </w:p>
    <w:p>
      <w:pPr>
        <w:pStyle w:val="Heading2"/>
        <w:spacing w:before="300" w:after="150"/>
      </w:pPr>
      <w:r>
        <w:rPr>
          <w:rFonts w:ascii="Arial" w:cs="Arial" w:eastAsia="Arial" w:hAnsi="Arial"/>
          <w:b/>
          <w:bCs/>
          <w:color w:val="2E75B6"/>
          <w:sz w:val="26"/>
          <w:szCs w:val="26"/>
        </w:rPr>
        <w:t xml:space="preserve">Framework Structure</w:t>
      </w:r>
    </w:p>
    <w:p>
      <w:pPr>
        <w:spacing w:before="120" w:after="120" w:line="276"/>
      </w:pPr>
      <w:r>
        <w:rPr>
          <w:rFonts w:ascii="Arial" w:cs="Arial" w:eastAsia="Arial" w:hAnsi="Arial"/>
          <w:sz w:val="22"/>
          <w:szCs w:val="22"/>
        </w:rPr>
        <w:t xml:space="preserve">The Excel workbook contains the following integrated sheets:</w:t>
      </w:r>
    </w:p>
    <w:p>
      <w:pPr>
        <w:pStyle w:val="Heading3"/>
        <w:spacing w:before="240" w:after="120"/>
      </w:pPr>
      <w:r>
        <w:rPr>
          <w:rFonts w:ascii="Arial" w:cs="Arial" w:eastAsia="Arial" w:hAnsi="Arial"/>
          <w:b/>
          <w:bCs/>
          <w:color w:val="1F4E79"/>
          <w:sz w:val="22"/>
          <w:szCs w:val="22"/>
        </w:rPr>
        <w:t xml:space="preserve">1. Dashboard</w:t>
      </w:r>
    </w:p>
    <w:p>
      <w:pPr>
        <w:pStyle w:val="ListParagraph"/>
        <w:numPr>
          <w:ilvl w:val="0"/>
          <w:numId w:val="2"/>
        </w:numPr>
        <w:spacing w:before="60" w:after="60"/>
      </w:pPr>
      <w:r>
        <w:rPr>
          <w:rFonts w:ascii="Arial" w:cs="Arial" w:eastAsia="Arial" w:hAnsi="Arial"/>
          <w:sz w:val="22"/>
          <w:szCs w:val="22"/>
        </w:rPr>
        <w:t xml:space="preserve">Executive summary with key metrics</w:t>
      </w:r>
    </w:p>
    <w:p>
      <w:pPr>
        <w:pStyle w:val="ListParagraph"/>
        <w:numPr>
          <w:ilvl w:val="0"/>
          <w:numId w:val="2"/>
        </w:numPr>
        <w:spacing w:before="60" w:after="60"/>
      </w:pPr>
      <w:r>
        <w:rPr>
          <w:rFonts w:ascii="Arial" w:cs="Arial" w:eastAsia="Arial" w:hAnsi="Arial"/>
          <w:sz w:val="22"/>
          <w:szCs w:val="22"/>
        </w:rPr>
        <w:t xml:space="preserve">Quick navigation to all calculator sections</w:t>
      </w:r>
    </w:p>
    <w:p>
      <w:pPr>
        <w:pStyle w:val="ListParagraph"/>
        <w:numPr>
          <w:ilvl w:val="0"/>
          <w:numId w:val="2"/>
        </w:numPr>
        <w:spacing w:before="60" w:after="60"/>
      </w:pPr>
      <w:r>
        <w:rPr>
          <w:rFonts w:ascii="Arial" w:cs="Arial" w:eastAsia="Arial" w:hAnsi="Arial"/>
          <w:sz w:val="22"/>
          <w:szCs w:val="22"/>
        </w:rPr>
        <w:t xml:space="preserve">Status indicators showing data completeness</w:t>
      </w:r>
    </w:p>
    <w:p>
      <w:pPr>
        <w:pStyle w:val="Heading3"/>
        <w:spacing w:before="240" w:after="120"/>
      </w:pPr>
      <w:r>
        <w:rPr>
          <w:rFonts w:ascii="Arial" w:cs="Arial" w:eastAsia="Arial" w:hAnsi="Arial"/>
          <w:b/>
          <w:bCs/>
          <w:color w:val="1F4E79"/>
          <w:sz w:val="22"/>
          <w:szCs w:val="22"/>
        </w:rPr>
        <w:t xml:space="preserve">2. Configuration</w:t>
      </w:r>
    </w:p>
    <w:p>
      <w:pPr>
        <w:pStyle w:val="ListParagraph"/>
        <w:numPr>
          <w:ilvl w:val="0"/>
          <w:numId w:val="2"/>
        </w:numPr>
        <w:spacing w:before="60" w:after="60"/>
      </w:pPr>
      <w:r>
        <w:rPr>
          <w:rFonts w:ascii="Arial" w:cs="Arial" w:eastAsia="Arial" w:hAnsi="Arial"/>
          <w:sz w:val="22"/>
          <w:szCs w:val="22"/>
        </w:rPr>
        <w:t xml:space="preserve">Global pricing and region settings</w:t>
      </w:r>
    </w:p>
    <w:p>
      <w:pPr>
        <w:pStyle w:val="ListParagraph"/>
        <w:numPr>
          <w:ilvl w:val="0"/>
          <w:numId w:val="2"/>
        </w:numPr>
        <w:spacing w:before="60" w:after="60"/>
      </w:pPr>
      <w:r>
        <w:rPr>
          <w:rFonts w:ascii="Arial" w:cs="Arial" w:eastAsia="Arial" w:hAnsi="Arial"/>
          <w:sz w:val="22"/>
          <w:szCs w:val="22"/>
        </w:rPr>
        <w:t xml:space="preserve">Capacity planning parameters</w:t>
      </w:r>
    </w:p>
    <w:p>
      <w:pPr>
        <w:pStyle w:val="ListParagraph"/>
        <w:numPr>
          <w:ilvl w:val="0"/>
          <w:numId w:val="2"/>
        </w:numPr>
        <w:spacing w:before="60" w:after="60"/>
      </w:pPr>
      <w:r>
        <w:rPr>
          <w:rFonts w:ascii="Arial" w:cs="Arial" w:eastAsia="Arial" w:hAnsi="Arial"/>
          <w:sz w:val="22"/>
          <w:szCs w:val="22"/>
        </w:rPr>
        <w:t xml:space="preserve">PAYGO comparison rates by model</w:t>
      </w:r>
    </w:p>
    <w:p>
      <w:pPr>
        <w:pStyle w:val="Heading3"/>
        <w:spacing w:before="240" w:after="120"/>
      </w:pPr>
      <w:r>
        <w:rPr>
          <w:rFonts w:ascii="Arial" w:cs="Arial" w:eastAsia="Arial" w:hAnsi="Arial"/>
          <w:b/>
          <w:bCs/>
          <w:color w:val="1F4E79"/>
          <w:sz w:val="22"/>
          <w:szCs w:val="22"/>
        </w:rPr>
        <w:t xml:space="preserve">3. Workload Inputs</w:t>
      </w:r>
    </w:p>
    <w:p>
      <w:pPr>
        <w:pStyle w:val="ListParagraph"/>
        <w:numPr>
          <w:ilvl w:val="0"/>
          <w:numId w:val="2"/>
        </w:numPr>
        <w:spacing w:before="60" w:after="60"/>
      </w:pPr>
      <w:r>
        <w:rPr>
          <w:rFonts w:ascii="Arial" w:cs="Arial" w:eastAsia="Arial" w:hAnsi="Arial"/>
          <w:sz w:val="22"/>
          <w:szCs w:val="22"/>
        </w:rPr>
        <w:t xml:space="preserve">Application-level workload configuration</w:t>
      </w:r>
    </w:p>
    <w:p>
      <w:pPr>
        <w:pStyle w:val="ListParagraph"/>
        <w:numPr>
          <w:ilvl w:val="0"/>
          <w:numId w:val="2"/>
        </w:numPr>
        <w:spacing w:before="60" w:after="60"/>
      </w:pPr>
      <w:r>
        <w:rPr>
          <w:rFonts w:ascii="Arial" w:cs="Arial" w:eastAsia="Arial" w:hAnsi="Arial"/>
          <w:sz w:val="22"/>
          <w:szCs w:val="22"/>
        </w:rPr>
        <w:t xml:space="preserve">Model selection with dropdown validation</w:t>
      </w:r>
    </w:p>
    <w:p>
      <w:pPr>
        <w:pStyle w:val="ListParagraph"/>
        <w:numPr>
          <w:ilvl w:val="0"/>
          <w:numId w:val="2"/>
        </w:numPr>
        <w:spacing w:before="60" w:after="60"/>
      </w:pPr>
      <w:r>
        <w:rPr>
          <w:rFonts w:ascii="Arial" w:cs="Arial" w:eastAsia="Arial" w:hAnsi="Arial"/>
          <w:sz w:val="22"/>
          <w:szCs w:val="22"/>
        </w:rPr>
        <w:t xml:space="preserve">Automatic TPM and PTU calculations</w:t>
      </w:r>
    </w:p>
    <w:p>
      <w:pPr>
        <w:pStyle w:val="Heading3"/>
        <w:spacing w:before="240" w:after="120"/>
      </w:pPr>
      <w:r>
        <w:rPr>
          <w:rFonts w:ascii="Arial" w:cs="Arial" w:eastAsia="Arial" w:hAnsi="Arial"/>
          <w:b/>
          <w:bCs/>
          <w:color w:val="1F4E79"/>
          <w:sz w:val="22"/>
          <w:szCs w:val="22"/>
        </w:rPr>
        <w:t xml:space="preserve">4. PTU Rates</w:t>
      </w:r>
    </w:p>
    <w:p>
      <w:pPr>
        <w:pStyle w:val="ListParagraph"/>
        <w:numPr>
          <w:ilvl w:val="0"/>
          <w:numId w:val="2"/>
        </w:numPr>
        <w:spacing w:before="60" w:after="60"/>
      </w:pPr>
      <w:r>
        <w:rPr>
          <w:rFonts w:ascii="Arial" w:cs="Arial" w:eastAsia="Arial" w:hAnsi="Arial"/>
          <w:sz w:val="22"/>
          <w:szCs w:val="22"/>
        </w:rPr>
        <w:t xml:space="preserve">Model-specific conversion rates (update quarterly)</w:t>
      </w:r>
    </w:p>
    <w:p>
      <w:pPr>
        <w:pStyle w:val="ListParagraph"/>
        <w:numPr>
          <w:ilvl w:val="0"/>
          <w:numId w:val="2"/>
        </w:numPr>
        <w:spacing w:before="60" w:after="60"/>
      </w:pPr>
      <w:r>
        <w:rPr>
          <w:rFonts w:ascii="Arial" w:cs="Arial" w:eastAsia="Arial" w:hAnsi="Arial"/>
          <w:sz w:val="22"/>
          <w:szCs w:val="22"/>
        </w:rPr>
        <w:t xml:space="preserve">Minimum PTU increments by deployment type</w:t>
      </w:r>
    </w:p>
    <w:p>
      <w:pPr>
        <w:pStyle w:val="ListParagraph"/>
        <w:numPr>
          <w:ilvl w:val="0"/>
          <w:numId w:val="2"/>
        </w:numPr>
        <w:spacing w:before="60" w:after="60"/>
      </w:pPr>
      <w:r>
        <w:rPr>
          <w:rFonts w:ascii="Arial" w:cs="Arial" w:eastAsia="Arial" w:hAnsi="Arial"/>
          <w:sz w:val="22"/>
          <w:szCs w:val="22"/>
        </w:rPr>
        <w:t xml:space="preserve">Rate calculation methodology notes</w:t>
      </w:r>
    </w:p>
    <w:p>
      <w:pPr>
        <w:pStyle w:val="Heading3"/>
        <w:spacing w:before="240" w:after="120"/>
      </w:pPr>
      <w:r>
        <w:rPr>
          <w:rFonts w:ascii="Arial" w:cs="Arial" w:eastAsia="Arial" w:hAnsi="Arial"/>
          <w:b/>
          <w:bCs/>
          <w:color w:val="1F4E79"/>
          <w:sz w:val="22"/>
          <w:szCs w:val="22"/>
        </w:rPr>
        <w:t xml:space="preserve">5. Capacity Summary</w:t>
      </w:r>
    </w:p>
    <w:p>
      <w:pPr>
        <w:pStyle w:val="ListParagraph"/>
        <w:numPr>
          <w:ilvl w:val="0"/>
          <w:numId w:val="2"/>
        </w:numPr>
        <w:spacing w:before="60" w:after="60"/>
      </w:pPr>
      <w:r>
        <w:rPr>
          <w:rFonts w:ascii="Arial" w:cs="Arial" w:eastAsia="Arial" w:hAnsi="Arial"/>
          <w:sz w:val="22"/>
          <w:szCs w:val="22"/>
        </w:rPr>
        <w:t xml:space="preserve">Aggregated PTU requirements</w:t>
      </w:r>
    </w:p>
    <w:p>
      <w:pPr>
        <w:pStyle w:val="ListParagraph"/>
        <w:numPr>
          <w:ilvl w:val="0"/>
          <w:numId w:val="2"/>
        </w:numPr>
        <w:spacing w:before="60" w:after="60"/>
      </w:pPr>
      <w:r>
        <w:rPr>
          <w:rFonts w:ascii="Arial" w:cs="Arial" w:eastAsia="Arial" w:hAnsi="Arial"/>
          <w:sz w:val="22"/>
          <w:szCs w:val="22"/>
        </w:rPr>
        <w:t xml:space="preserve">Buffer and peak traffic adjustments</w:t>
      </w:r>
    </w:p>
    <w:p>
      <w:pPr>
        <w:pStyle w:val="ListParagraph"/>
        <w:numPr>
          <w:ilvl w:val="0"/>
          <w:numId w:val="2"/>
        </w:numPr>
        <w:spacing w:before="60" w:after="60"/>
      </w:pPr>
      <w:r>
        <w:rPr>
          <w:rFonts w:ascii="Arial" w:cs="Arial" w:eastAsia="Arial" w:hAnsi="Arial"/>
          <w:sz w:val="22"/>
          <w:szCs w:val="22"/>
        </w:rPr>
        <w:t xml:space="preserve">Utilization scenario projections</w:t>
      </w:r>
    </w:p>
    <w:p>
      <w:pPr>
        <w:pStyle w:val="Heading3"/>
        <w:spacing w:before="240" w:after="120"/>
      </w:pPr>
      <w:r>
        <w:rPr>
          <w:rFonts w:ascii="Arial" w:cs="Arial" w:eastAsia="Arial" w:hAnsi="Arial"/>
          <w:b/>
          <w:bCs/>
          <w:color w:val="1F4E79"/>
          <w:sz w:val="22"/>
          <w:szCs w:val="22"/>
        </w:rPr>
        <w:t xml:space="preserve">6. Cost Analysis</w:t>
      </w:r>
    </w:p>
    <w:p>
      <w:pPr>
        <w:pStyle w:val="ListParagraph"/>
        <w:numPr>
          <w:ilvl w:val="0"/>
          <w:numId w:val="2"/>
        </w:numPr>
        <w:spacing w:before="60" w:after="60"/>
      </w:pPr>
      <w:r>
        <w:rPr>
          <w:rFonts w:ascii="Arial" w:cs="Arial" w:eastAsia="Arial" w:hAnsi="Arial"/>
          <w:sz w:val="22"/>
          <w:szCs w:val="22"/>
        </w:rPr>
        <w:t xml:space="preserve">PTU cost calculations (hourly, 1-year, 3-year)</w:t>
      </w:r>
    </w:p>
    <w:p>
      <w:pPr>
        <w:pStyle w:val="ListParagraph"/>
        <w:numPr>
          <w:ilvl w:val="0"/>
          <w:numId w:val="2"/>
        </w:numPr>
        <w:spacing w:before="60" w:after="60"/>
      </w:pPr>
      <w:r>
        <w:rPr>
          <w:rFonts w:ascii="Arial" w:cs="Arial" w:eastAsia="Arial" w:hAnsi="Arial"/>
          <w:sz w:val="22"/>
          <w:szCs w:val="22"/>
        </w:rPr>
        <w:t xml:space="preserve">PAYGO comparison and break-even analysis</w:t>
      </w:r>
    </w:p>
    <w:p>
      <w:pPr>
        <w:pStyle w:val="ListParagraph"/>
        <w:numPr>
          <w:ilvl w:val="0"/>
          <w:numId w:val="2"/>
        </w:numPr>
        <w:spacing w:before="60" w:after="60"/>
      </w:pPr>
      <w:r>
        <w:rPr>
          <w:rFonts w:ascii="Arial" w:cs="Arial" w:eastAsia="Arial" w:hAnsi="Arial"/>
          <w:sz w:val="22"/>
          <w:szCs w:val="22"/>
        </w:rPr>
        <w:t xml:space="preserve">Savings projections by commitment term</w:t>
      </w:r>
    </w:p>
    <w:p>
      <w:pPr>
        <w:pStyle w:val="Heading3"/>
        <w:spacing w:before="240" w:after="120"/>
      </w:pPr>
      <w:r>
        <w:rPr>
          <w:rFonts w:ascii="Arial" w:cs="Arial" w:eastAsia="Arial" w:hAnsi="Arial"/>
          <w:b/>
          <w:bCs/>
          <w:color w:val="1F4E79"/>
          <w:sz w:val="22"/>
          <w:szCs w:val="22"/>
        </w:rPr>
        <w:t xml:space="preserve">7. Spillover Planner</w:t>
      </w:r>
    </w:p>
    <w:p>
      <w:pPr>
        <w:pStyle w:val="ListParagraph"/>
        <w:numPr>
          <w:ilvl w:val="0"/>
          <w:numId w:val="2"/>
        </w:numPr>
        <w:spacing w:before="60" w:after="60"/>
      </w:pPr>
      <w:r>
        <w:rPr>
          <w:rFonts w:ascii="Arial" w:cs="Arial" w:eastAsia="Arial" w:hAnsi="Arial"/>
          <w:sz w:val="22"/>
          <w:szCs w:val="22"/>
        </w:rPr>
        <w:t xml:space="preserve">Hybrid PTU/PAYGO scenario modeling</w:t>
      </w:r>
    </w:p>
    <w:p>
      <w:pPr>
        <w:pStyle w:val="ListParagraph"/>
        <w:numPr>
          <w:ilvl w:val="0"/>
          <w:numId w:val="2"/>
        </w:numPr>
        <w:spacing w:before="60" w:after="60"/>
      </w:pPr>
      <w:r>
        <w:rPr>
          <w:rFonts w:ascii="Arial" w:cs="Arial" w:eastAsia="Arial" w:hAnsi="Arial"/>
          <w:sz w:val="22"/>
          <w:szCs w:val="22"/>
        </w:rPr>
        <w:t xml:space="preserve">Optimal spillover percentage calculation</w:t>
      </w:r>
    </w:p>
    <w:p>
      <w:pPr>
        <w:pStyle w:val="ListParagraph"/>
        <w:numPr>
          <w:ilvl w:val="0"/>
          <w:numId w:val="2"/>
        </w:numPr>
        <w:spacing w:before="60" w:after="60"/>
      </w:pPr>
      <w:r>
        <w:rPr>
          <w:rFonts w:ascii="Arial" w:cs="Arial" w:eastAsia="Arial" w:hAnsi="Arial"/>
          <w:sz w:val="22"/>
          <w:szCs w:val="22"/>
        </w:rPr>
        <w:t xml:space="preserve">APIM configuration guidance</w:t>
      </w:r>
    </w:p>
    <w:p>
      <w:pPr>
        <w:pStyle w:val="Heading3"/>
        <w:spacing w:before="240" w:after="120"/>
      </w:pPr>
      <w:r>
        <w:rPr>
          <w:rFonts w:ascii="Arial" w:cs="Arial" w:eastAsia="Arial" w:hAnsi="Arial"/>
          <w:b/>
          <w:bCs/>
          <w:color w:val="1F4E79"/>
          <w:sz w:val="22"/>
          <w:szCs w:val="22"/>
        </w:rPr>
        <w:t xml:space="preserve">8. Reservation Optimizer</w:t>
      </w:r>
    </w:p>
    <w:p>
      <w:pPr>
        <w:pStyle w:val="ListParagraph"/>
        <w:numPr>
          <w:ilvl w:val="0"/>
          <w:numId w:val="2"/>
        </w:numPr>
        <w:spacing w:before="60" w:after="60"/>
      </w:pPr>
      <w:r>
        <w:rPr>
          <w:rFonts w:ascii="Arial" w:cs="Arial" w:eastAsia="Arial" w:hAnsi="Arial"/>
          <w:sz w:val="22"/>
          <w:szCs w:val="22"/>
        </w:rPr>
        <w:t xml:space="preserve">Commitment term comparison</w:t>
      </w:r>
    </w:p>
    <w:p>
      <w:pPr>
        <w:pStyle w:val="ListParagraph"/>
        <w:numPr>
          <w:ilvl w:val="0"/>
          <w:numId w:val="2"/>
        </w:numPr>
        <w:spacing w:before="60" w:after="60"/>
      </w:pPr>
      <w:r>
        <w:rPr>
          <w:rFonts w:ascii="Arial" w:cs="Arial" w:eastAsia="Arial" w:hAnsi="Arial"/>
          <w:sz w:val="22"/>
          <w:szCs w:val="22"/>
        </w:rPr>
        <w:t xml:space="preserve">Break-even analysis by term length</w:t>
      </w:r>
    </w:p>
    <w:p>
      <w:pPr>
        <w:pStyle w:val="ListParagraph"/>
        <w:numPr>
          <w:ilvl w:val="0"/>
          <w:numId w:val="2"/>
        </w:numPr>
        <w:spacing w:before="60" w:after="60"/>
      </w:pPr>
      <w:r>
        <w:rPr>
          <w:rFonts w:ascii="Arial" w:cs="Arial" w:eastAsia="Arial" w:hAnsi="Arial"/>
          <w:sz w:val="22"/>
          <w:szCs w:val="22"/>
        </w:rPr>
        <w:t xml:space="preserve">Recommendation logic</w:t>
      </w:r>
    </w:p>
    <w:p>
      <w:pPr>
        <w:pStyle w:val="Heading3"/>
        <w:spacing w:before="240" w:after="120"/>
      </w:pPr>
      <w:r>
        <w:rPr>
          <w:rFonts w:ascii="Arial" w:cs="Arial" w:eastAsia="Arial" w:hAnsi="Arial"/>
          <w:b/>
          <w:bCs/>
          <w:color w:val="1F4E79"/>
          <w:sz w:val="22"/>
          <w:szCs w:val="22"/>
        </w:rPr>
        <w:t xml:space="preserve">9. Chargeback Model</w:t>
      </w:r>
    </w:p>
    <w:p>
      <w:pPr>
        <w:pStyle w:val="ListParagraph"/>
        <w:numPr>
          <w:ilvl w:val="0"/>
          <w:numId w:val="2"/>
        </w:numPr>
        <w:spacing w:before="60" w:after="60"/>
      </w:pPr>
      <w:r>
        <w:rPr>
          <w:rFonts w:ascii="Arial" w:cs="Arial" w:eastAsia="Arial" w:hAnsi="Arial"/>
          <w:sz w:val="22"/>
          <w:szCs w:val="22"/>
        </w:rPr>
        <w:t xml:space="preserve">Cost allocation by application</w:t>
      </w:r>
    </w:p>
    <w:p>
      <w:pPr>
        <w:pStyle w:val="ListParagraph"/>
        <w:numPr>
          <w:ilvl w:val="0"/>
          <w:numId w:val="2"/>
        </w:numPr>
        <w:spacing w:before="60" w:after="60"/>
      </w:pPr>
      <w:r>
        <w:rPr>
          <w:rFonts w:ascii="Arial" w:cs="Arial" w:eastAsia="Arial" w:hAnsi="Arial"/>
          <w:sz w:val="22"/>
          <w:szCs w:val="22"/>
        </w:rPr>
        <w:t xml:space="preserve">Cost center and owner assignment</w:t>
      </w:r>
    </w:p>
    <w:p>
      <w:pPr>
        <w:pStyle w:val="ListParagraph"/>
        <w:numPr>
          <w:ilvl w:val="0"/>
          <w:numId w:val="2"/>
        </w:numPr>
        <w:spacing w:before="60" w:after="60"/>
      </w:pPr>
      <w:r>
        <w:rPr>
          <w:rFonts w:ascii="Arial" w:cs="Arial" w:eastAsia="Arial" w:hAnsi="Arial"/>
          <w:sz w:val="22"/>
          <w:szCs w:val="22"/>
        </w:rPr>
        <w:t xml:space="preserve">Monthly and annual chargeback totals</w:t>
      </w:r>
    </w:p>
    <w:p>
      <w:pPr>
        <w:pStyle w:val="Heading3"/>
        <w:spacing w:before="240" w:after="120"/>
      </w:pPr>
      <w:r>
        <w:rPr>
          <w:rFonts w:ascii="Arial" w:cs="Arial" w:eastAsia="Arial" w:hAnsi="Arial"/>
          <w:b/>
          <w:bCs/>
          <w:color w:val="1F4E79"/>
          <w:sz w:val="22"/>
          <w:szCs w:val="22"/>
        </w:rPr>
        <w:t xml:space="preserve">10. Benchmarking Log</w:t>
      </w:r>
    </w:p>
    <w:p>
      <w:pPr>
        <w:pStyle w:val="ListParagraph"/>
        <w:numPr>
          <w:ilvl w:val="0"/>
          <w:numId w:val="2"/>
        </w:numPr>
        <w:spacing w:before="60" w:after="60"/>
      </w:pPr>
      <w:r>
        <w:rPr>
          <w:rFonts w:ascii="Arial" w:cs="Arial" w:eastAsia="Arial" w:hAnsi="Arial"/>
          <w:sz w:val="22"/>
          <w:szCs w:val="22"/>
        </w:rPr>
        <w:t xml:space="preserve">Track validation test results</w:t>
      </w:r>
    </w:p>
    <w:p>
      <w:pPr>
        <w:pStyle w:val="ListParagraph"/>
        <w:numPr>
          <w:ilvl w:val="0"/>
          <w:numId w:val="2"/>
        </w:numPr>
        <w:spacing w:before="60" w:after="60"/>
      </w:pPr>
      <w:r>
        <w:rPr>
          <w:rFonts w:ascii="Arial" w:cs="Arial" w:eastAsia="Arial" w:hAnsi="Arial"/>
          <w:sz w:val="22"/>
          <w:szCs w:val="22"/>
        </w:rPr>
        <w:t xml:space="preserve">Compare calculator estimates to actuals</w:t>
      </w:r>
    </w:p>
    <w:p>
      <w:pPr>
        <w:pStyle w:val="ListParagraph"/>
        <w:numPr>
          <w:ilvl w:val="0"/>
          <w:numId w:val="2"/>
        </w:numPr>
        <w:spacing w:before="60" w:after="60"/>
      </w:pPr>
      <w:r>
        <w:rPr>
          <w:rFonts w:ascii="Arial" w:cs="Arial" w:eastAsia="Arial" w:hAnsi="Arial"/>
          <w:sz w:val="22"/>
          <w:szCs w:val="22"/>
        </w:rPr>
        <w:t xml:space="preserve">Document performance baselines</w:t>
      </w:r>
    </w:p>
    <w:p>
      <w:pPr>
        <w:pStyle w:val="Heading2"/>
        <w:spacing w:before="300" w:after="150"/>
      </w:pPr>
      <w:r>
        <w:rPr>
          <w:rFonts w:ascii="Arial" w:cs="Arial" w:eastAsia="Arial" w:hAnsi="Arial"/>
          <w:b/>
          <w:bCs/>
          <w:color w:val="2E75B6"/>
          <w:sz w:val="26"/>
          <w:szCs w:val="26"/>
        </w:rPr>
        <w:t xml:space="preserve">Using the Framework</w:t>
      </w:r>
    </w:p>
    <w:p>
      <w:pPr>
        <w:pStyle w:val="ListParagraph"/>
        <w:numPr>
          <w:ilvl w:val="0"/>
          <w:numId w:val="3"/>
        </w:numPr>
        <w:spacing w:before="60" w:after="60"/>
      </w:pPr>
      <w:r>
        <w:rPr>
          <w:rFonts w:ascii="Arial" w:cs="Arial" w:eastAsia="Arial" w:hAnsi="Arial"/>
          <w:sz w:val="22"/>
          <w:szCs w:val="22"/>
        </w:rPr>
        <w:t xml:space="preserve">Start with the Configuration sheet: Set your deployment type, region, and pricing parameters</w:t>
      </w:r>
    </w:p>
    <w:p>
      <w:pPr>
        <w:pStyle w:val="ListParagraph"/>
        <w:numPr>
          <w:ilvl w:val="0"/>
          <w:numId w:val="3"/>
        </w:numPr>
        <w:spacing w:before="60" w:after="60"/>
      </w:pPr>
      <w:r>
        <w:rPr>
          <w:rFonts w:ascii="Arial" w:cs="Arial" w:eastAsia="Arial" w:hAnsi="Arial"/>
          <w:sz w:val="22"/>
          <w:szCs w:val="22"/>
        </w:rPr>
        <w:t xml:space="preserve">Enter workload details: Add each application in Workload Inputs with token estimates and peak RPM</w:t>
      </w:r>
    </w:p>
    <w:p>
      <w:pPr>
        <w:pStyle w:val="ListParagraph"/>
        <w:numPr>
          <w:ilvl w:val="0"/>
          <w:numId w:val="3"/>
        </w:numPr>
        <w:spacing w:before="60" w:after="60"/>
      </w:pPr>
      <w:r>
        <w:rPr>
          <w:rFonts w:ascii="Arial" w:cs="Arial" w:eastAsia="Arial" w:hAnsi="Arial"/>
          <w:sz w:val="22"/>
          <w:szCs w:val="22"/>
        </w:rPr>
        <w:t xml:space="preserve">Review PTU Rates: Update conversion rates if Microsoft has published new values</w:t>
      </w:r>
    </w:p>
    <w:p>
      <w:pPr>
        <w:pStyle w:val="ListParagraph"/>
        <w:numPr>
          <w:ilvl w:val="0"/>
          <w:numId w:val="3"/>
        </w:numPr>
        <w:spacing w:before="60" w:after="60"/>
      </w:pPr>
      <w:r>
        <w:rPr>
          <w:rFonts w:ascii="Arial" w:cs="Arial" w:eastAsia="Arial" w:hAnsi="Arial"/>
          <w:sz w:val="22"/>
          <w:szCs w:val="22"/>
        </w:rPr>
        <w:t xml:space="preserve">Check Capacity Summary: Review calculated PTU requirements and utilization projections</w:t>
      </w:r>
    </w:p>
    <w:p>
      <w:pPr>
        <w:pStyle w:val="ListParagraph"/>
        <w:numPr>
          <w:ilvl w:val="0"/>
          <w:numId w:val="3"/>
        </w:numPr>
        <w:spacing w:before="60" w:after="60"/>
      </w:pPr>
      <w:r>
        <w:rPr>
          <w:rFonts w:ascii="Arial" w:cs="Arial" w:eastAsia="Arial" w:hAnsi="Arial"/>
          <w:sz w:val="22"/>
          <w:szCs w:val="22"/>
        </w:rPr>
        <w:t xml:space="preserve">Analyze Costs: Compare PTU vs PAYGO economics in Cost Analysis</w:t>
      </w:r>
    </w:p>
    <w:p>
      <w:pPr>
        <w:pStyle w:val="ListParagraph"/>
        <w:numPr>
          <w:ilvl w:val="0"/>
          <w:numId w:val="3"/>
        </w:numPr>
        <w:spacing w:before="60" w:after="60"/>
      </w:pPr>
      <w:r>
        <w:rPr>
          <w:rFonts w:ascii="Arial" w:cs="Arial" w:eastAsia="Arial" w:hAnsi="Arial"/>
          <w:sz w:val="22"/>
          <w:szCs w:val="22"/>
        </w:rPr>
        <w:t xml:space="preserve">Plan Spillover: Use Spillover Planner to optimize hybrid architecture</w:t>
      </w:r>
    </w:p>
    <w:p>
      <w:pPr>
        <w:pStyle w:val="ListParagraph"/>
        <w:numPr>
          <w:ilvl w:val="0"/>
          <w:numId w:val="3"/>
        </w:numPr>
        <w:spacing w:before="60" w:after="60"/>
      </w:pPr>
      <w:r>
        <w:rPr>
          <w:rFonts w:ascii="Arial" w:cs="Arial" w:eastAsia="Arial" w:hAnsi="Arial"/>
          <w:sz w:val="22"/>
          <w:szCs w:val="22"/>
        </w:rPr>
        <w:t xml:space="preserve">Optimize Reservations: Determine optimal commitment term</w:t>
      </w:r>
    </w:p>
    <w:p>
      <w:pPr>
        <w:pStyle w:val="ListParagraph"/>
        <w:numPr>
          <w:ilvl w:val="0"/>
          <w:numId w:val="3"/>
        </w:numPr>
        <w:spacing w:before="60" w:after="60"/>
      </w:pPr>
      <w:r>
        <w:rPr>
          <w:rFonts w:ascii="Arial" w:cs="Arial" w:eastAsia="Arial" w:hAnsi="Arial"/>
          <w:sz w:val="22"/>
          <w:szCs w:val="22"/>
        </w:rPr>
        <w:t xml:space="preserve">Set Up Chargeback: Assign costs to consuming applications</w:t>
      </w:r>
    </w:p>
    <w:p>
      <w:pPr>
        <w:pStyle w:val="ListParagraph"/>
        <w:numPr>
          <w:ilvl w:val="0"/>
          <w:numId w:val="3"/>
        </w:numPr>
        <w:spacing w:before="60" w:after="60"/>
      </w:pPr>
      <w:r>
        <w:rPr>
          <w:rFonts w:ascii="Arial" w:cs="Arial" w:eastAsia="Arial" w:hAnsi="Arial"/>
          <w:sz w:val="22"/>
          <w:szCs w:val="22"/>
        </w:rPr>
        <w:t xml:space="preserve">Validate with Benchmarks: Record test results and refine inputs</w:t>
      </w:r>
    </w:p>
    <w:p>
      <w:pPr>
        <w:shd w:fill="FFF3CD" w:val="clear"/>
        <w:spacing w:before="120" w:after="120"/>
        <w:ind w:left="200" w:right="200"/>
      </w:pPr>
      <w:r>
        <w:rPr>
          <w:rFonts w:ascii="Arial" w:cs="Arial" w:eastAsia="Arial" w:hAnsi="Arial"/>
          <w:b/>
          <w:bCs/>
          <w:sz w:val="22"/>
          <w:szCs w:val="22"/>
        </w:rPr>
        <w:t xml:space="preserve">Note: </w:t>
      </w:r>
      <w:r>
        <w:rPr>
          <w:rFonts w:ascii="Arial" w:cs="Arial" w:eastAsia="Arial" w:hAnsi="Arial"/>
          <w:sz w:val="22"/>
          <w:szCs w:val="22"/>
        </w:rPr>
        <w:t xml:space="preserve">Blue cells are user inputs. Black cells contain formulas. Green cells link to other sheets. Yellow highlighted cells are key assumptions that should be reviewed.</w:t>
      </w:r>
    </w:p>
    <w:p>
      <w:r>
        <w:br w:type="page"/>
      </w:r>
    </w:p>
    <w:p>
      <w:pPr>
        <w:pStyle w:val="Heading1"/>
        <w:spacing w:before="400" w:after="200"/>
      </w:pPr>
      <w:r>
        <w:rPr>
          <w:rFonts w:ascii="Arial" w:cs="Arial" w:eastAsia="Arial" w:hAnsi="Arial"/>
          <w:b/>
          <w:bCs/>
          <w:color w:val="1F4E79"/>
          <w:sz w:val="32"/>
          <w:szCs w:val="32"/>
        </w:rPr>
        <w:t xml:space="preserve">Appendix B: Resources and References</w:t>
      </w:r>
    </w:p>
    <w:p>
      <w:pPr>
        <w:pStyle w:val="Heading2"/>
        <w:spacing w:before="300" w:after="150"/>
      </w:pPr>
      <w:r>
        <w:rPr>
          <w:rFonts w:ascii="Arial" w:cs="Arial" w:eastAsia="Arial" w:hAnsi="Arial"/>
          <w:b/>
          <w:bCs/>
          <w:color w:val="2E75B6"/>
          <w:sz w:val="26"/>
          <w:szCs w:val="26"/>
        </w:rPr>
        <w:t xml:space="preserve">Official Microsoft Resources</w:t>
      </w:r>
    </w:p>
    <w:p>
      <w:pPr>
        <w:pStyle w:val="ListParagraph"/>
        <w:numPr>
          <w:ilvl w:val="0"/>
          <w:numId w:val="2"/>
        </w:numPr>
        <w:spacing w:before="60" w:after="60"/>
      </w:pPr>
      <w:r>
        <w:rPr>
          <w:rFonts w:ascii="Arial" w:cs="Arial" w:eastAsia="Arial" w:hAnsi="Arial"/>
          <w:sz w:val="22"/>
          <w:szCs w:val="22"/>
        </w:rPr>
        <w:t xml:space="preserve">Azure OpenAI PTU Calculator: https://oai.azure.com/portal/calculator</w:t>
      </w:r>
    </w:p>
    <w:p>
      <w:pPr>
        <w:pStyle w:val="ListParagraph"/>
        <w:numPr>
          <w:ilvl w:val="0"/>
          <w:numId w:val="2"/>
        </w:numPr>
        <w:spacing w:before="60" w:after="60"/>
      </w:pPr>
      <w:r>
        <w:rPr>
          <w:rFonts w:ascii="Arial" w:cs="Arial" w:eastAsia="Arial" w:hAnsi="Arial"/>
          <w:sz w:val="22"/>
          <w:szCs w:val="22"/>
        </w:rPr>
        <w:t xml:space="preserve">PTU Documentation: https://learn.microsoft.com/azure/ai-services/openai/concepts/provisioned-throughput</w:t>
      </w:r>
    </w:p>
    <w:p>
      <w:pPr>
        <w:pStyle w:val="ListParagraph"/>
        <w:numPr>
          <w:ilvl w:val="0"/>
          <w:numId w:val="2"/>
        </w:numPr>
        <w:spacing w:before="60" w:after="60"/>
      </w:pPr>
      <w:r>
        <w:rPr>
          <w:rFonts w:ascii="Arial" w:cs="Arial" w:eastAsia="Arial" w:hAnsi="Arial"/>
          <w:sz w:val="22"/>
          <w:szCs w:val="22"/>
        </w:rPr>
        <w:t xml:space="preserve">Pricing Calculator: https://azure.microsoft.com/pricing/details/cognitive-services/openai-service</w:t>
      </w:r>
    </w:p>
    <w:p>
      <w:pPr>
        <w:pStyle w:val="ListParagraph"/>
        <w:numPr>
          <w:ilvl w:val="0"/>
          <w:numId w:val="2"/>
        </w:numPr>
        <w:spacing w:before="60" w:after="60"/>
      </w:pPr>
      <w:r>
        <w:rPr>
          <w:rFonts w:ascii="Arial" w:cs="Arial" w:eastAsia="Arial" w:hAnsi="Arial"/>
          <w:sz w:val="22"/>
          <w:szCs w:val="22"/>
        </w:rPr>
        <w:t xml:space="preserve">GenAI Gateway Reference: https://learn.microsoft.com/ai/playbook/solutions/generative-ai/genai-gateway</w:t>
      </w:r>
    </w:p>
    <w:p>
      <w:pPr>
        <w:pStyle w:val="Heading2"/>
        <w:spacing w:before="300" w:after="150"/>
      </w:pPr>
      <w:r>
        <w:rPr>
          <w:rFonts w:ascii="Arial" w:cs="Arial" w:eastAsia="Arial" w:hAnsi="Arial"/>
          <w:b/>
          <w:bCs/>
          <w:color w:val="2E75B6"/>
          <w:sz w:val="26"/>
          <w:szCs w:val="26"/>
        </w:rPr>
        <w:t xml:space="preserve">Community Tools</w:t>
      </w:r>
    </w:p>
    <w:p>
      <w:pPr>
        <w:pStyle w:val="ListParagraph"/>
        <w:numPr>
          <w:ilvl w:val="0"/>
          <w:numId w:val="2"/>
        </w:numPr>
        <w:spacing w:before="60" w:after="60"/>
      </w:pPr>
      <w:r>
        <w:rPr>
          <w:rFonts w:ascii="Arial" w:cs="Arial" w:eastAsia="Arial" w:hAnsi="Arial"/>
          <w:sz w:val="22"/>
          <w:szCs w:val="22"/>
        </w:rPr>
        <w:t xml:space="preserve">Azure OpenAI Benchmark Tool: https://github.com/Azure/azure-openai-benchmark</w:t>
      </w:r>
    </w:p>
    <w:p>
      <w:pPr>
        <w:pStyle w:val="ListParagraph"/>
        <w:numPr>
          <w:ilvl w:val="0"/>
          <w:numId w:val="2"/>
        </w:numPr>
        <w:spacing w:before="60" w:after="60"/>
      </w:pPr>
      <w:r>
        <w:rPr>
          <w:rFonts w:ascii="Arial" w:cs="Arial" w:eastAsia="Arial" w:hAnsi="Arial"/>
          <w:sz w:val="22"/>
          <w:szCs w:val="22"/>
        </w:rPr>
        <w:t xml:space="preserve">AOAI with APIM Reference: https://github.com/microsoft/AzureOpenAI-with-APIM</w:t>
      </w:r>
    </w:p>
    <w:p>
      <w:pPr>
        <w:pStyle w:val="ListParagraph"/>
        <w:numPr>
          <w:ilvl w:val="0"/>
          <w:numId w:val="2"/>
        </w:numPr>
        <w:spacing w:before="60" w:after="60"/>
      </w:pPr>
      <w:r>
        <w:rPr>
          <w:rFonts w:ascii="Arial" w:cs="Arial" w:eastAsia="Arial" w:hAnsi="Arial"/>
          <w:sz w:val="22"/>
          <w:szCs w:val="22"/>
        </w:rPr>
        <w:t xml:space="preserve">PTU Sizer Toolkit: https://github.com/martins-vds/azure-openai-ptu-sizer</w:t>
      </w:r>
    </w:p>
    <w:p>
      <w:pPr>
        <w:pStyle w:val="Heading2"/>
        <w:spacing w:before="300" w:after="150"/>
      </w:pPr>
      <w:r>
        <w:rPr>
          <w:rFonts w:ascii="Arial" w:cs="Arial" w:eastAsia="Arial" w:hAnsi="Arial"/>
          <w:b/>
          <w:bCs/>
          <w:color w:val="2E75B6"/>
          <w:sz w:val="26"/>
          <w:szCs w:val="26"/>
        </w:rPr>
        <w:t xml:space="preserve">Contact</w:t>
      </w:r>
    </w:p>
    <w:p>
      <w:pPr>
        <w:spacing w:before="120" w:after="120" w:line="276"/>
      </w:pPr>
      <w:r>
        <w:rPr>
          <w:rFonts w:ascii="Arial" w:cs="Arial" w:eastAsia="Arial" w:hAnsi="Arial"/>
          <w:sz w:val="22"/>
          <w:szCs w:val="22"/>
        </w:rPr>
        <w:t xml:space="preserve">For questions about this guide or assistance with your Azure OpenAI deployment strategy, please reach out through your Deloitte Account Team or Microsoft partner contacts.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Deloitte Consulting LLP | Microsoft Technology &amp; Services Practice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Azure OpenAI PTU Calculator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2026-02-02T21:21:41.441Z</dcterms:created>
  <dcterms:modified xsi:type="dcterms:W3CDTF">2026-02-02T21:21:41.442Z</dcterms:modified>
</cp:coreProperties>
</file>

<file path=docProps/custom.xml><?xml version="1.0" encoding="utf-8"?>
<Properties xmlns="http://schemas.openxmlformats.org/officeDocument/2006/custom-properties" xmlns:vt="http://schemas.openxmlformats.org/officeDocument/2006/docPropsVTypes"/>
</file>