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400"/>
      </w:pPr>
      <w:r>
        <w:rPr>
          <w:rFonts w:ascii="Arial" w:cs="Arial" w:eastAsia="Arial" w:hAnsi="Arial"/>
          <w:b/>
          <w:bCs/>
          <w:color w:val="2E4057"/>
          <w:sz w:val="36"/>
          <w:szCs w:val="36"/>
        </w:rPr>
        <w:t xml:space="preserve">MASTER SERVICES AGREEMENT — ADVERTISING CAMPAIGN SERVICES</w:t>
      </w:r>
    </w:p>
    <w:p>
      <w:pPr>
        <w:pBdr>
          <w:bottom w:val="single" w:color="2E4057" w:sz="6" w:space="1"/>
        </w:pBdr>
        <w:spacing w:after="160" w:before="160"/>
      </w:pPr>
      <w:r>
        <w:rPr>
          <w:rFonts w:ascii="Arial" w:cs="Arial" w:eastAsia="Arial" w:hAnsi="Arial"/>
          <w:sz w:val="4"/>
          <w:szCs w:val="4"/>
        </w:rPr>
        <w:t xml:space="preserve"/>
      </w:r>
    </w:p>
    <w:p>
      <w:pPr>
        <w:pBdr>
          <w:bottom w:val="single" w:color="2E4057" w:sz="4" w:space="4"/>
        </w:pBdr>
        <w:spacing w:after="160" w:before="240"/>
      </w:pPr>
      <w:r>
        <w:rPr>
          <w:rFonts w:ascii="Arial" w:cs="Arial" w:eastAsia="Arial" w:hAnsi="Arial"/>
          <w:b/>
          <w:bCs/>
          <w:color w:val="1A1A1A"/>
          <w:sz w:val="28"/>
          <w:szCs w:val="28"/>
        </w:rPr>
        <w:t xml:space="preserve">Contract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1A1A1A"/>
                <w:sz w:val="20"/>
                <w:szCs w:val="20"/>
              </w:rPr>
              <w:t xml:space="preserve">Contract No.</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NK-SGA-ADV-2026-0041</w:t>
            </w:r>
          </w:p>
        </w:tc>
      </w:tr>
      <w:tr>
        <w:tc>
          <w:tcPr>
            <w:tcW w:type="dxa" w:w="3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1A1A1A"/>
                <w:sz w:val="20"/>
                <w:szCs w:val="20"/>
              </w:rPr>
              <w:t xml:space="preserve">Agreement Type</w:t>
            </w:r>
          </w:p>
        </w:tc>
        <w:tc>
          <w:tcPr>
            <w:tcW w:type="dxa" w:w="63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1A1A1A"/>
                <w:sz w:val="20"/>
                <w:szCs w:val="20"/>
              </w:rPr>
              <w:t xml:space="preserve">Master Services Agreement with Statement of Work</w:t>
            </w:r>
          </w:p>
        </w:tc>
      </w:tr>
      <w:tr>
        <w:tc>
          <w:tcPr>
            <w:tcW w:type="dxa" w:w="3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1A1A1A"/>
                <w:sz w:val="20"/>
                <w:szCs w:val="20"/>
              </w:rPr>
              <w:t xml:space="preserve">Effective Date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February 1, 2026</w:t>
            </w:r>
          </w:p>
        </w:tc>
      </w:tr>
      <w:tr>
        <w:tc>
          <w:tcPr>
            <w:tcW w:type="dxa" w:w="3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1A1A1A"/>
                <w:sz w:val="20"/>
                <w:szCs w:val="20"/>
              </w:rPr>
              <w:t xml:space="preserve">Expiration Date</w:t>
            </w:r>
          </w:p>
        </w:tc>
        <w:tc>
          <w:tcPr>
            <w:tcW w:type="dxa" w:w="63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1A1A1A"/>
                <w:sz w:val="20"/>
                <w:szCs w:val="20"/>
              </w:rPr>
              <w:t xml:space="preserve">January 31, 2027 (12 months)</w:t>
            </w:r>
          </w:p>
        </w:tc>
      </w:tr>
      <w:tr>
        <w:tc>
          <w:tcPr>
            <w:tcW w:type="dxa" w:w="3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1A1A1A"/>
                <w:sz w:val="20"/>
                <w:szCs w:val="20"/>
              </w:rPr>
              <w:t xml:space="preserve">Nike Entity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Nike, Inc. — Brand Marketing, North America</w:t>
            </w:r>
          </w:p>
        </w:tc>
      </w:tr>
      <w:tr>
        <w:tc>
          <w:tcPr>
            <w:tcW w:type="dxa" w:w="3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1A1A1A"/>
                <w:sz w:val="20"/>
                <w:szCs w:val="20"/>
              </w:rPr>
              <w:t xml:space="preserve">Counterparty</w:t>
            </w:r>
          </w:p>
        </w:tc>
        <w:tc>
          <w:tcPr>
            <w:tcW w:type="dxa" w:w="63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1A1A1A"/>
                <w:sz w:val="20"/>
                <w:szCs w:val="20"/>
              </w:rPr>
              <w:t xml:space="preserve">Wieden+Kennedy LLC</w:t>
            </w:r>
          </w:p>
        </w:tc>
      </w:tr>
      <w:tr>
        <w:tc>
          <w:tcPr>
            <w:tcW w:type="dxa" w:w="3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1A1A1A"/>
                <w:sz w:val="20"/>
                <w:szCs w:val="20"/>
              </w:rPr>
              <w:t xml:space="preserve">Counterparty Address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224 NW 13th Avenue, Portland, OR 97209</w:t>
            </w:r>
          </w:p>
        </w:tc>
      </w:tr>
      <w:tr>
        <w:tc>
          <w:tcPr>
            <w:tcW w:type="dxa" w:w="3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1A1A1A"/>
                <w:sz w:val="20"/>
                <w:szCs w:val="20"/>
              </w:rPr>
              <w:t xml:space="preserve">Counterparty Contact</w:t>
            </w:r>
          </w:p>
        </w:tc>
        <w:tc>
          <w:tcPr>
            <w:tcW w:type="dxa" w:w="63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1A1A1A"/>
                <w:sz w:val="20"/>
                <w:szCs w:val="20"/>
              </w:rPr>
              <w:t xml:space="preserve">Mark Fitzpatrick, SVP Client Services — mfitzpatrick@wk.com</w:t>
            </w:r>
          </w:p>
        </w:tc>
      </w:tr>
      <w:tr>
        <w:tc>
          <w:tcPr>
            <w:tcW w:type="dxa" w:w="3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1A1A1A"/>
                <w:sz w:val="20"/>
                <w:szCs w:val="20"/>
              </w:rPr>
              <w:t xml:space="preserve">Nike Contact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Jennifer Morales, VP Brand Marketing — jmorales@nike.com</w:t>
            </w:r>
          </w:p>
        </w:tc>
      </w:tr>
      <w:tr>
        <w:tc>
          <w:tcPr>
            <w:tcW w:type="dxa" w:w="3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1A1A1A"/>
                <w:sz w:val="20"/>
                <w:szCs w:val="20"/>
              </w:rPr>
              <w:t xml:space="preserve">Nike PO Number</w:t>
            </w:r>
          </w:p>
        </w:tc>
        <w:tc>
          <w:tcPr>
            <w:tcW w:type="dxa" w:w="63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1A1A1A"/>
                <w:sz w:val="20"/>
                <w:szCs w:val="20"/>
              </w:rPr>
              <w:t xml:space="preserve">PO-2026-BM-00741</w:t>
            </w:r>
          </w:p>
        </w:tc>
      </w:tr>
      <w:tr>
        <w:tc>
          <w:tcPr>
            <w:tcW w:type="dxa" w:w="3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1A1A1A"/>
                <w:sz w:val="20"/>
                <w:szCs w:val="20"/>
              </w:rPr>
              <w:t xml:space="preserve">Contract Repository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Nike Contracts #ADV-2026-0041</w:t>
            </w:r>
          </w:p>
        </w:tc>
      </w:tr>
    </w:tbl>
    <w:p>
      <w:r>
        <w:rPr>
          <w:rFonts w:ascii="Arial" w:cs="Arial" w:eastAsia="Arial" w:hAnsi="Arial"/>
          <w:sz w:val="20"/>
          <w:szCs w:val="20"/>
        </w:rPr>
        <w:t xml:space="preserve"/>
      </w:r>
    </w:p>
    <w:p>
      <w:pPr>
        <w:pBdr>
          <w:bottom w:val="single" w:color="2E4057" w:sz="4" w:space="4"/>
        </w:pBdr>
        <w:spacing w:after="160" w:before="240"/>
      </w:pPr>
      <w:r>
        <w:rPr>
          <w:rFonts w:ascii="Arial" w:cs="Arial" w:eastAsia="Arial" w:hAnsi="Arial"/>
          <w:b/>
          <w:bCs/>
          <w:color w:val="1A1A1A"/>
          <w:sz w:val="28"/>
          <w:szCs w:val="28"/>
        </w:rPr>
        <w:t xml:space="preserve">Section 1 — Nature of Services</w:t>
      </w:r>
    </w:p>
    <w:p>
      <w:pPr>
        <w:spacing w:after="80" w:before="80"/>
      </w:pPr>
      <w:r>
        <w:rPr>
          <w:rFonts w:ascii="Arial" w:cs="Arial" w:eastAsia="Arial" w:hAnsi="Arial"/>
          <w:color w:val="1A1A1A"/>
          <w:sz w:val="20"/>
          <w:szCs w:val="20"/>
        </w:rPr>
        <w:t xml:space="preserve">Wieden+Kennedy LLC ('Agency') shall provide integrated advertising campaign services in support of Nike's 'Just Do It' 50th Anniversary Campaign ('Campaign'), including but not limited to:</w:t>
      </w:r>
    </w:p>
    <w:p>
      <w:pPr>
        <w:pStyle w:val="ListParagraph"/>
        <w:numPr>
          <w:ilvl w:val="0"/>
          <w:numId w:val="2"/>
        </w:numPr>
        <w:spacing w:after="40" w:before="40"/>
      </w:pPr>
      <w:r>
        <w:rPr>
          <w:rFonts w:ascii="Arial" w:cs="Arial" w:eastAsia="Arial" w:hAnsi="Arial"/>
          <w:color w:val="1A1A1A"/>
          <w:sz w:val="20"/>
          <w:szCs w:val="20"/>
        </w:rPr>
        <w:t xml:space="preserve">Creative concept development and campaign ideation</w:t>
      </w:r>
    </w:p>
    <w:p>
      <w:pPr>
        <w:pStyle w:val="ListParagraph"/>
        <w:numPr>
          <w:ilvl w:val="0"/>
          <w:numId w:val="2"/>
        </w:numPr>
        <w:spacing w:after="40" w:before="40"/>
      </w:pPr>
      <w:r>
        <w:rPr>
          <w:rFonts w:ascii="Arial" w:cs="Arial" w:eastAsia="Arial" w:hAnsi="Arial"/>
          <w:color w:val="1A1A1A"/>
          <w:sz w:val="20"/>
          <w:szCs w:val="20"/>
        </w:rPr>
        <w:t xml:space="preserve">Television commercial production (broadcast and streaming formats)</w:t>
      </w:r>
    </w:p>
    <w:p>
      <w:pPr>
        <w:pStyle w:val="ListParagraph"/>
        <w:numPr>
          <w:ilvl w:val="0"/>
          <w:numId w:val="2"/>
        </w:numPr>
        <w:spacing w:after="40" w:before="40"/>
      </w:pPr>
      <w:r>
        <w:rPr>
          <w:rFonts w:ascii="Arial" w:cs="Arial" w:eastAsia="Arial" w:hAnsi="Arial"/>
          <w:color w:val="1A1A1A"/>
          <w:sz w:val="20"/>
          <w:szCs w:val="20"/>
        </w:rPr>
        <w:t xml:space="preserve">Digital and social media content creation (Instagram, YouTube, TikTok, X)</w:t>
      </w:r>
    </w:p>
    <w:p>
      <w:pPr>
        <w:pStyle w:val="ListParagraph"/>
        <w:numPr>
          <w:ilvl w:val="0"/>
          <w:numId w:val="2"/>
        </w:numPr>
        <w:spacing w:after="40" w:before="40"/>
      </w:pPr>
      <w:r>
        <w:rPr>
          <w:rFonts w:ascii="Arial" w:cs="Arial" w:eastAsia="Arial" w:hAnsi="Arial"/>
          <w:color w:val="1A1A1A"/>
          <w:sz w:val="20"/>
          <w:szCs w:val="20"/>
        </w:rPr>
        <w:t xml:space="preserve">Outdoor/OOH advertising design and placement coordination</w:t>
      </w:r>
    </w:p>
    <w:p>
      <w:pPr>
        <w:pStyle w:val="ListParagraph"/>
        <w:numPr>
          <w:ilvl w:val="0"/>
          <w:numId w:val="2"/>
        </w:numPr>
        <w:spacing w:after="40" w:before="40"/>
      </w:pPr>
      <w:r>
        <w:rPr>
          <w:rFonts w:ascii="Arial" w:cs="Arial" w:eastAsia="Arial" w:hAnsi="Arial"/>
          <w:color w:val="1A1A1A"/>
          <w:sz w:val="20"/>
          <w:szCs w:val="20"/>
        </w:rPr>
        <w:t xml:space="preserve">Campaign performance analytics and quarterly reporting</w:t>
      </w:r>
    </w:p>
    <w:p>
      <w:pPr>
        <w:pStyle w:val="ListParagraph"/>
        <w:numPr>
          <w:ilvl w:val="0"/>
          <w:numId w:val="2"/>
        </w:numPr>
        <w:spacing w:after="40" w:before="40"/>
      </w:pPr>
      <w:r>
        <w:rPr>
          <w:rFonts w:ascii="Arial" w:cs="Arial" w:eastAsia="Arial" w:hAnsi="Arial"/>
          <w:color w:val="1A1A1A"/>
          <w:sz w:val="20"/>
          <w:szCs w:val="20"/>
        </w:rPr>
        <w:t xml:space="preserve">Media planning and buying strategy (media buy excluded from this contract — see NK-MEDIA-2026-0042)</w:t>
      </w:r>
    </w:p>
    <w:p>
      <w:r>
        <w:rPr>
          <w:rFonts w:ascii="Arial" w:cs="Arial" w:eastAsia="Arial" w:hAnsi="Arial"/>
          <w:sz w:val="20"/>
          <w:szCs w:val="20"/>
        </w:rPr>
        <w:t xml:space="preserve"/>
      </w:r>
    </w:p>
    <w:p>
      <w:pPr>
        <w:pBdr>
          <w:bottom w:val="single" w:color="2E4057" w:sz="4" w:space="4"/>
        </w:pBdr>
        <w:spacing w:after="160" w:before="240"/>
      </w:pPr>
      <w:r>
        <w:rPr>
          <w:rFonts w:ascii="Arial" w:cs="Arial" w:eastAsia="Arial" w:hAnsi="Arial"/>
          <w:b/>
          <w:bCs/>
          <w:color w:val="1A1A1A"/>
          <w:sz w:val="28"/>
          <w:szCs w:val="28"/>
        </w:rPr>
        <w:t xml:space="preserve">Section 2 — Financial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1A1A1A"/>
                <w:sz w:val="20"/>
                <w:szCs w:val="20"/>
              </w:rPr>
              <w:t xml:space="preserve">Total Contract Value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$8,400,000 USD</w:t>
            </w:r>
          </w:p>
        </w:tc>
      </w:tr>
      <w:tr>
        <w:tc>
          <w:tcPr>
            <w:tcW w:type="dxa" w:w="3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1A1A1A"/>
                <w:sz w:val="20"/>
                <w:szCs w:val="20"/>
              </w:rPr>
              <w:t xml:space="preserve">Fee Structure</w:t>
            </w:r>
          </w:p>
        </w:tc>
        <w:tc>
          <w:tcPr>
            <w:tcW w:type="dxa" w:w="63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1A1A1A"/>
                <w:sz w:val="20"/>
                <w:szCs w:val="20"/>
              </w:rPr>
              <w:t xml:space="preserve">Fixed retainer + variable production costs</w:t>
            </w:r>
          </w:p>
        </w:tc>
      </w:tr>
      <w:tr>
        <w:tc>
          <w:tcPr>
            <w:tcW w:type="dxa" w:w="3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1A1A1A"/>
                <w:sz w:val="20"/>
                <w:szCs w:val="20"/>
              </w:rPr>
              <w:t xml:space="preserve">Monthly Retainer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$450,000/month (Months 1–12)</w:t>
            </w:r>
          </w:p>
        </w:tc>
      </w:tr>
      <w:tr>
        <w:tc>
          <w:tcPr>
            <w:tcW w:type="dxa" w:w="3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1A1A1A"/>
                <w:sz w:val="20"/>
                <w:szCs w:val="20"/>
              </w:rPr>
              <w:t xml:space="preserve">Production Budget Pool</w:t>
            </w:r>
          </w:p>
        </w:tc>
        <w:tc>
          <w:tcPr>
            <w:tcW w:type="dxa" w:w="63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1A1A1A"/>
                <w:sz w:val="20"/>
                <w:szCs w:val="20"/>
              </w:rPr>
              <w:t xml:space="preserve">$3,000,000 (variable — drawn against approved SOWs)</w:t>
            </w:r>
          </w:p>
        </w:tc>
      </w:tr>
      <w:tr>
        <w:tc>
          <w:tcPr>
            <w:tcW w:type="dxa" w:w="3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1A1A1A"/>
                <w:sz w:val="20"/>
                <w:szCs w:val="20"/>
              </w:rPr>
              <w:t xml:space="preserve">Fixed Fee Component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$5,400,000 ($450K × 12 months)</w:t>
            </w:r>
          </w:p>
        </w:tc>
      </w:tr>
      <w:tr>
        <w:tc>
          <w:tcPr>
            <w:tcW w:type="dxa" w:w="3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1A1A1A"/>
                <w:sz w:val="20"/>
                <w:szCs w:val="20"/>
              </w:rPr>
              <w:t xml:space="preserve">Variable Component Cap</w:t>
            </w:r>
          </w:p>
        </w:tc>
        <w:tc>
          <w:tcPr>
            <w:tcW w:type="dxa" w:w="63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1A1A1A"/>
                <w:sz w:val="20"/>
                <w:szCs w:val="20"/>
              </w:rPr>
              <w:t xml:space="preserve">$3,000,000</w:t>
            </w:r>
          </w:p>
        </w:tc>
      </w:tr>
      <w:tr>
        <w:tc>
          <w:tcPr>
            <w:tcW w:type="dxa" w:w="3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1A1A1A"/>
                <w:sz w:val="20"/>
                <w:szCs w:val="20"/>
              </w:rPr>
              <w:t xml:space="preserve">Billing Frequency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Monthly — retainer invoiced on 1st of each month</w:t>
            </w:r>
          </w:p>
        </w:tc>
      </w:tr>
      <w:tr>
        <w:tc>
          <w:tcPr>
            <w:tcW w:type="dxa" w:w="3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1A1A1A"/>
                <w:sz w:val="20"/>
                <w:szCs w:val="20"/>
              </w:rPr>
              <w:t xml:space="preserve">Payment Terms</w:t>
            </w:r>
          </w:p>
        </w:tc>
        <w:tc>
          <w:tcPr>
            <w:tcW w:type="dxa" w:w="63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1A1A1A"/>
                <w:sz w:val="20"/>
                <w:szCs w:val="20"/>
              </w:rPr>
              <w:t xml:space="preserve">Net 30 from invoice date</w:t>
            </w:r>
          </w:p>
        </w:tc>
      </w:tr>
      <w:tr>
        <w:tc>
          <w:tcPr>
            <w:tcW w:type="dxa" w:w="3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1A1A1A"/>
                <w:sz w:val="20"/>
                <w:szCs w:val="20"/>
              </w:rPr>
              <w:t xml:space="preserve">Late Payment Penalty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1.5% per month on past-due balances</w:t>
            </w:r>
          </w:p>
        </w:tc>
      </w:tr>
    </w:tbl>
    <w:p>
      <w:r>
        <w:rPr>
          <w:rFonts w:ascii="Arial" w:cs="Arial" w:eastAsia="Arial" w:hAnsi="Arial"/>
          <w:sz w:val="20"/>
          <w:szCs w:val="20"/>
        </w:rPr>
        <w:t xml:space="preserve"/>
      </w:r>
    </w:p>
    <w:p>
      <w:pPr>
        <w:pBdr>
          <w:bottom w:val="single" w:color="2E4057" w:sz="4" w:space="4"/>
        </w:pBdr>
        <w:spacing w:after="160" w:before="240"/>
      </w:pPr>
      <w:r>
        <w:rPr>
          <w:rFonts w:ascii="Arial" w:cs="Arial" w:eastAsia="Arial" w:hAnsi="Arial"/>
          <w:b/>
          <w:bCs/>
          <w:color w:val="1A1A1A"/>
          <w:sz w:val="28"/>
          <w:szCs w:val="28"/>
        </w:rPr>
        <w:t xml:space="preserve">Section 3 — Accounting Treatment</w:t>
      </w:r>
    </w:p>
    <w:p>
      <w:pPr>
        <w:spacing w:after="160" w:before="240"/>
      </w:pPr>
      <w:r>
        <w:rPr>
          <w:rFonts w:ascii="Arial" w:cs="Arial" w:eastAsia="Arial" w:hAnsi="Arial"/>
          <w:b/>
          <w:bCs/>
          <w:color w:val="1A1A1A"/>
          <w:sz w:val="24"/>
          <w:szCs w:val="24"/>
        </w:rPr>
        <w:t xml:space="preserve">3.1  Expense Recognition Method</w:t>
      </w:r>
    </w:p>
    <w:p>
      <w:pPr>
        <w:spacing w:after="80" w:before="80"/>
      </w:pPr>
      <w:r>
        <w:rPr>
          <w:rFonts w:ascii="Arial" w:cs="Arial" w:eastAsia="Arial" w:hAnsi="Arial"/>
          <w:color w:val="1A1A1A"/>
          <w:sz w:val="20"/>
          <w:szCs w:val="20"/>
        </w:rPr>
        <w:t xml:space="preserve">Fixed retainer: Straight-line expense recognition over the 12-month contract term ($450,000 per month). Variable production costs: Expensed in the period in which the related creative asset is first broadcast or published. Pre-production costs not meeting capitalization criteria are expensed as incurred.</w:t>
      </w:r>
    </w:p>
    <w:p>
      <w:r>
        <w:rPr>
          <w:rFonts w:ascii="Arial" w:cs="Arial" w:eastAsia="Arial" w:hAnsi="Arial"/>
          <w:sz w:val="20"/>
          <w:szCs w:val="20"/>
        </w:rPr>
        <w:t xml:space="preserve"/>
      </w:r>
    </w:p>
    <w:p>
      <w:pPr>
        <w:spacing w:after="160" w:before="240"/>
      </w:pPr>
      <w:r>
        <w:rPr>
          <w:rFonts w:ascii="Arial" w:cs="Arial" w:eastAsia="Arial" w:hAnsi="Arial"/>
          <w:b/>
          <w:bCs/>
          <w:color w:val="1A1A1A"/>
          <w:sz w:val="24"/>
          <w:szCs w:val="24"/>
        </w:rPr>
        <w:t xml:space="preserve">3.2  Capitalization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1A1A1A"/>
                <w:sz w:val="20"/>
                <w:szCs w:val="20"/>
              </w:rPr>
              <w:t xml:space="preserve">Capitalization Treatment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Direct expense — SG&amp;A (not capitalized)</w:t>
            </w:r>
          </w:p>
        </w:tc>
      </w:tr>
      <w:tr>
        <w:tc>
          <w:tcPr>
            <w:tcW w:type="dxa" w:w="3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1A1A1A"/>
                <w:sz w:val="20"/>
                <w:szCs w:val="20"/>
              </w:rPr>
              <w:t xml:space="preserve">Rationale</w:t>
            </w:r>
          </w:p>
        </w:tc>
        <w:tc>
          <w:tcPr>
            <w:tcW w:type="dxa" w:w="63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1A1A1A"/>
                <w:sz w:val="20"/>
                <w:szCs w:val="20"/>
              </w:rPr>
              <w:t xml:space="preserve">Services do not result in an identifiable asset with future economic benefit beyond the contract period; advertising costs expensed per ASC 720-35</w:t>
            </w:r>
          </w:p>
        </w:tc>
      </w:tr>
      <w:tr>
        <w:tc>
          <w:tcPr>
            <w:tcW w:type="dxa" w:w="3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1A1A1A"/>
                <w:sz w:val="20"/>
                <w:szCs w:val="20"/>
              </w:rPr>
              <w:t xml:space="preserve">Internal-Use Software Component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None</w:t>
            </w:r>
          </w:p>
        </w:tc>
      </w:tr>
      <w:tr>
        <w:tc>
          <w:tcPr>
            <w:tcW w:type="dxa" w:w="3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1A1A1A"/>
                <w:sz w:val="20"/>
                <w:szCs w:val="20"/>
              </w:rPr>
              <w:t xml:space="preserve">Prepaid Expense</w:t>
            </w:r>
          </w:p>
        </w:tc>
        <w:tc>
          <w:tcPr>
            <w:tcW w:type="dxa" w:w="63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1A1A1A"/>
                <w:sz w:val="20"/>
                <w:szCs w:val="20"/>
              </w:rPr>
              <w:t xml:space="preserve">Monthly retainer invoiced in advance — $450K recognized as prepaid at billing, amortized over service month</w:t>
            </w:r>
          </w:p>
        </w:tc>
      </w:tr>
      <w:tr>
        <w:tc>
          <w:tcPr>
            <w:tcW w:type="dxa" w:w="3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1A1A1A"/>
                <w:sz w:val="20"/>
                <w:szCs w:val="20"/>
              </w:rPr>
              <w:t xml:space="preserve">GL Account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6200 — Advertising &amp; Marketing Expense</w:t>
            </w:r>
          </w:p>
        </w:tc>
      </w:tr>
      <w:tr>
        <w:tc>
          <w:tcPr>
            <w:tcW w:type="dxa" w:w="3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1A1A1A"/>
                <w:sz w:val="20"/>
                <w:szCs w:val="20"/>
              </w:rPr>
              <w:t xml:space="preserve">Cost Center</w:t>
            </w:r>
          </w:p>
        </w:tc>
        <w:tc>
          <w:tcPr>
            <w:tcW w:type="dxa" w:w="63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1A1A1A"/>
                <w:sz w:val="20"/>
                <w:szCs w:val="20"/>
              </w:rPr>
              <w:t xml:space="preserve">CC-1100 — Brand Marketing, North America</w:t>
            </w:r>
          </w:p>
        </w:tc>
      </w:tr>
    </w:tbl>
    <w:p>
      <w:r>
        <w:rPr>
          <w:rFonts w:ascii="Arial" w:cs="Arial" w:eastAsia="Arial" w:hAnsi="Arial"/>
          <w:sz w:val="20"/>
          <w:szCs w:val="20"/>
        </w:rPr>
        <w:t xml:space="preserve"/>
      </w:r>
    </w:p>
    <w:p>
      <w:pPr>
        <w:spacing w:after="160" w:before="240"/>
      </w:pPr>
      <w:r>
        <w:rPr>
          <w:rFonts w:ascii="Arial" w:cs="Arial" w:eastAsia="Arial" w:hAnsi="Arial"/>
          <w:b/>
          <w:bCs/>
          <w:color w:val="1A1A1A"/>
          <w:sz w:val="24"/>
          <w:szCs w:val="24"/>
        </w:rPr>
        <w:t xml:space="preserve">3.3  Technical Accounting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1A1A1A"/>
                <w:sz w:val="20"/>
                <w:szCs w:val="20"/>
              </w:rPr>
              <w:t xml:space="preserve">Embedded Derivative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None identified. Fixed USD fee structure, no foreign currency clauses.</w:t>
            </w:r>
          </w:p>
        </w:tc>
      </w:tr>
      <w:tr>
        <w:tc>
          <w:tcPr>
            <w:tcW w:type="dxa" w:w="3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1A1A1A"/>
                <w:sz w:val="20"/>
                <w:szCs w:val="20"/>
              </w:rPr>
              <w:t xml:space="preserve">Lease Component (ASC 842)</w:t>
            </w:r>
          </w:p>
        </w:tc>
        <w:tc>
          <w:tcPr>
            <w:tcW w:type="dxa" w:w="63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1A1A1A"/>
                <w:sz w:val="20"/>
                <w:szCs w:val="20"/>
              </w:rPr>
              <w:t xml:space="preserve">None. No right-of-use asset. Agency provides services from its own facilities.</w:t>
            </w:r>
          </w:p>
        </w:tc>
      </w:tr>
      <w:tr>
        <w:tc>
          <w:tcPr>
            <w:tcW w:type="dxa" w:w="3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1A1A1A"/>
                <w:sz w:val="20"/>
                <w:szCs w:val="20"/>
              </w:rPr>
              <w:t xml:space="preserve">Variable Consideration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Yes — Production cost pool is variable. Cap at $3M. No minimum guaranteed to Agency.</w:t>
            </w:r>
          </w:p>
        </w:tc>
      </w:tr>
      <w:tr>
        <w:tc>
          <w:tcPr>
            <w:tcW w:type="dxa" w:w="3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1A1A1A"/>
                <w:sz w:val="20"/>
                <w:szCs w:val="20"/>
              </w:rPr>
              <w:t xml:space="preserve">Service Commencement</w:t>
            </w:r>
          </w:p>
        </w:tc>
        <w:tc>
          <w:tcPr>
            <w:tcW w:type="dxa" w:w="63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1A1A1A"/>
                <w:sz w:val="20"/>
                <w:szCs w:val="20"/>
              </w:rPr>
              <w:t xml:space="preserve">February 1, 2026 — creative briefing kick-off</w:t>
            </w:r>
          </w:p>
        </w:tc>
      </w:tr>
      <w:tr>
        <w:tc>
          <w:tcPr>
            <w:tcW w:type="dxa" w:w="3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1A1A1A"/>
                <w:sz w:val="20"/>
                <w:szCs w:val="20"/>
              </w:rPr>
              <w:t xml:space="preserve">Performance Obligations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Single performance obligation (series of distinct services, recognized over time)</w:t>
            </w:r>
          </w:p>
        </w:tc>
      </w:tr>
      <w:tr>
        <w:tc>
          <w:tcPr>
            <w:tcW w:type="dxa" w:w="3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1A1A1A"/>
                <w:sz w:val="20"/>
                <w:szCs w:val="20"/>
              </w:rPr>
              <w:t xml:space="preserve">Disclosure Requirement</w:t>
            </w:r>
          </w:p>
        </w:tc>
        <w:tc>
          <w:tcPr>
            <w:tcW w:type="dxa" w:w="63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1A1A1A"/>
                <w:sz w:val="20"/>
                <w:szCs w:val="20"/>
              </w:rPr>
              <w:t xml:space="preserve">Quantitative disclosure of advertising costs in 10-K Note XX per ASC 720-35-50-1</w:t>
            </w:r>
          </w:p>
        </w:tc>
      </w:tr>
      <w:tr>
        <w:tc>
          <w:tcPr>
            <w:tcW w:type="dxa" w:w="3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1A1A1A"/>
                <w:sz w:val="20"/>
                <w:szCs w:val="20"/>
              </w:rPr>
              <w:t xml:space="preserve">Related Party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No related party relationship identified</w:t>
            </w:r>
          </w:p>
        </w:tc>
      </w:tr>
      <w:tr>
        <w:tc>
          <w:tcPr>
            <w:tcW w:type="dxa" w:w="3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1A1A1A"/>
                <w:sz w:val="20"/>
                <w:szCs w:val="20"/>
              </w:rPr>
              <w:t xml:space="preserve">SOX Control Relevance</w:t>
            </w:r>
          </w:p>
        </w:tc>
        <w:tc>
          <w:tcPr>
            <w:tcW w:type="dxa" w:w="63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1A1A1A"/>
                <w:sz w:val="20"/>
                <w:szCs w:val="20"/>
              </w:rPr>
              <w:t xml:space="preserve">P&amp;L impact &gt;$1M monthly — subject to quarterly flux review and controller sign-off</w:t>
            </w:r>
          </w:p>
        </w:tc>
      </w:tr>
    </w:tbl>
    <w:p>
      <w:r>
        <w:rPr>
          <w:rFonts w:ascii="Arial" w:cs="Arial" w:eastAsia="Arial" w:hAnsi="Arial"/>
          <w:sz w:val="20"/>
          <w:szCs w:val="20"/>
        </w:rPr>
        <w:t xml:space="preserve"/>
      </w:r>
    </w:p>
    <w:p>
      <w:pPr>
        <w:pBdr>
          <w:bottom w:val="single" w:color="2E4057" w:sz="4" w:space="4"/>
        </w:pBdr>
        <w:spacing w:after="160" w:before="240"/>
      </w:pPr>
      <w:r>
        <w:rPr>
          <w:rFonts w:ascii="Arial" w:cs="Arial" w:eastAsia="Arial" w:hAnsi="Arial"/>
          <w:b/>
          <w:bCs/>
          <w:color w:val="1A1A1A"/>
          <w:sz w:val="28"/>
          <w:szCs w:val="28"/>
        </w:rPr>
        <w:t xml:space="preserve">Section 4 — Term and Termination</w:t>
      </w:r>
    </w:p>
    <w:p>
      <w:pPr>
        <w:spacing w:after="80" w:before="80"/>
      </w:pPr>
      <w:r>
        <w:rPr>
          <w:rFonts w:ascii="Arial" w:cs="Arial" w:eastAsia="Arial" w:hAnsi="Arial"/>
          <w:color w:val="1A1A1A"/>
          <w:sz w:val="20"/>
          <w:szCs w:val="20"/>
        </w:rPr>
        <w:t xml:space="preserve">This Agreement commences February 1, 2026 and expires January 31, 2027. Either party may terminate for convenience upon 60 days' written notice. Nike may terminate for cause upon 15 days' written notice if Agency fails to cure a material breach. Upon termination, Agency is entitled to fees earned through the termination date plus documented non-cancellable production commitments.</w:t>
      </w:r>
    </w:p>
    <w:p>
      <w:r>
        <w:rPr>
          <w:rFonts w:ascii="Arial" w:cs="Arial" w:eastAsia="Arial" w:hAnsi="Arial"/>
          <w:sz w:val="20"/>
          <w:szCs w:val="20"/>
        </w:rPr>
        <w:t xml:space="preserve"/>
      </w:r>
    </w:p>
    <w:p>
      <w:pPr>
        <w:pBdr>
          <w:bottom w:val="single" w:color="2E4057" w:sz="4" w:space="4"/>
        </w:pBdr>
        <w:spacing w:after="160" w:before="240"/>
      </w:pPr>
      <w:r>
        <w:rPr>
          <w:rFonts w:ascii="Arial" w:cs="Arial" w:eastAsia="Arial" w:hAnsi="Arial"/>
          <w:b/>
          <w:bCs/>
          <w:color w:val="1A1A1A"/>
          <w:sz w:val="28"/>
          <w:szCs w:val="28"/>
        </w:rPr>
        <w:t xml:space="preserve">Section 5 — Representations and Warranties</w:t>
      </w:r>
    </w:p>
    <w:p>
      <w:pPr>
        <w:spacing w:after="80" w:before="80"/>
      </w:pPr>
      <w:r>
        <w:rPr>
          <w:rFonts w:ascii="Arial" w:cs="Arial" w:eastAsia="Arial" w:hAnsi="Arial"/>
          <w:color w:val="1A1A1A"/>
          <w:sz w:val="20"/>
          <w:szCs w:val="20"/>
        </w:rPr>
        <w:t xml:space="preserve">Agency represents and warrants that all creative work product shall be original, free of third-party intellectual property encumbrances, and compliant with applicable advertising standards and FTC guidelines. Agency shall maintain $5M commercial general liability and $10M professional liability insurance throughout the term.</w:t>
      </w:r>
    </w:p>
    <w:p>
      <w:r>
        <w:rPr>
          <w:rFonts w:ascii="Arial" w:cs="Arial" w:eastAsia="Arial" w:hAnsi="Arial"/>
          <w:sz w:val="20"/>
          <w:szCs w:val="20"/>
        </w:rPr>
        <w:t xml:space="preserve"/>
      </w:r>
    </w:p>
    <w:p>
      <w:pPr>
        <w:pBdr>
          <w:bottom w:val="single" w:color="2E4057" w:sz="4" w:space="4"/>
        </w:pBdr>
        <w:spacing w:after="160" w:before="240"/>
      </w:pPr>
      <w:r>
        <w:rPr>
          <w:rFonts w:ascii="Arial" w:cs="Arial" w:eastAsia="Arial" w:hAnsi="Arial"/>
          <w:b/>
          <w:bCs/>
          <w:color w:val="1A1A1A"/>
          <w:sz w:val="28"/>
          <w:szCs w:val="28"/>
        </w:rPr>
        <w:t xml:space="preserve">Section 6 — Confidentiality</w:t>
      </w:r>
    </w:p>
    <w:p>
      <w:pPr>
        <w:spacing w:after="80" w:before="80"/>
      </w:pPr>
      <w:r>
        <w:rPr>
          <w:rFonts w:ascii="Arial" w:cs="Arial" w:eastAsia="Arial" w:hAnsi="Arial"/>
          <w:color w:val="1A1A1A"/>
          <w:sz w:val="20"/>
          <w:szCs w:val="20"/>
        </w:rPr>
        <w:t xml:space="preserve">Agency shall treat all Nike campaign strategy, consumer research, brand data, and product roadmap information as Nike Confidential Information. Restrictions survive termination for 3 years.</w:t>
      </w:r>
    </w:p>
    <w:p>
      <w:r>
        <w:rPr>
          <w:rFonts w:ascii="Arial" w:cs="Arial" w:eastAsia="Arial" w:hAnsi="Arial"/>
          <w:sz w:val="20"/>
          <w:szCs w:val="20"/>
        </w:rPr>
        <w:t xml:space="preserve"/>
      </w:r>
    </w:p>
    <w:p>
      <w:pPr>
        <w:pBdr>
          <w:bottom w:val="single" w:color="2E4057" w:sz="6" w:space="1"/>
        </w:pBdr>
        <w:spacing w:after="160" w:before="160"/>
      </w:pPr>
      <w:r>
        <w:rPr>
          <w:rFonts w:ascii="Arial" w:cs="Arial" w:eastAsia="Arial" w:hAnsi="Arial"/>
          <w:sz w:val="4"/>
          <w:szCs w:val="4"/>
        </w:rPr>
        <w:t xml:space="preserve"/>
      </w:r>
    </w:p>
    <w:p>
      <w:pPr>
        <w:pBdr>
          <w:bottom w:val="single" w:color="2E4057" w:sz="4" w:space="4"/>
        </w:pBdr>
        <w:spacing w:after="160" w:before="240"/>
      </w:pPr>
      <w:r>
        <w:rPr>
          <w:rFonts w:ascii="Arial" w:cs="Arial" w:eastAsia="Arial" w:hAnsi="Arial"/>
          <w:b/>
          <w:bCs/>
          <w:color w:val="1A1A1A"/>
          <w:sz w:val="28"/>
          <w:szCs w:val="28"/>
        </w:rPr>
        <w:t xml:space="preserve">Signature Block</w:t>
      </w:r>
    </w:p>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360"/>
        <w:gridCol w:w="4500"/>
      </w:tblGrid>
      <w:tr>
        <w:tc>
          <w:tcPr>
            <w:tcW w:type="dxa" w:w="4500"/>
            <w:tcBorders>
              <w:top w:val="none"/>
              <w:left w:val="none"/>
              <w:bottom w:val="single" w:color="CCCCCC" w:sz="1"/>
              <w:right w:val="none"/>
            </w:tcBorders>
            <w:tcMar>
              <w:top w:type="dxa" w:w="80"/>
              <w:left w:type="dxa" w:w="120"/>
              <w:bottom w:type="dxa" w:w="80"/>
              <w:right w:type="dxa" w:w="120"/>
            </w:tcMar>
          </w:tcPr>
          <w:p>
            <w:r>
              <w:rPr>
                <w:rFonts w:ascii="Arial" w:cs="Arial" w:eastAsia="Arial" w:hAnsi="Arial"/>
                <w:b/>
                <w:bCs/>
                <w:sz w:val="20"/>
                <w:szCs w:val="20"/>
              </w:rPr>
              <w:t xml:space="preserve">Nike, Inc.</w:t>
            </w:r>
          </w:p>
          <w:p>
            <w:pPr>
              <w:spacing w:before="400"/>
            </w:pPr>
            <w:r>
              <w:rPr>
                <w:rFonts w:ascii="Arial" w:cs="Arial" w:eastAsia="Arial" w:hAnsi="Arial"/>
                <w:color w:val="888888"/>
                <w:sz w:val="18"/>
                <w:szCs w:val="18"/>
              </w:rPr>
              <w:t xml:space="preserve">Authorized Signature</w:t>
            </w:r>
          </w:p>
          <w:p>
            <w:r>
              <w:rPr>
                <w:rFonts w:ascii="Arial" w:cs="Arial" w:eastAsia="Arial" w:hAnsi="Arial"/>
                <w:sz w:val="20"/>
                <w:szCs w:val="20"/>
              </w:rPr>
              <w:t xml:space="preserve">Name: _________________________</w:t>
            </w:r>
          </w:p>
          <w:p>
            <w:r>
              <w:rPr>
                <w:rFonts w:ascii="Arial" w:cs="Arial" w:eastAsia="Arial" w:hAnsi="Arial"/>
                <w:sz w:val="20"/>
                <w:szCs w:val="20"/>
              </w:rPr>
              <w:t xml:space="preserve">Title: __________________________</w:t>
            </w:r>
          </w:p>
          <w:p>
            <w:r>
              <w:rPr>
                <w:rFonts w:ascii="Arial" w:cs="Arial" w:eastAsia="Arial" w:hAnsi="Arial"/>
                <w:sz w:val="20"/>
                <w:szCs w:val="20"/>
              </w:rPr>
              <w:t xml:space="preserve">Date:  __________________________</w:t>
            </w:r>
          </w:p>
        </w:tc>
        <w:tc>
          <w:tcPr>
            <w:tcW w:type="dxa" w:w="360"/>
            <w:tcBorders>
              <w:top w:val="none"/>
              <w:left w:val="none"/>
              <w:bottom w:val="none"/>
              <w:right w:val="none"/>
            </w:tcBorders>
          </w:tcPr>
          <w:p/>
        </w:tc>
        <w:tc>
          <w:tcPr>
            <w:tcW w:type="dxa" w:w="4500"/>
            <w:tcBorders>
              <w:top w:val="none"/>
              <w:left w:val="none"/>
              <w:bottom w:val="single" w:color="CCCCCC" w:sz="1"/>
              <w:right w:val="none"/>
            </w:tcBorders>
            <w:tcMar>
              <w:top w:type="dxa" w:w="80"/>
              <w:left w:type="dxa" w:w="120"/>
              <w:bottom w:type="dxa" w:w="80"/>
              <w:right w:type="dxa" w:w="120"/>
            </w:tcMar>
          </w:tcPr>
          <w:p>
            <w:r>
              <w:rPr>
                <w:rFonts w:ascii="Arial" w:cs="Arial" w:eastAsia="Arial" w:hAnsi="Arial"/>
                <w:b/>
                <w:bCs/>
                <w:sz w:val="20"/>
                <w:szCs w:val="20"/>
              </w:rPr>
              <w:t xml:space="preserve">Wieden+Kennedy LLC</w:t>
            </w:r>
          </w:p>
          <w:p>
            <w:pPr>
              <w:spacing w:before="400"/>
            </w:pPr>
            <w:r>
              <w:rPr>
                <w:rFonts w:ascii="Arial" w:cs="Arial" w:eastAsia="Arial" w:hAnsi="Arial"/>
                <w:color w:val="888888"/>
                <w:sz w:val="18"/>
                <w:szCs w:val="18"/>
              </w:rPr>
              <w:t xml:space="preserve">Authorized Signature</w:t>
            </w:r>
          </w:p>
          <w:p>
            <w:r>
              <w:rPr>
                <w:rFonts w:ascii="Arial" w:cs="Arial" w:eastAsia="Arial" w:hAnsi="Arial"/>
                <w:sz w:val="20"/>
                <w:szCs w:val="20"/>
              </w:rPr>
              <w:t xml:space="preserve">Name: _________________________</w:t>
            </w:r>
          </w:p>
          <w:p>
            <w:r>
              <w:rPr>
                <w:rFonts w:ascii="Arial" w:cs="Arial" w:eastAsia="Arial" w:hAnsi="Arial"/>
                <w:sz w:val="20"/>
                <w:szCs w:val="20"/>
              </w:rPr>
              <w:t xml:space="preserve">Title: __________________________</w:t>
            </w:r>
          </w:p>
          <w:p>
            <w:r>
              <w:rPr>
                <w:rFonts w:ascii="Arial" w:cs="Arial" w:eastAsia="Arial" w:hAnsi="Arial"/>
                <w:sz w:val="20"/>
                <w:szCs w:val="20"/>
              </w:rPr>
              <w:t xml:space="preserve">Date:  __________________________</w:t>
            </w:r>
          </w:p>
        </w:tc>
      </w:tr>
    </w:tbl>
    <w:p>
      <w:r>
        <w:rPr>
          <w:rFonts w:ascii="Arial" w:cs="Arial" w:eastAsia="Arial" w:hAnsi="Arial"/>
          <w:sz w:val="20"/>
          <w:szCs w:val="20"/>
        </w:rPr>
        <w:t xml:space="preserve"/>
      </w:r>
    </w:p>
    <w:p>
      <w:pPr>
        <w:spacing w:after="80" w:before="80"/>
      </w:pPr>
      <w:r>
        <w:rPr>
          <w:rFonts w:ascii="Arial" w:cs="Arial" w:eastAsia="Arial" w:hAnsi="Arial"/>
          <w:i/>
          <w:iCs/>
          <w:color w:val="888888"/>
          <w:sz w:val="16"/>
          <w:szCs w:val="16"/>
        </w:rPr>
        <w:t xml:space="preserve">NOAH System Prototype — Document for AI Attribute Extraction Testing | NK-SGA-ADV-2026-0041</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2026-04-21T19:39:12.140Z</dcterms:created>
  <dcterms:modified xsi:type="dcterms:W3CDTF">2026-04-21T19:39:12.162Z</dcterms:modified>
</cp:coreProperties>
</file>

<file path=docProps/custom.xml><?xml version="1.0" encoding="utf-8"?>
<Properties xmlns="http://schemas.openxmlformats.org/officeDocument/2006/custom-properties" xmlns:vt="http://schemas.openxmlformats.org/officeDocument/2006/docPropsVTypes"/>
</file>