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2"/>
          <w:szCs w:val="32"/>
        </w:rPr>
        <w:t xml:space="preserve">MASTER SERVICES AGREEMENT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Acme Co — TechFlow Consulting LLC</w:t>
      </w:r>
    </w:p>
    <w:p>
      <w:pPr>
        <w:spacing w:after="60" w:before="60"/>
      </w:pPr>
      <w:r>
        <w:t xml:space="preserve">This Master Services Agreement (the "Agreement") is entered into as of May 1, 2026 (the "Effective Date") by and between Acme Co, a Delaware corporation ("Acme" or "Client"), and TechFlow Consulting LLC, a Virginia limited liability company ("TechFlow" or "Service Provider").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SUMMARY OF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Counterparty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TechFlow Consulting LLC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Services Agreement for Technology Advisory Services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1, 2026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April 30, 2028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Start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1, 2026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End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April 30, 2028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Contract Value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$2,400,000 (Two Million Four Hundred Thousand US Dollars) over two years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(United States Dollars)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 30 days from invoice date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Billing Frequency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Monthly, in arrears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Fee Schedule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$100,000 per month, fixed for the full Term. Annual aggregate fee $1,200,000. Total over two years: $2,400,000.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Description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Technology advisory services including cloud architecture review, security assessment, and DevOps advisory. Deliverables defined in individual Statements of Work executed under this MSA.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Auto-Renewal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auto-renews for successive twelve (12) month Renewal Terms unless either party provides ninety (90) days written notice of non-renewal.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Termination Notice Days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days written notice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Laws of the State of Virginia, without regard to conflict-of-laws principles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Indemnification Present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mutual indemnification for third-party claims arising from negligence or IP infringement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Liability Cap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capped at two times (2x) the fees paid in the preceding twelve (12) months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Lease Component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this is a services engagement with no right to use any identified asset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Embedded Derivative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fees are fixed in USD with no financial-variable indexing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Expense Recognition Method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Straight-line — services are rendered ratably over the Term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Performance Obligations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performance obligation — delivery of technology advisory services across the Term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Pricing Variability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— fees are fixed for the full Term; no escalators, no indexing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Minimum Commitment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$100,000 minimum monthly commitment; $1,200,000 annual minimum; $2,400,000 total minimum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Exclusivity Clause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non-exclusive; either party may engage other parties for similar services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Acme Co owns all Work Product specifically created for Acme upon payment. TechFlow retains pre-existing methodologies, templates, and tools.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Confidentiality Term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Five (5) years post-termination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 Order Mechanism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changes require a written Change Order signed by both parties' authorized representatives</w:t>
            </w:r>
          </w:p>
        </w:tc>
      </w:tr>
    </w:tbl>
    <w:p>
      <w:pPr>
        <w:spacing w:after="70" w:before="200"/>
      </w:pPr>
      <w:r>
        <w:rPr>
          <w:b/>
          <w:bCs/>
          <w:sz w:val="24"/>
          <w:szCs w:val="24"/>
        </w:rPr>
        <w:t xml:space="preserve">1. Counterparty</w:t>
      </w:r>
    </w:p>
    <w:p>
      <w:pPr>
        <w:spacing w:after="60" w:before="60"/>
      </w:pPr>
      <w:r>
        <w:t xml:space="preserve">TechFlow Consulting LLC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2. Contract Type</w:t>
      </w:r>
    </w:p>
    <w:p>
      <w:pPr>
        <w:spacing w:after="60" w:before="60"/>
      </w:pPr>
      <w:r>
        <w:t xml:space="preserve">Master Services Agreement for Technology Advisory Services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3. Effective Date</w:t>
      </w:r>
    </w:p>
    <w:p>
      <w:pPr>
        <w:spacing w:after="60" w:before="60"/>
      </w:pPr>
      <w:r>
        <w:t xml:space="preserve">May 1, 2026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4. Expiration Date</w:t>
      </w:r>
    </w:p>
    <w:p>
      <w:pPr>
        <w:spacing w:after="60" w:before="60"/>
      </w:pPr>
      <w:r>
        <w:t xml:space="preserve">April 30, 2028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5. Service Start Date</w:t>
      </w:r>
    </w:p>
    <w:p>
      <w:pPr>
        <w:spacing w:after="60" w:before="60"/>
      </w:pPr>
      <w:r>
        <w:t xml:space="preserve">May 1, 2026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6. Service End Date</w:t>
      </w:r>
    </w:p>
    <w:p>
      <w:pPr>
        <w:spacing w:after="60" w:before="60"/>
      </w:pPr>
      <w:r>
        <w:t xml:space="preserve">April 30, 2028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7. Total Contract Value</w:t>
      </w:r>
    </w:p>
    <w:p>
      <w:pPr>
        <w:spacing w:after="60" w:before="60"/>
      </w:pPr>
      <w:r>
        <w:t xml:space="preserve">USD $2,400,000 (Two Million Four Hundred Thousand US Dollars) over two years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8. Currency</w:t>
      </w:r>
    </w:p>
    <w:p>
      <w:pPr>
        <w:spacing w:after="60" w:before="60"/>
      </w:pPr>
      <w:r>
        <w:t xml:space="preserve">USD (United States Dollars)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9. Payment Terms</w:t>
      </w:r>
    </w:p>
    <w:p>
      <w:pPr>
        <w:spacing w:after="60" w:before="60"/>
      </w:pPr>
      <w:r>
        <w:t xml:space="preserve">Net 30 days from invoice date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10. Billing Frequency</w:t>
      </w:r>
    </w:p>
    <w:p>
      <w:pPr>
        <w:spacing w:after="60" w:before="60"/>
      </w:pPr>
      <w:r>
        <w:t xml:space="preserve">Monthly, in arrears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11. Fee Schedule</w:t>
      </w:r>
    </w:p>
    <w:p>
      <w:pPr>
        <w:spacing w:after="60" w:before="60"/>
      </w:pPr>
      <w:r>
        <w:t xml:space="preserve">$100,000 per month, fixed for the full Term. Annual aggregate fee $1,200,000. Total over two years: $2,400,000.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12. Service Description</w:t>
      </w:r>
    </w:p>
    <w:p>
      <w:pPr>
        <w:spacing w:after="60" w:before="60"/>
      </w:pPr>
      <w:r>
        <w:t xml:space="preserve">Technology advisory services including cloud architecture review, security assessment, and DevOps advisory. Deliverables defined in individual Statements of Work executed under this MSA.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13. Auto-Renewal</w:t>
      </w:r>
    </w:p>
    <w:p>
      <w:pPr>
        <w:spacing w:after="60" w:before="60"/>
      </w:pPr>
      <w:r>
        <w:t xml:space="preserve">Yes — auto-renews for successive twelve (12) month Renewal Terms unless either party provides ninety (90) days written notice of non-renewal.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14. Termination Notice Days</w:t>
      </w:r>
    </w:p>
    <w:p>
      <w:pPr>
        <w:spacing w:after="60" w:before="60"/>
      </w:pPr>
      <w:r>
        <w:t xml:space="preserve">90 days written notice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15. Governing Law</w:t>
      </w:r>
    </w:p>
    <w:p>
      <w:pPr>
        <w:spacing w:after="60" w:before="60"/>
      </w:pPr>
      <w:r>
        <w:t xml:space="preserve">Laws of the State of Virginia, without regard to conflict-of-laws principles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16. Indemnification Present</w:t>
      </w:r>
    </w:p>
    <w:p>
      <w:pPr>
        <w:spacing w:after="60" w:before="60"/>
      </w:pPr>
      <w:r>
        <w:t xml:space="preserve">Yes — mutual indemnification for third-party claims arising from negligence or IP infringement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17. Liability Cap</w:t>
      </w:r>
    </w:p>
    <w:p>
      <w:pPr>
        <w:spacing w:after="60" w:before="60"/>
      </w:pPr>
      <w:r>
        <w:t xml:space="preserve">Yes — capped at two times (2x) the fees paid in the preceding twelve (12) months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18. Lease Component</w:t>
      </w:r>
    </w:p>
    <w:p>
      <w:pPr>
        <w:spacing w:after="60" w:before="60"/>
      </w:pPr>
      <w:r>
        <w:t xml:space="preserve">No — this is a services engagement with no right to use any identified asset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19. Embedded Derivative</w:t>
      </w:r>
    </w:p>
    <w:p>
      <w:pPr>
        <w:spacing w:after="60" w:before="60"/>
      </w:pPr>
      <w:r>
        <w:t xml:space="preserve">No — fees are fixed in USD with no financial-variable indexing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20. Expense Recognition Method</w:t>
      </w:r>
    </w:p>
    <w:p>
      <w:pPr>
        <w:spacing w:after="60" w:before="60"/>
      </w:pPr>
      <w:r>
        <w:t xml:space="preserve">Straight-line — services are rendered ratably over the Term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21. Performance Obligations</w:t>
      </w:r>
    </w:p>
    <w:p>
      <w:pPr>
        <w:spacing w:after="60" w:before="60"/>
      </w:pPr>
      <w:r>
        <w:t xml:space="preserve">Single performance obligation — delivery of technology advisory services across the Term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22. Pricing Variability</w:t>
      </w:r>
    </w:p>
    <w:p>
      <w:pPr>
        <w:spacing w:after="60" w:before="60"/>
      </w:pPr>
      <w:r>
        <w:t xml:space="preserve">None — fees are fixed for the full Term; no escalators, no indexing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23. Minimum Commitment</w:t>
      </w:r>
    </w:p>
    <w:p>
      <w:pPr>
        <w:spacing w:after="60" w:before="60"/>
      </w:pPr>
      <w:r>
        <w:t xml:space="preserve">$100,000 minimum monthly commitment; $1,200,000 annual minimum; $2,400,000 total minimum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24. Exclusivity Clause</w:t>
      </w:r>
    </w:p>
    <w:p>
      <w:pPr>
        <w:spacing w:after="60" w:before="60"/>
      </w:pPr>
      <w:r>
        <w:t xml:space="preserve">No — non-exclusive; either party may engage other parties for similar services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25. IP Ownership</w:t>
      </w:r>
    </w:p>
    <w:p>
      <w:pPr>
        <w:spacing w:after="60" w:before="60"/>
      </w:pPr>
      <w:r>
        <w:t xml:space="preserve">Acme Co owns all Work Product specifically created for Acme upon payment. TechFlow retains pre-existing methodologies, templates, and tools.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26. Confidentiality Term</w:t>
      </w:r>
    </w:p>
    <w:p>
      <w:pPr>
        <w:spacing w:after="60" w:before="60"/>
      </w:pPr>
      <w:r>
        <w:t xml:space="preserve">Five (5) years post-termination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27. Change Order Mechanism</w:t>
      </w:r>
    </w:p>
    <w:p>
      <w:pPr>
        <w:spacing w:after="60" w:before="60"/>
      </w:pPr>
      <w:r>
        <w:t xml:space="preserve">All changes require a written Change Order signed by both parties' authorized representatives</w:t>
      </w:r>
    </w:p>
    <w:p>
      <w:pPr>
        <w:pBdr>
          <w:top w:val="single" w:color="000000" w:sz="6" w:space="1"/>
        </w:pBdr>
        <w:spacing w:after="200" w:before="40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IN WITNESS WHEREOF, the parties have executed this Agreement as of the Effective Date.</w:t>
      </w:r>
    </w:p>
    <w:p>
      <w:pPr>
        <w:spacing w:before="240"/>
      </w:pPr>
      <w:r>
        <w:rPr>
          <w:b/>
          <w:bCs/>
        </w:rPr>
        <w:t xml:space="preserve">ACME CO</w:t>
      </w:r>
    </w:p>
    <w:p>
      <w:r>
        <w:t xml:space="preserve">By: __________________________________</w:t>
      </w:r>
    </w:p>
    <w:p>
      <w:r>
        <w:t xml:space="preserve">Name: Rebecca Torres</w:t>
      </w:r>
    </w:p>
    <w:p>
      <w:r>
        <w:t xml:space="preserve">Title: VP Technology Procurement</w:t>
      </w:r>
    </w:p>
    <w:p>
      <w:pPr>
        <w:spacing w:before="240"/>
      </w:pPr>
      <w:r>
        <w:rPr>
          <w:b/>
          <w:bCs/>
        </w:rPr>
        <w:t xml:space="preserve">TECHFLOW CONSULTING LLC</w:t>
      </w:r>
    </w:p>
    <w:p>
      <w:r>
        <w:t xml:space="preserve">By: __________________________________</w:t>
      </w:r>
    </w:p>
    <w:p>
      <w:r>
        <w:t xml:space="preserve">Name: Daniel Park</w:t>
      </w:r>
    </w:p>
    <w:p>
      <w:r>
        <w:t xml:space="preserve">Title: Principal, TechFlow Consulting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Acme Co — Confidential ·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creator>Acme Co Legal</dc:creator>
  <cp:lastModifiedBy>Un-named</cp:lastModifiedBy>
  <cp:revision>1</cp:revision>
  <dcterms:created xsi:type="dcterms:W3CDTF">2026-04-24T19:14:15.704Z</dcterms:created>
  <dcterms:modified xsi:type="dcterms:W3CDTF">2026-04-24T19:14:15.706Z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