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  <w:jc w:val="center"/>
      </w:pPr>
      <w:r>
        <w:rPr>
          <w:b/>
          <w:bCs/>
          <w:sz w:val="32"/>
          <w:szCs w:val="32"/>
        </w:rPr>
        <w:t xml:space="preserve">COMMERCIAL OFFICE LEASE AGREEMENT</w:t>
      </w:r>
    </w:p>
    <w:p>
      <w:pPr>
        <w:spacing w:after="360"/>
        <w:jc w:val="center"/>
      </w:pPr>
      <w:r>
        <w:rPr>
          <w:i/>
          <w:iCs/>
          <w:color w:val="555555"/>
          <w:sz w:val="22"/>
          <w:szCs w:val="22"/>
        </w:rPr>
        <w:t xml:space="preserve">Acme Co — Atlas Realty Partners, LP</w:t>
      </w:r>
    </w:p>
    <w:p>
      <w:pPr>
        <w:spacing w:after="60" w:before="60"/>
      </w:pPr>
      <w:r>
        <w:t xml:space="preserve">This Commercial Lease Agreement (the "Lease") is entered into as of July 1, 2026 (the "Commencement Date") by and between Atlas Realty Partners, LP, a Delaware limited partnership ("Landlord"), and Acme Co, a Delaware corporation ("Tenant").</w:t>
      </w:r>
    </w:p>
    <w:p>
      <w:pPr>
        <w:spacing w:after="60" w:before="60"/>
      </w:pPr>
      <w:r>
        <w:rPr>
          <w:b/>
          <w:bCs/>
          <w:sz w:val="24"/>
          <w:szCs w:val="24"/>
        </w:rPr>
        <w:t xml:space="preserve">SUMMARY OF KEY TERMS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Counterparty</w:t>
            </w:r>
          </w:p>
        </w:tc>
        <w:tc>
          <w:tcPr>
            <w:tcW w:type="dxa" w:w="58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Atlas Realty Partners, LP</w:t>
            </w:r>
          </w:p>
        </w:tc>
      </w:tr>
      <w:tr>
        <w:tc>
          <w:tcPr>
            <w:tcW w:type="dxa" w:w="3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Contract Type</w:t>
            </w:r>
          </w:p>
        </w:tc>
        <w:tc>
          <w:tcPr>
            <w:tcW w:type="dxa" w:w="58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Commercial Real Estate Lease Agreement</w:t>
            </w:r>
          </w:p>
        </w:tc>
      </w:tr>
      <w:tr>
        <w:tc>
          <w:tcPr>
            <w:tcW w:type="dxa" w:w="3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Effective Date</w:t>
            </w:r>
          </w:p>
        </w:tc>
        <w:tc>
          <w:tcPr>
            <w:tcW w:type="dxa" w:w="58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July 1, 2026</w:t>
            </w:r>
          </w:p>
        </w:tc>
      </w:tr>
      <w:tr>
        <w:tc>
          <w:tcPr>
            <w:tcW w:type="dxa" w:w="3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Expiration Date</w:t>
            </w:r>
          </w:p>
        </w:tc>
        <w:tc>
          <w:tcPr>
            <w:tcW w:type="dxa" w:w="58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June 30, 2031</w:t>
            </w:r>
          </w:p>
        </w:tc>
      </w:tr>
      <w:tr>
        <w:tc>
          <w:tcPr>
            <w:tcW w:type="dxa" w:w="3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Service Start Date</w:t>
            </w:r>
          </w:p>
        </w:tc>
        <w:tc>
          <w:tcPr>
            <w:tcW w:type="dxa" w:w="58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July 1, 2026</w:t>
            </w:r>
          </w:p>
        </w:tc>
      </w:tr>
      <w:tr>
        <w:tc>
          <w:tcPr>
            <w:tcW w:type="dxa" w:w="3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Service End Date</w:t>
            </w:r>
          </w:p>
        </w:tc>
        <w:tc>
          <w:tcPr>
            <w:tcW w:type="dxa" w:w="58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June 30, 2031</w:t>
            </w:r>
          </w:p>
        </w:tc>
      </w:tr>
      <w:tr>
        <w:tc>
          <w:tcPr>
            <w:tcW w:type="dxa" w:w="3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Total Contract Value</w:t>
            </w:r>
          </w:p>
        </w:tc>
        <w:tc>
          <w:tcPr>
            <w:tcW w:type="dxa" w:w="58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USD $3,600,000 (Three Million Six Hundred Thousand US Dollars) aggregate base rent over the five-year Term</w:t>
            </w:r>
          </w:p>
        </w:tc>
      </w:tr>
      <w:tr>
        <w:tc>
          <w:tcPr>
            <w:tcW w:type="dxa" w:w="3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Currency</w:t>
            </w:r>
          </w:p>
        </w:tc>
        <w:tc>
          <w:tcPr>
            <w:tcW w:type="dxa" w:w="58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USD (United States Dollars)</w:t>
            </w:r>
          </w:p>
        </w:tc>
      </w:tr>
      <w:tr>
        <w:tc>
          <w:tcPr>
            <w:tcW w:type="dxa" w:w="3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Payment Terms</w:t>
            </w:r>
          </w:p>
        </w:tc>
        <w:tc>
          <w:tcPr>
            <w:tcW w:type="dxa" w:w="58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Monthly, payable on the first business day of each month in advance</w:t>
            </w:r>
          </w:p>
        </w:tc>
      </w:tr>
      <w:tr>
        <w:tc>
          <w:tcPr>
            <w:tcW w:type="dxa" w:w="3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Billing Frequency</w:t>
            </w:r>
          </w:p>
        </w:tc>
        <w:tc>
          <w:tcPr>
            <w:tcW w:type="dxa" w:w="58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Monthly, in advance</w:t>
            </w:r>
          </w:p>
        </w:tc>
      </w:tr>
      <w:tr>
        <w:tc>
          <w:tcPr>
            <w:tcW w:type="dxa" w:w="3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Fee Schedule</w:t>
            </w:r>
          </w:p>
        </w:tc>
        <w:tc>
          <w:tcPr>
            <w:tcW w:type="dxa" w:w="58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Base Rent: $60,000 per month × 60 months = $3,600,000. No annual escalator. Common Area Maintenance and taxes billed separately.</w:t>
            </w:r>
          </w:p>
        </w:tc>
      </w:tr>
      <w:tr>
        <w:tc>
          <w:tcPr>
            <w:tcW w:type="dxa" w:w="3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Service Description</w:t>
            </w:r>
          </w:p>
        </w:tc>
        <w:tc>
          <w:tcPr>
            <w:tcW w:type="dxa" w:w="58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Lease of 12,000 rentable square feet of Class-A office space at 1500 Innovation Way, Portland, OR 97209, Suite 400, including 15 designated parking spaces.</w:t>
            </w:r>
          </w:p>
        </w:tc>
      </w:tr>
      <w:tr>
        <w:tc>
          <w:tcPr>
            <w:tcW w:type="dxa" w:w="3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Auto-Renewal</w:t>
            </w:r>
          </w:p>
        </w:tc>
        <w:tc>
          <w:tcPr>
            <w:tcW w:type="dxa" w:w="58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 — Tenant has two five-year extension options exercisable on twelve (12) months prior written notice at then-negotiated rent</w:t>
            </w:r>
          </w:p>
        </w:tc>
      </w:tr>
      <w:tr>
        <w:tc>
          <w:tcPr>
            <w:tcW w:type="dxa" w:w="3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Termination Notice Days</w:t>
            </w:r>
          </w:p>
        </w:tc>
        <w:tc>
          <w:tcPr>
            <w:tcW w:type="dxa" w:w="58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Lease is non-cancelable except for material default with thirty (30) days cure period</w:t>
            </w:r>
          </w:p>
        </w:tc>
      </w:tr>
      <w:tr>
        <w:tc>
          <w:tcPr>
            <w:tcW w:type="dxa" w:w="3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Governing Law</w:t>
            </w:r>
          </w:p>
        </w:tc>
        <w:tc>
          <w:tcPr>
            <w:tcW w:type="dxa" w:w="58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Laws of the State of Oregon</w:t>
            </w:r>
          </w:p>
        </w:tc>
      </w:tr>
      <w:tr>
        <w:tc>
          <w:tcPr>
            <w:tcW w:type="dxa" w:w="3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Indemnification Present</w:t>
            </w:r>
          </w:p>
        </w:tc>
        <w:tc>
          <w:tcPr>
            <w:tcW w:type="dxa" w:w="58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Yes — Tenant indemnifies Landlord for claims arising from Tenant's use of Premises; Landlord indemnifies for structural defects</w:t>
            </w:r>
          </w:p>
        </w:tc>
      </w:tr>
      <w:tr>
        <w:tc>
          <w:tcPr>
            <w:tcW w:type="dxa" w:w="3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Liability Cap</w:t>
            </w:r>
          </w:p>
        </w:tc>
        <w:tc>
          <w:tcPr>
            <w:tcW w:type="dxa" w:w="58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Landlord liability limited to Landlord's interest in the Building; consequential damages excluded</w:t>
            </w:r>
          </w:p>
        </w:tc>
      </w:tr>
      <w:tr>
        <w:tc>
          <w:tcPr>
            <w:tcW w:type="dxa" w:w="3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Lease Component</w:t>
            </w:r>
          </w:p>
        </w:tc>
        <w:tc>
          <w:tcPr>
            <w:tcW w:type="dxa" w:w="58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Yes — this is a long-term real estate operating lease; Tenant recognizes a right-of-use asset and lease liability at the Commencement Date under ASC 842</w:t>
            </w:r>
          </w:p>
        </w:tc>
      </w:tr>
      <w:tr>
        <w:tc>
          <w:tcPr>
            <w:tcW w:type="dxa" w:w="3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Embedded Derivative</w:t>
            </w:r>
          </w:p>
        </w:tc>
        <w:tc>
          <w:tcPr>
            <w:tcW w:type="dxa" w:w="58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 — rent is fixed with no indexing to financial variables</w:t>
            </w:r>
          </w:p>
        </w:tc>
      </w:tr>
      <w:tr>
        <w:tc>
          <w:tcPr>
            <w:tcW w:type="dxa" w:w="3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Expense Recognition Method</w:t>
            </w:r>
          </w:p>
        </w:tc>
        <w:tc>
          <w:tcPr>
            <w:tcW w:type="dxa" w:w="58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Straight-line lease expense over the five-year Term per ASC 842</w:t>
            </w:r>
          </w:p>
        </w:tc>
      </w:tr>
      <w:tr>
        <w:tc>
          <w:tcPr>
            <w:tcW w:type="dxa" w:w="3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Performance Obligations</w:t>
            </w:r>
          </w:p>
        </w:tc>
        <w:tc>
          <w:tcPr>
            <w:tcW w:type="dxa" w:w="58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Landlord provides quiet enjoyment and structural maintenance; Tenant pays rent and maintains the Premises</w:t>
            </w:r>
          </w:p>
        </w:tc>
      </w:tr>
      <w:tr>
        <w:tc>
          <w:tcPr>
            <w:tcW w:type="dxa" w:w="3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Pricing Variability</w:t>
            </w:r>
          </w:p>
        </w:tc>
        <w:tc>
          <w:tcPr>
            <w:tcW w:type="dxa" w:w="58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None — base rent is fixed for the full Term</w:t>
            </w:r>
          </w:p>
        </w:tc>
      </w:tr>
      <w:tr>
        <w:tc>
          <w:tcPr>
            <w:tcW w:type="dxa" w:w="3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Minimum Commitment</w:t>
            </w:r>
          </w:p>
        </w:tc>
        <w:tc>
          <w:tcPr>
            <w:tcW w:type="dxa" w:w="58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$3,600,000 aggregate base rent over 60 months, non-cancelable</w:t>
            </w:r>
          </w:p>
        </w:tc>
      </w:tr>
      <w:tr>
        <w:tc>
          <w:tcPr>
            <w:tcW w:type="dxa" w:w="3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Exclusivity Clause</w:t>
            </w:r>
          </w:p>
        </w:tc>
        <w:tc>
          <w:tcPr>
            <w:tcW w:type="dxa" w:w="58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3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IP Ownership</w:t>
            </w:r>
          </w:p>
        </w:tc>
        <w:tc>
          <w:tcPr>
            <w:tcW w:type="dxa" w:w="58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Not applicable — real estate lease</w:t>
            </w:r>
          </w:p>
        </w:tc>
      </w:tr>
      <w:tr>
        <w:tc>
          <w:tcPr>
            <w:tcW w:type="dxa" w:w="3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Confidentiality Term</w:t>
            </w:r>
          </w:p>
        </w:tc>
        <w:tc>
          <w:tcPr>
            <w:tcW w:type="dxa" w:w="58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Terms of this Lease are confidential for five (5) years post-expiration</w:t>
            </w:r>
          </w:p>
        </w:tc>
      </w:tr>
      <w:tr>
        <w:tc>
          <w:tcPr>
            <w:tcW w:type="dxa" w:w="3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Change Order Mechanism</w:t>
            </w:r>
          </w:p>
        </w:tc>
        <w:tc>
          <w:tcPr>
            <w:tcW w:type="dxa" w:w="58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Any amendment requires a written Lease Amendment signed by Landlord and Tenant</w:t>
            </w:r>
          </w:p>
        </w:tc>
      </w:tr>
    </w:tbl>
    <w:p>
      <w:pPr>
        <w:spacing w:after="70" w:before="200"/>
      </w:pPr>
      <w:r>
        <w:rPr>
          <w:b/>
          <w:bCs/>
          <w:sz w:val="24"/>
          <w:szCs w:val="24"/>
        </w:rPr>
        <w:t xml:space="preserve">1. Counterparty</w:t>
      </w:r>
    </w:p>
    <w:p>
      <w:pPr>
        <w:spacing w:after="60" w:before="60"/>
      </w:pPr>
      <w:r>
        <w:t xml:space="preserve">Atlas Realty Partners, LP</w:t>
      </w:r>
    </w:p>
    <w:p>
      <w:pPr>
        <w:spacing w:after="70" w:before="200"/>
      </w:pPr>
      <w:r>
        <w:rPr>
          <w:b/>
          <w:bCs/>
          <w:sz w:val="24"/>
          <w:szCs w:val="24"/>
        </w:rPr>
        <w:t xml:space="preserve">2. Contract Type</w:t>
      </w:r>
    </w:p>
    <w:p>
      <w:pPr>
        <w:spacing w:after="60" w:before="60"/>
      </w:pPr>
      <w:r>
        <w:t xml:space="preserve">Commercial Real Estate Lease Agreement</w:t>
      </w:r>
    </w:p>
    <w:p>
      <w:pPr>
        <w:spacing w:after="70" w:before="200"/>
      </w:pPr>
      <w:r>
        <w:rPr>
          <w:b/>
          <w:bCs/>
          <w:sz w:val="24"/>
          <w:szCs w:val="24"/>
        </w:rPr>
        <w:t xml:space="preserve">3. Effective Date</w:t>
      </w:r>
    </w:p>
    <w:p>
      <w:pPr>
        <w:spacing w:after="60" w:before="60"/>
      </w:pPr>
      <w:r>
        <w:t xml:space="preserve">July 1, 2026</w:t>
      </w:r>
    </w:p>
    <w:p>
      <w:pPr>
        <w:spacing w:after="70" w:before="200"/>
      </w:pPr>
      <w:r>
        <w:rPr>
          <w:b/>
          <w:bCs/>
          <w:sz w:val="24"/>
          <w:szCs w:val="24"/>
        </w:rPr>
        <w:t xml:space="preserve">4. Expiration Date</w:t>
      </w:r>
    </w:p>
    <w:p>
      <w:pPr>
        <w:spacing w:after="60" w:before="60"/>
      </w:pPr>
      <w:r>
        <w:t xml:space="preserve">June 30, 2031</w:t>
      </w:r>
    </w:p>
    <w:p>
      <w:pPr>
        <w:spacing w:after="70" w:before="200"/>
      </w:pPr>
      <w:r>
        <w:rPr>
          <w:b/>
          <w:bCs/>
          <w:sz w:val="24"/>
          <w:szCs w:val="24"/>
        </w:rPr>
        <w:t xml:space="preserve">5. Service Start Date</w:t>
      </w:r>
    </w:p>
    <w:p>
      <w:pPr>
        <w:spacing w:after="60" w:before="60"/>
      </w:pPr>
      <w:r>
        <w:t xml:space="preserve">July 1, 2026</w:t>
      </w:r>
    </w:p>
    <w:p>
      <w:pPr>
        <w:spacing w:after="70" w:before="200"/>
      </w:pPr>
      <w:r>
        <w:rPr>
          <w:b/>
          <w:bCs/>
          <w:sz w:val="24"/>
          <w:szCs w:val="24"/>
        </w:rPr>
        <w:t xml:space="preserve">6. Service End Date</w:t>
      </w:r>
    </w:p>
    <w:p>
      <w:pPr>
        <w:spacing w:after="60" w:before="60"/>
      </w:pPr>
      <w:r>
        <w:t xml:space="preserve">June 30, 2031</w:t>
      </w:r>
    </w:p>
    <w:p>
      <w:pPr>
        <w:spacing w:after="70" w:before="200"/>
      </w:pPr>
      <w:r>
        <w:rPr>
          <w:b/>
          <w:bCs/>
          <w:sz w:val="24"/>
          <w:szCs w:val="24"/>
        </w:rPr>
        <w:t xml:space="preserve">7. Total Contract Value</w:t>
      </w:r>
    </w:p>
    <w:p>
      <w:pPr>
        <w:spacing w:after="60" w:before="60"/>
      </w:pPr>
      <w:r>
        <w:t xml:space="preserve">USD $3,600,000 (Three Million Six Hundred Thousand US Dollars) aggregate base rent over the five-year Term</w:t>
      </w:r>
    </w:p>
    <w:p>
      <w:pPr>
        <w:spacing w:after="70" w:before="200"/>
      </w:pPr>
      <w:r>
        <w:rPr>
          <w:b/>
          <w:bCs/>
          <w:sz w:val="24"/>
          <w:szCs w:val="24"/>
        </w:rPr>
        <w:t xml:space="preserve">8. Currency</w:t>
      </w:r>
    </w:p>
    <w:p>
      <w:pPr>
        <w:spacing w:after="60" w:before="60"/>
      </w:pPr>
      <w:r>
        <w:t xml:space="preserve">USD (United States Dollars)</w:t>
      </w:r>
    </w:p>
    <w:p>
      <w:pPr>
        <w:spacing w:after="70" w:before="200"/>
      </w:pPr>
      <w:r>
        <w:rPr>
          <w:b/>
          <w:bCs/>
          <w:sz w:val="24"/>
          <w:szCs w:val="24"/>
        </w:rPr>
        <w:t xml:space="preserve">9. Payment Terms</w:t>
      </w:r>
    </w:p>
    <w:p>
      <w:pPr>
        <w:spacing w:after="60" w:before="60"/>
      </w:pPr>
      <w:r>
        <w:t xml:space="preserve">Monthly, payable on the first business day of each month in advance</w:t>
      </w:r>
    </w:p>
    <w:p>
      <w:pPr>
        <w:spacing w:after="70" w:before="200"/>
      </w:pPr>
      <w:r>
        <w:rPr>
          <w:b/>
          <w:bCs/>
          <w:sz w:val="24"/>
          <w:szCs w:val="24"/>
        </w:rPr>
        <w:t xml:space="preserve">10. Billing Frequency</w:t>
      </w:r>
    </w:p>
    <w:p>
      <w:pPr>
        <w:spacing w:after="60" w:before="60"/>
      </w:pPr>
      <w:r>
        <w:t xml:space="preserve">Monthly, in advance</w:t>
      </w:r>
    </w:p>
    <w:p>
      <w:pPr>
        <w:spacing w:after="70" w:before="200"/>
      </w:pPr>
      <w:r>
        <w:rPr>
          <w:b/>
          <w:bCs/>
          <w:sz w:val="24"/>
          <w:szCs w:val="24"/>
        </w:rPr>
        <w:t xml:space="preserve">11. Fee Schedule</w:t>
      </w:r>
    </w:p>
    <w:p>
      <w:pPr>
        <w:spacing w:after="60" w:before="60"/>
      </w:pPr>
      <w:r>
        <w:t xml:space="preserve">Base Rent: $60,000 per month × 60 months = $3,600,000. No annual escalator. Common Area Maintenance and taxes billed separately.</w:t>
      </w:r>
    </w:p>
    <w:p>
      <w:pPr>
        <w:spacing w:after="70" w:before="200"/>
      </w:pPr>
      <w:r>
        <w:rPr>
          <w:b/>
          <w:bCs/>
          <w:sz w:val="24"/>
          <w:szCs w:val="24"/>
        </w:rPr>
        <w:t xml:space="preserve">12. Service Description</w:t>
      </w:r>
    </w:p>
    <w:p>
      <w:pPr>
        <w:spacing w:after="60" w:before="60"/>
      </w:pPr>
      <w:r>
        <w:t xml:space="preserve">Lease of 12,000 rentable square feet of Class-A office space at 1500 Innovation Way, Portland, OR 97209, Suite 400, including 15 designated parking spaces.</w:t>
      </w:r>
    </w:p>
    <w:p>
      <w:pPr>
        <w:spacing w:after="70" w:before="200"/>
      </w:pPr>
      <w:r>
        <w:rPr>
          <w:b/>
          <w:bCs/>
          <w:sz w:val="24"/>
          <w:szCs w:val="24"/>
        </w:rPr>
        <w:t xml:space="preserve">13. Auto-Renewal</w:t>
      </w:r>
    </w:p>
    <w:p>
      <w:pPr>
        <w:spacing w:after="60" w:before="60"/>
      </w:pPr>
      <w:r>
        <w:t xml:space="preserve">No — Tenant has two five-year extension options exercisable on twelve (12) months prior written notice at then-negotiated rent</w:t>
      </w:r>
    </w:p>
    <w:p>
      <w:pPr>
        <w:spacing w:after="70" w:before="200"/>
      </w:pPr>
      <w:r>
        <w:rPr>
          <w:b/>
          <w:bCs/>
          <w:sz w:val="24"/>
          <w:szCs w:val="24"/>
        </w:rPr>
        <w:t xml:space="preserve">14. Termination Notice Days</w:t>
      </w:r>
    </w:p>
    <w:p>
      <w:pPr>
        <w:spacing w:after="60" w:before="60"/>
      </w:pPr>
      <w:r>
        <w:t xml:space="preserve">Lease is non-cancelable except for material default with thirty (30) days cure period</w:t>
      </w:r>
    </w:p>
    <w:p>
      <w:pPr>
        <w:spacing w:after="70" w:before="200"/>
      </w:pPr>
      <w:r>
        <w:rPr>
          <w:b/>
          <w:bCs/>
          <w:sz w:val="24"/>
          <w:szCs w:val="24"/>
        </w:rPr>
        <w:t xml:space="preserve">15. Governing Law</w:t>
      </w:r>
    </w:p>
    <w:p>
      <w:pPr>
        <w:spacing w:after="60" w:before="60"/>
      </w:pPr>
      <w:r>
        <w:t xml:space="preserve">Laws of the State of Oregon</w:t>
      </w:r>
    </w:p>
    <w:p>
      <w:pPr>
        <w:spacing w:after="70" w:before="200"/>
      </w:pPr>
      <w:r>
        <w:rPr>
          <w:b/>
          <w:bCs/>
          <w:sz w:val="24"/>
          <w:szCs w:val="24"/>
        </w:rPr>
        <w:t xml:space="preserve">16. Indemnification Present</w:t>
      </w:r>
    </w:p>
    <w:p>
      <w:pPr>
        <w:spacing w:after="60" w:before="60"/>
      </w:pPr>
      <w:r>
        <w:t xml:space="preserve">Yes — Tenant indemnifies Landlord for claims arising from Tenant's use of Premises; Landlord indemnifies for structural defects</w:t>
      </w:r>
    </w:p>
    <w:p>
      <w:pPr>
        <w:spacing w:after="70" w:before="200"/>
      </w:pPr>
      <w:r>
        <w:rPr>
          <w:b/>
          <w:bCs/>
          <w:sz w:val="24"/>
          <w:szCs w:val="24"/>
        </w:rPr>
        <w:t xml:space="preserve">17. Liability Cap</w:t>
      </w:r>
    </w:p>
    <w:p>
      <w:pPr>
        <w:spacing w:after="60" w:before="60"/>
      </w:pPr>
      <w:r>
        <w:t xml:space="preserve">Landlord liability limited to Landlord's interest in the Building; consequential damages excluded</w:t>
      </w:r>
    </w:p>
    <w:p>
      <w:pPr>
        <w:spacing w:after="70" w:before="200"/>
      </w:pPr>
      <w:r>
        <w:rPr>
          <w:b/>
          <w:bCs/>
          <w:sz w:val="24"/>
          <w:szCs w:val="24"/>
        </w:rPr>
        <w:t xml:space="preserve">18. Lease Component</w:t>
      </w:r>
    </w:p>
    <w:p>
      <w:pPr>
        <w:spacing w:after="60" w:before="60"/>
      </w:pPr>
      <w:r>
        <w:t xml:space="preserve">Yes — this is a long-term real estate operating lease; Tenant recognizes a right-of-use asset and lease liability at the Commencement Date under ASC 842</w:t>
      </w:r>
    </w:p>
    <w:p>
      <w:pPr>
        <w:spacing w:after="70" w:before="200"/>
      </w:pPr>
      <w:r>
        <w:rPr>
          <w:b/>
          <w:bCs/>
          <w:sz w:val="24"/>
          <w:szCs w:val="24"/>
        </w:rPr>
        <w:t xml:space="preserve">19. Embedded Derivative</w:t>
      </w:r>
    </w:p>
    <w:p>
      <w:pPr>
        <w:spacing w:after="60" w:before="60"/>
      </w:pPr>
      <w:r>
        <w:t xml:space="preserve">No — rent is fixed with no indexing to financial variables</w:t>
      </w:r>
    </w:p>
    <w:p>
      <w:pPr>
        <w:spacing w:after="70" w:before="200"/>
      </w:pPr>
      <w:r>
        <w:rPr>
          <w:b/>
          <w:bCs/>
          <w:sz w:val="24"/>
          <w:szCs w:val="24"/>
        </w:rPr>
        <w:t xml:space="preserve">20. Expense Recognition Method</w:t>
      </w:r>
    </w:p>
    <w:p>
      <w:pPr>
        <w:spacing w:after="60" w:before="60"/>
      </w:pPr>
      <w:r>
        <w:t xml:space="preserve">Straight-line lease expense over the five-year Term per ASC 842</w:t>
      </w:r>
    </w:p>
    <w:p>
      <w:pPr>
        <w:spacing w:after="70" w:before="200"/>
      </w:pPr>
      <w:r>
        <w:rPr>
          <w:b/>
          <w:bCs/>
          <w:sz w:val="24"/>
          <w:szCs w:val="24"/>
        </w:rPr>
        <w:t xml:space="preserve">21. Performance Obligations</w:t>
      </w:r>
    </w:p>
    <w:p>
      <w:pPr>
        <w:spacing w:after="60" w:before="60"/>
      </w:pPr>
      <w:r>
        <w:t xml:space="preserve">Landlord provides quiet enjoyment and structural maintenance; Tenant pays rent and maintains the Premises</w:t>
      </w:r>
    </w:p>
    <w:p>
      <w:pPr>
        <w:spacing w:after="70" w:before="200"/>
      </w:pPr>
      <w:r>
        <w:rPr>
          <w:b/>
          <w:bCs/>
          <w:sz w:val="24"/>
          <w:szCs w:val="24"/>
        </w:rPr>
        <w:t xml:space="preserve">22. Pricing Variability</w:t>
      </w:r>
    </w:p>
    <w:p>
      <w:pPr>
        <w:spacing w:after="60" w:before="60"/>
      </w:pPr>
      <w:r>
        <w:t xml:space="preserve">None — base rent is fixed for the full Term</w:t>
      </w:r>
    </w:p>
    <w:p>
      <w:pPr>
        <w:spacing w:after="70" w:before="200"/>
      </w:pPr>
      <w:r>
        <w:rPr>
          <w:b/>
          <w:bCs/>
          <w:sz w:val="24"/>
          <w:szCs w:val="24"/>
        </w:rPr>
        <w:t xml:space="preserve">23. Minimum Commitment</w:t>
      </w:r>
    </w:p>
    <w:p>
      <w:pPr>
        <w:spacing w:after="60" w:before="60"/>
      </w:pPr>
      <w:r>
        <w:t xml:space="preserve">$3,600,000 aggregate base rent over 60 months, non-cancelable</w:t>
      </w:r>
    </w:p>
    <w:p>
      <w:pPr>
        <w:spacing w:after="70" w:before="200"/>
      </w:pPr>
      <w:r>
        <w:rPr>
          <w:b/>
          <w:bCs/>
          <w:sz w:val="24"/>
          <w:szCs w:val="24"/>
        </w:rPr>
        <w:t xml:space="preserve">24. Exclusivity Clause</w:t>
      </w:r>
    </w:p>
    <w:p>
      <w:pPr>
        <w:spacing w:after="60" w:before="60"/>
      </w:pPr>
      <w:r>
        <w:t xml:space="preserve">No</w:t>
      </w:r>
    </w:p>
    <w:p>
      <w:pPr>
        <w:spacing w:after="70" w:before="200"/>
      </w:pPr>
      <w:r>
        <w:rPr>
          <w:b/>
          <w:bCs/>
          <w:sz w:val="24"/>
          <w:szCs w:val="24"/>
        </w:rPr>
        <w:t xml:space="preserve">25. IP Ownership</w:t>
      </w:r>
    </w:p>
    <w:p>
      <w:pPr>
        <w:spacing w:after="60" w:before="60"/>
      </w:pPr>
      <w:r>
        <w:t xml:space="preserve">Not applicable — real estate lease</w:t>
      </w:r>
    </w:p>
    <w:p>
      <w:pPr>
        <w:spacing w:after="70" w:before="200"/>
      </w:pPr>
      <w:r>
        <w:rPr>
          <w:b/>
          <w:bCs/>
          <w:sz w:val="24"/>
          <w:szCs w:val="24"/>
        </w:rPr>
        <w:t xml:space="preserve">26. Confidentiality Term</w:t>
      </w:r>
    </w:p>
    <w:p>
      <w:pPr>
        <w:spacing w:after="60" w:before="60"/>
      </w:pPr>
      <w:r>
        <w:t xml:space="preserve">Terms of this Lease are confidential for five (5) years post-expiration</w:t>
      </w:r>
    </w:p>
    <w:p>
      <w:pPr>
        <w:spacing w:after="70" w:before="200"/>
      </w:pPr>
      <w:r>
        <w:rPr>
          <w:b/>
          <w:bCs/>
          <w:sz w:val="24"/>
          <w:szCs w:val="24"/>
        </w:rPr>
        <w:t xml:space="preserve">27. Change Order Mechanism</w:t>
      </w:r>
    </w:p>
    <w:p>
      <w:pPr>
        <w:spacing w:after="60" w:before="60"/>
      </w:pPr>
      <w:r>
        <w:t xml:space="preserve">Any amendment requires a written Lease Amendment signed by Landlord and Tenant</w:t>
      </w:r>
    </w:p>
    <w:p>
      <w:pPr>
        <w:pBdr>
          <w:top w:val="single" w:color="000000" w:sz="6" w:space="1"/>
        </w:pBdr>
        <w:spacing w:after="200" w:before="400"/>
      </w:pPr>
      <w:r>
        <w:t xml:space="preserve"/>
      </w:r>
    </w:p>
    <w:p>
      <w:pPr>
        <w:spacing w:after="60" w:before="60"/>
      </w:pPr>
      <w:r>
        <w:rPr>
          <w:b/>
          <w:bCs/>
        </w:rPr>
        <w:t xml:space="preserve">IN WITNESS WHEREOF, the parties have executed this Agreement as of the Effective Date.</w:t>
      </w:r>
    </w:p>
    <w:p>
      <w:pPr>
        <w:spacing w:before="240"/>
      </w:pPr>
      <w:r>
        <w:rPr>
          <w:b/>
          <w:bCs/>
        </w:rPr>
        <w:t xml:space="preserve">ACME CO</w:t>
      </w:r>
    </w:p>
    <w:p>
      <w:r>
        <w:t xml:space="preserve">By: __________________________________</w:t>
      </w:r>
    </w:p>
    <w:p>
      <w:r>
        <w:t xml:space="preserve">Name: Michael Chen</w:t>
      </w:r>
    </w:p>
    <w:p>
      <w:r>
        <w:t xml:space="preserve">Title: Chief Real Estate Officer</w:t>
      </w:r>
    </w:p>
    <w:p>
      <w:pPr>
        <w:spacing w:before="240"/>
      </w:pPr>
      <w:r>
        <w:rPr>
          <w:b/>
          <w:bCs/>
        </w:rPr>
        <w:t xml:space="preserve">ATLAS REALTY PARTNERS, LP</w:t>
      </w:r>
    </w:p>
    <w:p>
      <w:r>
        <w:t xml:space="preserve">By: __________________________________</w:t>
      </w:r>
    </w:p>
    <w:p>
      <w:r>
        <w:t xml:space="preserve">Name: Victoria Ashford</w:t>
      </w:r>
    </w:p>
    <w:p>
      <w:r>
        <w:t xml:space="preserve">Title: Managing Director, Atlas Realty Partners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i/>
        <w:iCs/>
        <w:color w:val="777777"/>
        <w:sz w:val="18"/>
        <w:szCs w:val="18"/>
      </w:rPr>
      <w:t xml:space="preserve">Acme Co — Confidential · Page </w:t>
    </w:r>
    <w:r>
      <w:rPr>
        <w:color w:val="777777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777777"/>
        <w:sz w:val="18"/>
        <w:szCs w:val="18"/>
      </w:rPr>
      <w:t xml:space="preserve"> of </w:t>
    </w:r>
    <w:r>
      <w:rPr>
        <w:color w:val="777777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COMMERCIAL OFFICE LEASE AGREEMENT</dc:title>
  <dc:creator>Acme Co Legal</dc:creator>
  <cp:lastModifiedBy>Un-named</cp:lastModifiedBy>
  <cp:revision>1</cp:revision>
  <dcterms:created xsi:type="dcterms:W3CDTF">2026-04-24T19:14:15.776Z</dcterms:created>
  <dcterms:modified xsi:type="dcterms:W3CDTF">2026-04-24T19:14:15.776Z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