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2"/>
          <w:szCs w:val="32"/>
        </w:rPr>
        <w:t xml:space="preserve">FIXED-PRICE CONSTRUCTION AGREEMENT</w:t>
      </w:r>
    </w:p>
    <w:p>
      <w:pPr>
        <w:spacing w:after="360"/>
        <w:jc w:val="center"/>
      </w:pPr>
      <w:r>
        <w:rPr>
          <w:i/>
          <w:iCs/>
          <w:color w:val="555555"/>
          <w:sz w:val="22"/>
          <w:szCs w:val="22"/>
        </w:rPr>
        <w:t xml:space="preserve">Acme Co — Summit Builders LLC</w:t>
      </w:r>
    </w:p>
    <w:p>
      <w:pPr>
        <w:spacing w:after="60" w:before="60"/>
      </w:pPr>
      <w:r>
        <w:t xml:space="preserve">This Fixed-Price Construction Agreement (the "Agreement") is entered into as of August 1, 2026 (the "Effective Date") by and between Acme Co ("Client") and Summit Builders LLC, an Oregon limited liability company ("Contractor").</w:t>
      </w:r>
    </w:p>
    <w:p>
      <w:pPr>
        <w:spacing w:after="60" w:before="60"/>
      </w:pPr>
      <w:r>
        <w:rPr>
          <w:b/>
          <w:bCs/>
          <w:sz w:val="24"/>
          <w:szCs w:val="24"/>
        </w:rPr>
        <w:t xml:space="preserve">SUMMARY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Counterparty</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Summit Builders LLC</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Contract Type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Fixed-Price Construction Agreement — Retail Store Buildout</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Effective Date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August 1, 2026</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Expiration Date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April 30, 2027</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Service Start Date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August 1, 2026</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Service End Date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April 30, 2027</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Total Contract Value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USD $8,500,000 (Eight Million Five Hundred Thousand US Dollars) fixed price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Currency</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USD (United States Dollars)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Payment Terms</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Net 30 days from certified milestone draw</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Billing Frequency</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Milestone-based — five (5) draws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Fee Schedule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Milestone 1 (Site Prep) $850,000 · M2 (Structural) $1,700,000 · M3 (Build-out) $2,550,000 · M4 (Fixtures) $2,550,000 · M5 (Commissioning) $850,000 · Total $8,500,000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Service Description</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Complete turnkey buildout of 28 Acme retail stores across the Pacific Northwest — demolition, structural, fixtures, electrical, HVAC, and commissioning.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Auto-Renewal</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No — agreement terminates upon final milestone completion or April 30, 2027, whichever comes first</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Termination Notice Days</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Client may terminate for convenience on thirty (30) days written notice with payment for milestones accepted plus documented work-in-progress on in-flight milestone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Governing Law</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Laws of the State of Oregon</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Indemnification Present</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Yes — Contractor indemnifies Client for third-party claims arising from Contractor's negligence, bodily injury, or property damage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Liability Cap</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Yes — Contractor aggregate liability capped at contract value ($8.5M); performance bonds required</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Lease Component</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No — Client owns the underlying real estate; this is a construction capex engagement</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Embedded Derivative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No — fees fixed with no indexing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Expense Recognition Method</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Direct-association — recognized as milestones are certified and accepted; capitalized to Construction in Progress pending commissioning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Performance Obligations</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Five distinct performance obligations — one per milestone; each represents a separable deliverable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Pricing Variability</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None — fixed-price; any scope changes via written Change Order</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Minimum Commitment</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$8,500,000 fixed</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Exclusivity Clause</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No</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IP Ownership</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Client owns all constructed improvements, designs, and specifications upon payment</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Confidentiality Term</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Two (2) years post-completion</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bCs/>
                <w:sz w:val="20"/>
                <w:szCs w:val="20"/>
              </w:rPr>
              <w:t xml:space="preserve">Change Order Mechanism</w:t>
            </w:r>
          </w:p>
        </w:tc>
        <w:tc>
          <w:tcPr>
            <w:tcW w:type="dxa" w:w="58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sz w:val="20"/>
                <w:szCs w:val="20"/>
              </w:rPr>
              <w:t xml:space="preserve">Any scope change requires written Change Order signed by Project Managers of both parties with 48-hour escalation protocol</w:t>
            </w:r>
          </w:p>
        </w:tc>
      </w:tr>
    </w:tbl>
    <w:p>
      <w:pPr>
        <w:spacing w:after="70" w:before="200"/>
      </w:pPr>
      <w:r>
        <w:rPr>
          <w:b/>
          <w:bCs/>
          <w:sz w:val="24"/>
          <w:szCs w:val="24"/>
        </w:rPr>
        <w:t xml:space="preserve">1. Counterparty</w:t>
      </w:r>
    </w:p>
    <w:p>
      <w:pPr>
        <w:spacing w:after="60" w:before="60"/>
      </w:pPr>
      <w:r>
        <w:t xml:space="preserve">Summit Builders LLC</w:t>
      </w:r>
    </w:p>
    <w:p>
      <w:pPr>
        <w:spacing w:after="70" w:before="200"/>
      </w:pPr>
      <w:r>
        <w:rPr>
          <w:b/>
          <w:bCs/>
          <w:sz w:val="24"/>
          <w:szCs w:val="24"/>
        </w:rPr>
        <w:t xml:space="preserve">2. Contract Type</w:t>
      </w:r>
    </w:p>
    <w:p>
      <w:pPr>
        <w:spacing w:after="60" w:before="60"/>
      </w:pPr>
      <w:r>
        <w:t xml:space="preserve">Fixed-Price Construction Agreement — Retail Store Buildout</w:t>
      </w:r>
    </w:p>
    <w:p>
      <w:pPr>
        <w:spacing w:after="70" w:before="200"/>
      </w:pPr>
      <w:r>
        <w:rPr>
          <w:b/>
          <w:bCs/>
          <w:sz w:val="24"/>
          <w:szCs w:val="24"/>
        </w:rPr>
        <w:t xml:space="preserve">3. Effective Date</w:t>
      </w:r>
    </w:p>
    <w:p>
      <w:pPr>
        <w:spacing w:after="60" w:before="60"/>
      </w:pPr>
      <w:r>
        <w:t xml:space="preserve">August 1, 2026</w:t>
      </w:r>
    </w:p>
    <w:p>
      <w:pPr>
        <w:spacing w:after="70" w:before="200"/>
      </w:pPr>
      <w:r>
        <w:rPr>
          <w:b/>
          <w:bCs/>
          <w:sz w:val="24"/>
          <w:szCs w:val="24"/>
        </w:rPr>
        <w:t xml:space="preserve">4. Expiration Date</w:t>
      </w:r>
    </w:p>
    <w:p>
      <w:pPr>
        <w:spacing w:after="60" w:before="60"/>
      </w:pPr>
      <w:r>
        <w:t xml:space="preserve">April 30, 2027</w:t>
      </w:r>
    </w:p>
    <w:p>
      <w:pPr>
        <w:spacing w:after="70" w:before="200"/>
      </w:pPr>
      <w:r>
        <w:rPr>
          <w:b/>
          <w:bCs/>
          <w:sz w:val="24"/>
          <w:szCs w:val="24"/>
        </w:rPr>
        <w:t xml:space="preserve">5. Service Start Date</w:t>
      </w:r>
    </w:p>
    <w:p>
      <w:pPr>
        <w:spacing w:after="60" w:before="60"/>
      </w:pPr>
      <w:r>
        <w:t xml:space="preserve">August 1, 2026</w:t>
      </w:r>
    </w:p>
    <w:p>
      <w:pPr>
        <w:spacing w:after="70" w:before="200"/>
      </w:pPr>
      <w:r>
        <w:rPr>
          <w:b/>
          <w:bCs/>
          <w:sz w:val="24"/>
          <w:szCs w:val="24"/>
        </w:rPr>
        <w:t xml:space="preserve">6. Service End Date</w:t>
      </w:r>
    </w:p>
    <w:p>
      <w:pPr>
        <w:spacing w:after="60" w:before="60"/>
      </w:pPr>
      <w:r>
        <w:t xml:space="preserve">April 30, 2027</w:t>
      </w:r>
    </w:p>
    <w:p>
      <w:pPr>
        <w:spacing w:after="70" w:before="200"/>
      </w:pPr>
      <w:r>
        <w:rPr>
          <w:b/>
          <w:bCs/>
          <w:sz w:val="24"/>
          <w:szCs w:val="24"/>
        </w:rPr>
        <w:t xml:space="preserve">7. Total Contract Value</w:t>
      </w:r>
    </w:p>
    <w:p>
      <w:pPr>
        <w:spacing w:after="60" w:before="60"/>
      </w:pPr>
      <w:r>
        <w:t xml:space="preserve">USD $8,500,000 (Eight Million Five Hundred Thousand US Dollars) fixed price</w:t>
      </w:r>
    </w:p>
    <w:p>
      <w:pPr>
        <w:spacing w:after="70" w:before="200"/>
      </w:pPr>
      <w:r>
        <w:rPr>
          <w:b/>
          <w:bCs/>
          <w:sz w:val="24"/>
          <w:szCs w:val="24"/>
        </w:rPr>
        <w:t xml:space="preserve">8. Currency</w:t>
      </w:r>
    </w:p>
    <w:p>
      <w:pPr>
        <w:spacing w:after="60" w:before="60"/>
      </w:pPr>
      <w:r>
        <w:t xml:space="preserve">USD (United States Dollars)</w:t>
      </w:r>
    </w:p>
    <w:p>
      <w:pPr>
        <w:spacing w:after="70" w:before="200"/>
      </w:pPr>
      <w:r>
        <w:rPr>
          <w:b/>
          <w:bCs/>
          <w:sz w:val="24"/>
          <w:szCs w:val="24"/>
        </w:rPr>
        <w:t xml:space="preserve">9. Payment Terms</w:t>
      </w:r>
    </w:p>
    <w:p>
      <w:pPr>
        <w:spacing w:after="60" w:before="60"/>
      </w:pPr>
      <w:r>
        <w:t xml:space="preserve">Net 30 days from certified milestone draw</w:t>
      </w:r>
    </w:p>
    <w:p>
      <w:pPr>
        <w:spacing w:after="70" w:before="200"/>
      </w:pPr>
      <w:r>
        <w:rPr>
          <w:b/>
          <w:bCs/>
          <w:sz w:val="24"/>
          <w:szCs w:val="24"/>
        </w:rPr>
        <w:t xml:space="preserve">10. Billing Frequency</w:t>
      </w:r>
    </w:p>
    <w:p>
      <w:pPr>
        <w:spacing w:after="60" w:before="60"/>
      </w:pPr>
      <w:r>
        <w:t xml:space="preserve">Milestone-based — five (5) draws</w:t>
      </w:r>
    </w:p>
    <w:p>
      <w:pPr>
        <w:spacing w:after="70" w:before="200"/>
      </w:pPr>
      <w:r>
        <w:rPr>
          <w:b/>
          <w:bCs/>
          <w:sz w:val="24"/>
          <w:szCs w:val="24"/>
        </w:rPr>
        <w:t xml:space="preserve">11. Fee Schedule</w:t>
      </w:r>
    </w:p>
    <w:p>
      <w:pPr>
        <w:spacing w:after="60" w:before="60"/>
      </w:pPr>
      <w:r>
        <w:t xml:space="preserve">Milestone 1 (Site Prep) $850,000 · M2 (Structural) $1,700,000 · M3 (Build-out) $2,550,000 · M4 (Fixtures) $2,550,000 · M5 (Commissioning) $850,000 · Total $8,500,000</w:t>
      </w:r>
    </w:p>
    <w:p>
      <w:pPr>
        <w:spacing w:after="70" w:before="200"/>
      </w:pPr>
      <w:r>
        <w:rPr>
          <w:b/>
          <w:bCs/>
          <w:sz w:val="24"/>
          <w:szCs w:val="24"/>
        </w:rPr>
        <w:t xml:space="preserve">12. Service Description</w:t>
      </w:r>
    </w:p>
    <w:p>
      <w:pPr>
        <w:spacing w:after="60" w:before="60"/>
      </w:pPr>
      <w:r>
        <w:t xml:space="preserve">Complete turnkey buildout of 28 Acme retail stores across the Pacific Northwest — demolition, structural, fixtures, electrical, HVAC, and commissioning.</w:t>
      </w:r>
    </w:p>
    <w:p>
      <w:pPr>
        <w:spacing w:after="70" w:before="200"/>
      </w:pPr>
      <w:r>
        <w:rPr>
          <w:b/>
          <w:bCs/>
          <w:sz w:val="24"/>
          <w:szCs w:val="24"/>
        </w:rPr>
        <w:t xml:space="preserve">13. Auto-Renewal</w:t>
      </w:r>
    </w:p>
    <w:p>
      <w:pPr>
        <w:spacing w:after="60" w:before="60"/>
      </w:pPr>
      <w:r>
        <w:t xml:space="preserve">No — agreement terminates upon final milestone completion or April 30, 2027, whichever comes first</w:t>
      </w:r>
    </w:p>
    <w:p>
      <w:pPr>
        <w:spacing w:after="70" w:before="200"/>
      </w:pPr>
      <w:r>
        <w:rPr>
          <w:b/>
          <w:bCs/>
          <w:sz w:val="24"/>
          <w:szCs w:val="24"/>
        </w:rPr>
        <w:t xml:space="preserve">14. Termination Notice Days</w:t>
      </w:r>
    </w:p>
    <w:p>
      <w:pPr>
        <w:spacing w:after="60" w:before="60"/>
      </w:pPr>
      <w:r>
        <w:t xml:space="preserve">Client may terminate for convenience on thirty (30) days written notice with payment for milestones accepted plus documented work-in-progress on in-flight milestone</w:t>
      </w:r>
    </w:p>
    <w:p>
      <w:pPr>
        <w:spacing w:after="70" w:before="200"/>
      </w:pPr>
      <w:r>
        <w:rPr>
          <w:b/>
          <w:bCs/>
          <w:sz w:val="24"/>
          <w:szCs w:val="24"/>
        </w:rPr>
        <w:t xml:space="preserve">15. Governing Law</w:t>
      </w:r>
    </w:p>
    <w:p>
      <w:pPr>
        <w:spacing w:after="60" w:before="60"/>
      </w:pPr>
      <w:r>
        <w:t xml:space="preserve">Laws of the State of Oregon</w:t>
      </w:r>
    </w:p>
    <w:p>
      <w:pPr>
        <w:spacing w:after="70" w:before="200"/>
      </w:pPr>
      <w:r>
        <w:rPr>
          <w:b/>
          <w:bCs/>
          <w:sz w:val="24"/>
          <w:szCs w:val="24"/>
        </w:rPr>
        <w:t xml:space="preserve">16. Indemnification Present</w:t>
      </w:r>
    </w:p>
    <w:p>
      <w:pPr>
        <w:spacing w:after="60" w:before="60"/>
      </w:pPr>
      <w:r>
        <w:t xml:space="preserve">Yes — Contractor indemnifies Client for third-party claims arising from Contractor's negligence, bodily injury, or property damage</w:t>
      </w:r>
    </w:p>
    <w:p>
      <w:pPr>
        <w:spacing w:after="70" w:before="200"/>
      </w:pPr>
      <w:r>
        <w:rPr>
          <w:b/>
          <w:bCs/>
          <w:sz w:val="24"/>
          <w:szCs w:val="24"/>
        </w:rPr>
        <w:t xml:space="preserve">17. Liability Cap</w:t>
      </w:r>
    </w:p>
    <w:p>
      <w:pPr>
        <w:spacing w:after="60" w:before="60"/>
      </w:pPr>
      <w:r>
        <w:t xml:space="preserve">Yes — Contractor aggregate liability capped at contract value ($8.5M); performance bonds required</w:t>
      </w:r>
    </w:p>
    <w:p>
      <w:pPr>
        <w:spacing w:after="70" w:before="200"/>
      </w:pPr>
      <w:r>
        <w:rPr>
          <w:b/>
          <w:bCs/>
          <w:sz w:val="24"/>
          <w:szCs w:val="24"/>
        </w:rPr>
        <w:t xml:space="preserve">18. Lease Component</w:t>
      </w:r>
    </w:p>
    <w:p>
      <w:pPr>
        <w:spacing w:after="60" w:before="60"/>
      </w:pPr>
      <w:r>
        <w:t xml:space="preserve">No — Client owns the underlying real estate; this is a construction capex engagement</w:t>
      </w:r>
    </w:p>
    <w:p>
      <w:pPr>
        <w:spacing w:after="70" w:before="200"/>
      </w:pPr>
      <w:r>
        <w:rPr>
          <w:b/>
          <w:bCs/>
          <w:sz w:val="24"/>
          <w:szCs w:val="24"/>
        </w:rPr>
        <w:t xml:space="preserve">19. Embedded Derivative</w:t>
      </w:r>
    </w:p>
    <w:p>
      <w:pPr>
        <w:spacing w:after="60" w:before="60"/>
      </w:pPr>
      <w:r>
        <w:t xml:space="preserve">No — fees fixed with no indexing</w:t>
      </w:r>
    </w:p>
    <w:p>
      <w:pPr>
        <w:spacing w:after="70" w:before="200"/>
      </w:pPr>
      <w:r>
        <w:rPr>
          <w:b/>
          <w:bCs/>
          <w:sz w:val="24"/>
          <w:szCs w:val="24"/>
        </w:rPr>
        <w:t xml:space="preserve">20. Expense Recognition Method</w:t>
      </w:r>
    </w:p>
    <w:p>
      <w:pPr>
        <w:spacing w:after="60" w:before="60"/>
      </w:pPr>
      <w:r>
        <w:t xml:space="preserve">Direct-association — recognized as milestones are certified and accepted; capitalized to Construction in Progress pending commissioning</w:t>
      </w:r>
    </w:p>
    <w:p>
      <w:pPr>
        <w:spacing w:after="70" w:before="200"/>
      </w:pPr>
      <w:r>
        <w:rPr>
          <w:b/>
          <w:bCs/>
          <w:sz w:val="24"/>
          <w:szCs w:val="24"/>
        </w:rPr>
        <w:t xml:space="preserve">21. Performance Obligations</w:t>
      </w:r>
    </w:p>
    <w:p>
      <w:pPr>
        <w:spacing w:after="60" w:before="60"/>
      </w:pPr>
      <w:r>
        <w:t xml:space="preserve">Five distinct performance obligations — one per milestone; each represents a separable deliverable</w:t>
      </w:r>
    </w:p>
    <w:p>
      <w:pPr>
        <w:spacing w:after="70" w:before="200"/>
      </w:pPr>
      <w:r>
        <w:rPr>
          <w:b/>
          <w:bCs/>
          <w:sz w:val="24"/>
          <w:szCs w:val="24"/>
        </w:rPr>
        <w:t xml:space="preserve">22. Pricing Variability</w:t>
      </w:r>
    </w:p>
    <w:p>
      <w:pPr>
        <w:spacing w:after="60" w:before="60"/>
      </w:pPr>
      <w:r>
        <w:t xml:space="preserve">None — fixed-price; any scope changes via written Change Order</w:t>
      </w:r>
    </w:p>
    <w:p>
      <w:pPr>
        <w:spacing w:after="70" w:before="200"/>
      </w:pPr>
      <w:r>
        <w:rPr>
          <w:b/>
          <w:bCs/>
          <w:sz w:val="24"/>
          <w:szCs w:val="24"/>
        </w:rPr>
        <w:t xml:space="preserve">23. Minimum Commitment</w:t>
      </w:r>
    </w:p>
    <w:p>
      <w:pPr>
        <w:spacing w:after="60" w:before="60"/>
      </w:pPr>
      <w:r>
        <w:t xml:space="preserve">$8,500,000 fixed</w:t>
      </w:r>
    </w:p>
    <w:p>
      <w:pPr>
        <w:spacing w:after="70" w:before="200"/>
      </w:pPr>
      <w:r>
        <w:rPr>
          <w:b/>
          <w:bCs/>
          <w:sz w:val="24"/>
          <w:szCs w:val="24"/>
        </w:rPr>
        <w:t xml:space="preserve">24. Exclusivity Clause</w:t>
      </w:r>
    </w:p>
    <w:p>
      <w:pPr>
        <w:spacing w:after="60" w:before="60"/>
      </w:pPr>
      <w:r>
        <w:t xml:space="preserve">No</w:t>
      </w:r>
    </w:p>
    <w:p>
      <w:pPr>
        <w:spacing w:after="70" w:before="200"/>
      </w:pPr>
      <w:r>
        <w:rPr>
          <w:b/>
          <w:bCs/>
          <w:sz w:val="24"/>
          <w:szCs w:val="24"/>
        </w:rPr>
        <w:t xml:space="preserve">25. IP Ownership</w:t>
      </w:r>
    </w:p>
    <w:p>
      <w:pPr>
        <w:spacing w:after="60" w:before="60"/>
      </w:pPr>
      <w:r>
        <w:t xml:space="preserve">Client owns all constructed improvements, designs, and specifications upon payment</w:t>
      </w:r>
    </w:p>
    <w:p>
      <w:pPr>
        <w:spacing w:after="70" w:before="200"/>
      </w:pPr>
      <w:r>
        <w:rPr>
          <w:b/>
          <w:bCs/>
          <w:sz w:val="24"/>
          <w:szCs w:val="24"/>
        </w:rPr>
        <w:t xml:space="preserve">26. Confidentiality Term</w:t>
      </w:r>
    </w:p>
    <w:p>
      <w:pPr>
        <w:spacing w:after="60" w:before="60"/>
      </w:pPr>
      <w:r>
        <w:t xml:space="preserve">Two (2) years post-completion</w:t>
      </w:r>
    </w:p>
    <w:p>
      <w:pPr>
        <w:spacing w:after="70" w:before="200"/>
      </w:pPr>
      <w:r>
        <w:rPr>
          <w:b/>
          <w:bCs/>
          <w:sz w:val="24"/>
          <w:szCs w:val="24"/>
        </w:rPr>
        <w:t xml:space="preserve">27. Change Order Mechanism</w:t>
      </w:r>
    </w:p>
    <w:p>
      <w:pPr>
        <w:spacing w:after="60" w:before="60"/>
      </w:pPr>
      <w:r>
        <w:t xml:space="preserve">Any scope change requires written Change Order signed by Project Managers of both parties with 48-hour escalation protocol</w:t>
      </w:r>
    </w:p>
    <w:p>
      <w:pPr>
        <w:pBdr>
          <w:top w:val="single" w:color="000000" w:sz="6" w:space="1"/>
        </w:pBdr>
        <w:spacing w:after="200" w:before="400"/>
      </w:pPr>
      <w:r>
        <w:t xml:space="preserve"/>
      </w:r>
    </w:p>
    <w:p>
      <w:pPr>
        <w:spacing w:after="60" w:before="60"/>
      </w:pPr>
      <w:r>
        <w:rPr>
          <w:b/>
          <w:bCs/>
        </w:rPr>
        <w:t xml:space="preserve">IN WITNESS WHEREOF, the parties have executed this Agreement as of the Effective Date.</w:t>
      </w:r>
    </w:p>
    <w:p>
      <w:pPr>
        <w:spacing w:before="240"/>
      </w:pPr>
      <w:r>
        <w:rPr>
          <w:b/>
          <w:bCs/>
        </w:rPr>
        <w:t xml:space="preserve">ACME CO</w:t>
      </w:r>
    </w:p>
    <w:p>
      <w:r>
        <w:t xml:space="preserve">By: __________________________________</w:t>
      </w:r>
    </w:p>
    <w:p>
      <w:r>
        <w:t xml:space="preserve">Name: Priya Nair</w:t>
      </w:r>
    </w:p>
    <w:p>
      <w:r>
        <w:t xml:space="preserve">Title: Chief Real Estate Officer</w:t>
      </w:r>
    </w:p>
    <w:p>
      <w:pPr>
        <w:spacing w:before="240"/>
      </w:pPr>
      <w:r>
        <w:rPr>
          <w:b/>
          <w:bCs/>
        </w:rPr>
        <w:t xml:space="preserve">SUMMIT BUILDERS LLC</w:t>
      </w:r>
    </w:p>
    <w:p>
      <w:r>
        <w:t xml:space="preserve">By: __________________________________</w:t>
      </w:r>
    </w:p>
    <w:p>
      <w:r>
        <w:t xml:space="preserve">Name: Thomas O'Brien</w:t>
      </w:r>
    </w:p>
    <w:p>
      <w:r>
        <w:t xml:space="preserve">Title: President, Summit Builders LLC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777777"/>
        <w:sz w:val="18"/>
        <w:szCs w:val="18"/>
      </w:rPr>
      <w:t xml:space="preserve">Acme Co — Confidential · 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FIXED-PRICE CONSTRUCTION AGREEMENT</dc:title>
  <dc:creator>Acme Co Legal</dc:creator>
  <cp:lastModifiedBy>Un-named</cp:lastModifiedBy>
  <cp:revision>1</cp:revision>
  <dcterms:created xsi:type="dcterms:W3CDTF">2026-04-24T19:14:15.804Z</dcterms:created>
  <dcterms:modified xsi:type="dcterms:W3CDTF">2026-04-24T19:14:15.804Z</dcterms:modified>
</cp:coreProperties>
</file>

<file path=docProps/custom.xml><?xml version="1.0" encoding="utf-8"?>
<Properties xmlns="http://schemas.openxmlformats.org/officeDocument/2006/custom-properties" xmlns:vt="http://schemas.openxmlformats.org/officeDocument/2006/docPropsVTypes"/>
</file>