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pPr>
      <w:r>
        <w:rPr>
          <w:rFonts w:ascii="Arial" w:cs="Arial" w:eastAsia="Arial" w:hAnsi="Arial"/>
          <w:b/>
          <w:bCs/>
          <w:color w:val="2E4057"/>
          <w:sz w:val="36"/>
          <w:szCs w:val="36"/>
        </w:rPr>
        <w:t xml:space="preserve">PROFESSIONAL SERVICES AGREEMENT — FINANCE OPERATIONS OUTSOURCING</w:t>
      </w:r>
    </w:p>
    <w:p>
      <w:pPr>
        <w:pBdr>
          <w:bottom w:val="single" w:color="2E4057" w:sz="6" w:space="1"/>
        </w:pBdr>
        <w:spacing w:after="160" w:before="160"/>
      </w:pPr>
      <w:r>
        <w:rPr>
          <w:rFonts w:ascii="Arial" w:cs="Arial" w:eastAsia="Arial" w:hAnsi="Arial"/>
          <w:sz w:val="4"/>
          <w:szCs w:val="4"/>
        </w:rPr>
        <w:t xml:space="preserve"/>
      </w:r>
    </w:p>
    <w:p>
      <w:pPr>
        <w:pBdr>
          <w:bottom w:val="single" w:color="2E4057" w:sz="4" w:space="4"/>
        </w:pBdr>
        <w:spacing w:after="160" w:before="240"/>
      </w:pPr>
      <w:r>
        <w:rPr>
          <w:rFonts w:ascii="Arial" w:cs="Arial" w:eastAsia="Arial" w:hAnsi="Arial"/>
          <w:b/>
          <w:bCs/>
          <w:color w:val="1A1A1A"/>
          <w:sz w:val="28"/>
          <w:szCs w:val="28"/>
        </w:rPr>
        <w:t xml:space="preserve">Contract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Contract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NK-SGA-PSA-2026-0089</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Agreement Type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Professional Services Agreement — Offshore BPO</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April 1, 2026</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Expiration Date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March 31, 2029 (36 months, renewable)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Nike 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Nike Global Services, Inc. — Global Finance Operations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Counterparty</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Infosys BPM Limited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Counterparty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Electronics City, Hosur Road, Bangalore, Karnataka 560 100, India</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Counterparty Contact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Arjun Nair, VP Delivery — arjun.nair@infosysbpm.com</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Nike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Rachel Torres, SG&amp;A Manager — r.torres@nike.com</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Nike PO Number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PO-2026-FIN-00892</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Contract 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Nike Contracts #PSA-2026-0089</w:t>
            </w:r>
          </w:p>
        </w:tc>
      </w:tr>
    </w:tbl>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1 — Scope of Services</w:t>
      </w:r>
    </w:p>
    <w:p>
      <w:pPr>
        <w:spacing w:after="80" w:before="80"/>
      </w:pPr>
      <w:r>
        <w:rPr>
          <w:rFonts w:ascii="Arial" w:cs="Arial" w:eastAsia="Arial" w:hAnsi="Arial"/>
          <w:color w:val="1A1A1A"/>
          <w:sz w:val="20"/>
          <w:szCs w:val="20"/>
        </w:rPr>
        <w:t xml:space="preserve">Infosys BPM Limited ('Service Provider') shall provide finance and accounting outsourcing services ('F&amp;A BPO Services') from its delivery center in Bangalore, India. Services include:</w:t>
      </w:r>
    </w:p>
    <w:p>
      <w:pPr>
        <w:pStyle w:val="ListParagraph"/>
        <w:numPr>
          <w:ilvl w:val="0"/>
          <w:numId w:val="2"/>
        </w:numPr>
        <w:spacing w:after="40" w:before="40"/>
      </w:pPr>
      <w:r>
        <w:rPr>
          <w:rFonts w:ascii="Arial" w:cs="Arial" w:eastAsia="Arial" w:hAnsi="Arial"/>
          <w:color w:val="1A1A1A"/>
          <w:sz w:val="20"/>
          <w:szCs w:val="20"/>
        </w:rPr>
        <w:t xml:space="preserve">Accounts Payable processing: invoice receipt, coding, 3-way match, payment runs</w:t>
      </w:r>
    </w:p>
    <w:p>
      <w:pPr>
        <w:pStyle w:val="ListParagraph"/>
        <w:numPr>
          <w:ilvl w:val="0"/>
          <w:numId w:val="2"/>
        </w:numPr>
        <w:spacing w:after="40" w:before="40"/>
      </w:pPr>
      <w:r>
        <w:rPr>
          <w:rFonts w:ascii="Arial" w:cs="Arial" w:eastAsia="Arial" w:hAnsi="Arial"/>
          <w:color w:val="1A1A1A"/>
          <w:sz w:val="20"/>
          <w:szCs w:val="20"/>
        </w:rPr>
        <w:t xml:space="preserve">Accounts Receivable: cash application, collections support, dispute resolution</w:t>
      </w:r>
    </w:p>
    <w:p>
      <w:pPr>
        <w:pStyle w:val="ListParagraph"/>
        <w:numPr>
          <w:ilvl w:val="0"/>
          <w:numId w:val="2"/>
        </w:numPr>
        <w:spacing w:after="40" w:before="40"/>
      </w:pPr>
      <w:r>
        <w:rPr>
          <w:rFonts w:ascii="Arial" w:cs="Arial" w:eastAsia="Arial" w:hAnsi="Arial"/>
          <w:color w:val="1A1A1A"/>
          <w:sz w:val="20"/>
          <w:szCs w:val="20"/>
        </w:rPr>
        <w:t xml:space="preserve">General Ledger: journal entry preparation, account reconciliations (Tier 2 accounts)</w:t>
      </w:r>
    </w:p>
    <w:p>
      <w:pPr>
        <w:pStyle w:val="ListParagraph"/>
        <w:numPr>
          <w:ilvl w:val="0"/>
          <w:numId w:val="2"/>
        </w:numPr>
        <w:spacing w:after="40" w:before="40"/>
      </w:pPr>
      <w:r>
        <w:rPr>
          <w:rFonts w:ascii="Arial" w:cs="Arial" w:eastAsia="Arial" w:hAnsi="Arial"/>
          <w:color w:val="1A1A1A"/>
          <w:sz w:val="20"/>
          <w:szCs w:val="20"/>
        </w:rPr>
        <w:t xml:space="preserve">Fixed Asset accounting: additions, disposals, depreciation calculations</w:t>
      </w:r>
    </w:p>
    <w:p>
      <w:pPr>
        <w:pStyle w:val="ListParagraph"/>
        <w:numPr>
          <w:ilvl w:val="0"/>
          <w:numId w:val="2"/>
        </w:numPr>
        <w:spacing w:after="40" w:before="40"/>
      </w:pPr>
      <w:r>
        <w:rPr>
          <w:rFonts w:ascii="Arial" w:cs="Arial" w:eastAsia="Arial" w:hAnsi="Arial"/>
          <w:color w:val="1A1A1A"/>
          <w:sz w:val="20"/>
          <w:szCs w:val="20"/>
        </w:rPr>
        <w:t xml:space="preserve">Month-end close support: accrual calculations, prepaid amortization, intercompany</w:t>
      </w:r>
    </w:p>
    <w:p>
      <w:pPr>
        <w:pStyle w:val="ListParagraph"/>
        <w:numPr>
          <w:ilvl w:val="0"/>
          <w:numId w:val="2"/>
        </w:numPr>
        <w:spacing w:after="40" w:before="40"/>
      </w:pPr>
      <w:r>
        <w:rPr>
          <w:rFonts w:ascii="Arial" w:cs="Arial" w:eastAsia="Arial" w:hAnsi="Arial"/>
          <w:color w:val="1A1A1A"/>
          <w:sz w:val="20"/>
          <w:szCs w:val="20"/>
        </w:rPr>
        <w:t xml:space="preserve">Management reporting: standard package preparation (not MD&amp;A narrative)</w:t>
      </w:r>
    </w:p>
    <w:p>
      <w:pPr>
        <w:spacing w:after="80" w:before="80"/>
      </w:pPr>
      <w:r>
        <w:rPr>
          <w:rFonts w:ascii="Arial" w:cs="Arial" w:eastAsia="Arial" w:hAnsi="Arial"/>
          <w:color w:val="1A1A1A"/>
          <w:sz w:val="20"/>
          <w:szCs w:val="20"/>
        </w:rPr>
        <w:t xml:space="preserve">Excluded from scope: Tax, Treasury, External Reporting, and controller judgment functions. Nike retains full review and approval authority on all deliverables.</w:t>
      </w:r>
    </w:p>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2 — Financial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Total Contract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$14,400,000 USD (36 months, base scope)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Fee Structure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monthly fee per FTE resource unit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Year 1 Monthly Fee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$380,000 (approximate 34 FTE at blended rate)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Year 2 Monthly Fee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$391,400 (3% annual escalation)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Year 3 Monthly Fee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$403,142 (3% annual escalation)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Blended FTE Rate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$11,176/FTE/month (Year 1)</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Resource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34 FTEs: 18 AP, 8 AR/Collections, 5 GL, 3 Fixed Assets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Billing Frequency</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invoiced in arrears on the last business day</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Payment Terms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Net 45 from invoice date; payments in USD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Currency</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USD fixed. No forex pass-through provision.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Transition Fees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$850,000 (one-time, Months 1–3) — see transition schedule</w:t>
            </w:r>
          </w:p>
        </w:tc>
      </w:tr>
    </w:tbl>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3 — Accounting Treatment</w:t>
      </w:r>
    </w:p>
    <w:p>
      <w:pPr>
        <w:spacing w:after="160" w:before="240"/>
      </w:pPr>
      <w:r>
        <w:rPr>
          <w:rFonts w:ascii="Arial" w:cs="Arial" w:eastAsia="Arial" w:hAnsi="Arial"/>
          <w:b/>
          <w:bCs/>
          <w:color w:val="1A1A1A"/>
          <w:sz w:val="24"/>
          <w:szCs w:val="24"/>
        </w:rPr>
        <w:t xml:space="preserve">3.1  Expense Recognition Method</w:t>
      </w:r>
    </w:p>
    <w:p>
      <w:pPr>
        <w:spacing w:after="80" w:before="80"/>
      </w:pPr>
      <w:r>
        <w:rPr>
          <w:rFonts w:ascii="Arial" w:cs="Arial" w:eastAsia="Arial" w:hAnsi="Arial"/>
          <w:color w:val="1A1A1A"/>
          <w:sz w:val="20"/>
          <w:szCs w:val="20"/>
        </w:rPr>
        <w:t xml:space="preserve">Monthly service fees: Straight-line expense recognition over each service month as services are rendered. Transition fees: Amortized straight-line over the initial contract term (36 months) beginning April 1, 2026, yielding $23,611/month in transition cost amortization.</w:t>
      </w:r>
    </w:p>
    <w:p>
      <w:r>
        <w:rPr>
          <w:rFonts w:ascii="Arial" w:cs="Arial" w:eastAsia="Arial" w:hAnsi="Arial"/>
          <w:sz w:val="20"/>
          <w:szCs w:val="20"/>
        </w:rPr>
        <w:t xml:space="preserve"/>
      </w:r>
    </w:p>
    <w:p>
      <w:pPr>
        <w:spacing w:after="160" w:before="240"/>
      </w:pPr>
      <w:r>
        <w:rPr>
          <w:rFonts w:ascii="Arial" w:cs="Arial" w:eastAsia="Arial" w:hAnsi="Arial"/>
          <w:b/>
          <w:bCs/>
          <w:color w:val="1A1A1A"/>
          <w:sz w:val="24"/>
          <w:szCs w:val="24"/>
        </w:rPr>
        <w:t xml:space="preserve">3.2  Capitalization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Capitalization Treatment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SG&amp;A expense for recurring monthly fees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Transition Fees Treatment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Capitalizable as contract acquisition costs under ASC 340-40 — amortized over 36-month contract term</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Internal-Use Software 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(NICE/robotics tools are Service Provider property)</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Right-of-Use Asset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 purely service arrangement, no dedicated Nike assets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GL Account — Recurring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6500 — Outsourced Services / Finance BPO</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GL Account — Transition Amort.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1800 — Prepaid and Other Current Assets (amortized)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Cost Center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CC-2200 — Global Finance Operations</w:t>
            </w:r>
          </w:p>
        </w:tc>
      </w:tr>
    </w:tbl>
    <w:p>
      <w:r>
        <w:rPr>
          <w:rFonts w:ascii="Arial" w:cs="Arial" w:eastAsia="Arial" w:hAnsi="Arial"/>
          <w:sz w:val="20"/>
          <w:szCs w:val="20"/>
        </w:rPr>
        <w:t xml:space="preserve"/>
      </w:r>
    </w:p>
    <w:p>
      <w:pPr>
        <w:spacing w:after="160" w:before="240"/>
      </w:pPr>
      <w:r>
        <w:rPr>
          <w:rFonts w:ascii="Arial" w:cs="Arial" w:eastAsia="Arial" w:hAnsi="Arial"/>
          <w:b/>
          <w:bCs/>
          <w:color w:val="1A1A1A"/>
          <w:sz w:val="24"/>
          <w:szCs w:val="24"/>
        </w:rPr>
        <w:t xml:space="preserve">3.3  Technical Accounting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Embedded Derivative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USD-denominated; no FX derivative exposure.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Lease Component (ASC 842)</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 no identified assets. Service Provider uses its own facilities and equipment in Bangalore.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Variable Consideration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Limited — SLA penalty/credit mechanism (±5% of monthly fee); de minimis threshold likely not material.</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SLA Penalty Provision</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SLA credits reduce payable if Service Provider misses defined KPIs. Credits recorded as reduction of expense in period earned.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Related Party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Infosys BPM is a third-party, arm's-length transaction.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Transfer Pricing</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Nike Global Services, Inc. (US entity) receives benefit; cross-charge to operating entities per established transfer pricing policy.</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Service Commencement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April 1, 2026 (after 3-month transition period Feb–Mar 2026)</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Workforce Transition</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13 Nike employees transitioning to Service Provider. Severance costs are Nike's obligation — not included in contract value.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SOX Control Relevance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 Service Provider performs SOX-relevant processes. SSAE 18 SOC 1 Type II report required annually.</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Disclosure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Significant outsourcing arrangement — consider MD&amp;A disclosure if risk profile material to operations</w:t>
            </w:r>
          </w:p>
        </w:tc>
      </w:tr>
    </w:tbl>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4 — Governance and Oversight</w:t>
      </w:r>
    </w:p>
    <w:p>
      <w:pPr>
        <w:spacing w:after="80" w:before="80"/>
      </w:pPr>
      <w:r>
        <w:rPr>
          <w:rFonts w:ascii="Arial" w:cs="Arial" w:eastAsia="Arial" w:hAnsi="Arial"/>
          <w:color w:val="1A1A1A"/>
          <w:sz w:val="20"/>
          <w:szCs w:val="20"/>
        </w:rPr>
        <w:t xml:space="preserve">Nike retains a dedicated Transition Management Office (TMO) and Vendor Management function. Monthly business review (MBR) cadence with SLA scorecard. Quarterly executive business review (EBR). Nike retains right to audit Service Provider delivery centers on 30-day notice. Annual SOC 1 Type II report delivery required by March 31 each year.</w:t>
      </w:r>
    </w:p>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5 — Data Security and Privacy</w:t>
      </w:r>
    </w:p>
    <w:p>
      <w:pPr>
        <w:spacing w:after="80" w:before="80"/>
      </w:pPr>
      <w:r>
        <w:rPr>
          <w:rFonts w:ascii="Arial" w:cs="Arial" w:eastAsia="Arial" w:hAnsi="Arial"/>
          <w:color w:val="1A1A1A"/>
          <w:sz w:val="20"/>
          <w:szCs w:val="20"/>
        </w:rPr>
        <w:t xml:space="preserve">Service Provider shall comply with Nike's Global Information Security Policy, GDPR, CCPA, and applicable Indian data protection regulations. All Nike financial data processed in dedicated, air-gapped logical environments. No subcontracting of Nike services without prior written approval.</w:t>
      </w:r>
    </w:p>
    <w:p>
      <w:r>
        <w:rPr>
          <w:rFonts w:ascii="Arial" w:cs="Arial" w:eastAsia="Arial" w:hAnsi="Arial"/>
          <w:sz w:val="20"/>
          <w:szCs w:val="20"/>
        </w:rPr>
        <w:t xml:space="preserve"/>
      </w:r>
    </w:p>
    <w:p>
      <w:pPr>
        <w:pBdr>
          <w:bottom w:val="single" w:color="2E4057" w:sz="6" w:space="1"/>
        </w:pBdr>
        <w:spacing w:after="160" w:before="160"/>
      </w:pPr>
      <w:r>
        <w:rPr>
          <w:rFonts w:ascii="Arial" w:cs="Arial" w:eastAsia="Arial" w:hAnsi="Arial"/>
          <w:sz w:val="4"/>
          <w:szCs w:val="4"/>
        </w:rPr>
        <w:t xml:space="preserve"/>
      </w:r>
    </w:p>
    <w:p>
      <w:pPr>
        <w:pBdr>
          <w:bottom w:val="single" w:color="2E4057" w:sz="4" w:space="4"/>
        </w:pBdr>
        <w:spacing w:after="160" w:before="240"/>
      </w:pPr>
      <w:r>
        <w:rPr>
          <w:rFonts w:ascii="Arial" w:cs="Arial" w:eastAsia="Arial" w:hAnsi="Arial"/>
          <w:b/>
          <w:bCs/>
          <w:color w:val="1A1A1A"/>
          <w:sz w:val="28"/>
          <w:szCs w:val="28"/>
        </w:rPr>
        <w:t xml:space="preserve">Signature Block</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single" w:color="CCCCCC" w:sz="1"/>
              <w:right w:val="none"/>
            </w:tcBorders>
            <w:tcMar>
              <w:top w:type="dxa" w:w="80"/>
              <w:left w:type="dxa" w:w="120"/>
              <w:bottom w:type="dxa" w:w="80"/>
              <w:right w:type="dxa" w:w="120"/>
            </w:tcMar>
          </w:tcPr>
          <w:p>
            <w:r>
              <w:rPr>
                <w:rFonts w:ascii="Arial" w:cs="Arial" w:eastAsia="Arial" w:hAnsi="Arial"/>
                <w:b/>
                <w:bCs/>
                <w:sz w:val="20"/>
                <w:szCs w:val="20"/>
              </w:rPr>
              <w:t xml:space="preserve">Nike Global Services, Inc.</w:t>
            </w:r>
          </w:p>
          <w:p>
            <w:pPr>
              <w:spacing w:before="400"/>
            </w:pPr>
            <w:r>
              <w:rPr>
                <w:rFonts w:ascii="Arial" w:cs="Arial" w:eastAsia="Arial" w:hAnsi="Arial"/>
                <w:color w:val="888888"/>
                <w:sz w:val="18"/>
                <w:szCs w:val="18"/>
              </w:rPr>
              <w:t xml:space="preserve">Authorized Signature</w:t>
            </w:r>
          </w:p>
          <w:p>
            <w:r>
              <w:rPr>
                <w:rFonts w:ascii="Arial" w:cs="Arial" w:eastAsia="Arial" w:hAnsi="Arial"/>
                <w:sz w:val="20"/>
                <w:szCs w:val="20"/>
              </w:rPr>
              <w:t xml:space="preserve">Name: _________________________</w:t>
            </w:r>
          </w:p>
          <w:p>
            <w:r>
              <w:rPr>
                <w:rFonts w:ascii="Arial" w:cs="Arial" w:eastAsia="Arial" w:hAnsi="Arial"/>
                <w:sz w:val="20"/>
                <w:szCs w:val="20"/>
              </w:rPr>
              <w:t xml:space="preserve">Title: __________________________</w:t>
            </w:r>
          </w:p>
          <w:p>
            <w:r>
              <w:rPr>
                <w:rFonts w:ascii="Arial" w:cs="Arial" w:eastAsia="Arial" w:hAnsi="Arial"/>
                <w:sz w:val="20"/>
                <w:szCs w:val="20"/>
              </w:rPr>
              <w:t xml:space="preserve">Date:  __________________________</w:t>
            </w:r>
          </w:p>
        </w:tc>
        <w:tc>
          <w:tcPr>
            <w:tcW w:type="dxa" w:w="360"/>
            <w:tcBorders>
              <w:top w:val="none"/>
              <w:left w:val="none"/>
              <w:bottom w:val="none"/>
              <w:right w:val="none"/>
            </w:tcBorders>
          </w:tcPr>
          <w:p/>
        </w:tc>
        <w:tc>
          <w:tcPr>
            <w:tcW w:type="dxa" w:w="4500"/>
            <w:tcBorders>
              <w:top w:val="none"/>
              <w:left w:val="none"/>
              <w:bottom w:val="single" w:color="CCCCCC" w:sz="1"/>
              <w:right w:val="none"/>
            </w:tcBorders>
            <w:tcMar>
              <w:top w:type="dxa" w:w="80"/>
              <w:left w:type="dxa" w:w="120"/>
              <w:bottom w:type="dxa" w:w="80"/>
              <w:right w:type="dxa" w:w="120"/>
            </w:tcMar>
          </w:tcPr>
          <w:p>
            <w:r>
              <w:rPr>
                <w:rFonts w:ascii="Arial" w:cs="Arial" w:eastAsia="Arial" w:hAnsi="Arial"/>
                <w:b/>
                <w:bCs/>
                <w:sz w:val="20"/>
                <w:szCs w:val="20"/>
              </w:rPr>
              <w:t xml:space="preserve">Infosys BPM Limited</w:t>
            </w:r>
          </w:p>
          <w:p>
            <w:pPr>
              <w:spacing w:before="400"/>
            </w:pPr>
            <w:r>
              <w:rPr>
                <w:rFonts w:ascii="Arial" w:cs="Arial" w:eastAsia="Arial" w:hAnsi="Arial"/>
                <w:color w:val="888888"/>
                <w:sz w:val="18"/>
                <w:szCs w:val="18"/>
              </w:rPr>
              <w:t xml:space="preserve">Authorized Signature</w:t>
            </w:r>
          </w:p>
          <w:p>
            <w:r>
              <w:rPr>
                <w:rFonts w:ascii="Arial" w:cs="Arial" w:eastAsia="Arial" w:hAnsi="Arial"/>
                <w:sz w:val="20"/>
                <w:szCs w:val="20"/>
              </w:rPr>
              <w:t xml:space="preserve">Name: _________________________</w:t>
            </w:r>
          </w:p>
          <w:p>
            <w:r>
              <w:rPr>
                <w:rFonts w:ascii="Arial" w:cs="Arial" w:eastAsia="Arial" w:hAnsi="Arial"/>
                <w:sz w:val="20"/>
                <w:szCs w:val="20"/>
              </w:rPr>
              <w:t xml:space="preserve">Title: __________________________</w:t>
            </w:r>
          </w:p>
          <w:p>
            <w:r>
              <w:rPr>
                <w:rFonts w:ascii="Arial" w:cs="Arial" w:eastAsia="Arial" w:hAnsi="Arial"/>
                <w:sz w:val="20"/>
                <w:szCs w:val="20"/>
              </w:rPr>
              <w:t xml:space="preserve">Date:  __________________________</w:t>
            </w:r>
          </w:p>
        </w:tc>
      </w:tr>
    </w:tbl>
    <w:p>
      <w:r>
        <w:rPr>
          <w:rFonts w:ascii="Arial" w:cs="Arial" w:eastAsia="Arial" w:hAnsi="Arial"/>
          <w:sz w:val="20"/>
          <w:szCs w:val="20"/>
        </w:rPr>
        <w:t xml:space="preserve"/>
      </w:r>
    </w:p>
    <w:p>
      <w:pPr>
        <w:spacing w:after="80" w:before="80"/>
      </w:pPr>
      <w:r>
        <w:rPr>
          <w:rFonts w:ascii="Arial" w:cs="Arial" w:eastAsia="Arial" w:hAnsi="Arial"/>
          <w:i/>
          <w:iCs/>
          <w:color w:val="888888"/>
          <w:sz w:val="16"/>
          <w:szCs w:val="16"/>
        </w:rPr>
        <w:t xml:space="preserve">NOAH System Prototype — Document for AI Attribute Extraction Testing | NK-SGA-PSA-2026-0089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2026-04-21T19:39:12.201Z</dcterms:created>
  <dcterms:modified xsi:type="dcterms:W3CDTF">2026-04-21T19:39:12.201Z</dcterms:modified>
</cp:coreProperties>
</file>

<file path=docProps/custom.xml><?xml version="1.0" encoding="utf-8"?>
<Properties xmlns="http://schemas.openxmlformats.org/officeDocument/2006/custom-properties" xmlns:vt="http://schemas.openxmlformats.org/officeDocument/2006/docPropsVTypes"/>
</file>