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fa9d2ddc8f0e45f49d10e833f2a5c8233e7fe2"/>
    <w:p>
      <w:pPr>
        <w:pStyle w:val="Heading2"/>
      </w:pPr>
      <w:r>
        <w:t xml:space="preserve">SISTEMA DE APOYO AL DIAGNÓSTICO DE HERNIA LUMBAR</w:t>
      </w:r>
    </w:p>
    <w:p>
      <w:pPr>
        <w:pStyle w:val="FirstParagraph"/>
      </w:pPr>
      <w:r>
        <w:rPr>
          <w:b/>
          <w:bCs/>
        </w:rPr>
        <w:t xml:space="preserve">DOCUMENTO TÉCNICO COMPLETO (FRONT + BACK + ML)</w:t>
      </w:r>
    </w:p>
    <w:p>
      <w:r>
        <w:pict>
          <v:rect style="width:0;height:1.5pt" o:hralign="center" o:hrstd="t" o:hr="t"/>
        </w:pict>
      </w:r>
    </w:p>
    <w:bookmarkEnd w:id="20"/>
    <w:bookmarkStart w:id="23" w:name="análisis-problemática-del-entorno"/>
    <w:p>
      <w:pPr>
        <w:pStyle w:val="Heading2"/>
      </w:pPr>
      <w:r>
        <w:t xml:space="preserve">1. ANÁLISIS PROBLEMÁTICA DEL ENTORNO</w:t>
      </w:r>
    </w:p>
    <w:bookmarkStart w:id="21" w:name="análisis-externo"/>
    <w:p>
      <w:pPr>
        <w:pStyle w:val="Heading3"/>
      </w:pPr>
      <w:r>
        <w:t xml:space="preserve">1.1 Análisis externo</w:t>
      </w:r>
    </w:p>
    <w:p>
      <w:pPr>
        <w:pStyle w:val="FirstParagraph"/>
      </w:pPr>
      <w:r>
        <w:t xml:space="preserve">La hernia de disco lumbar (LDH) es una de las principales causas de dolor lumbar y afecta aproximadamente al 10 % de los pacientes con este síntoma, con un impacto importante en la calidad de vida y la productividad laboral. La literatura reciente (Lin et al., 2024; Zhang et al., 2023, 2024; Prisilla et al., 2023) muestra: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Carga epidemiológica y clínica</w:t>
      </w:r>
    </w:p>
    <w:p>
      <w:pPr>
        <w:pStyle w:val="Compact"/>
        <w:numPr>
          <w:ilvl w:val="1"/>
          <w:numId w:val="1002"/>
        </w:numPr>
      </w:pPr>
      <w:r>
        <w:t xml:space="preserve">Alta prevalencia de LDH en población adulta.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Importancia de la evaluación de severidad de la hernia para definir manejo conservador vs. quirúrgico.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Limitaciones del proceso diagnóstico actual</w:t>
      </w:r>
    </w:p>
    <w:p>
      <w:pPr>
        <w:pStyle w:val="Compact"/>
        <w:numPr>
          <w:ilvl w:val="1"/>
          <w:numId w:val="1003"/>
        </w:numPr>
      </w:pPr>
      <w:r>
        <w:t xml:space="preserve">Interpretación manual de múltiples cortes de RM lumbar que consume varios segundos por imagen, lo que se multiplica por el número de cortes por paciente.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Alta dependencia del juicio subjetivo del radiólogo, con discrepancias en la clasificación de discos abultados y hernias.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Impacto económico</w:t>
      </w:r>
    </w:p>
    <w:p>
      <w:pPr>
        <w:pStyle w:val="Compact"/>
        <w:numPr>
          <w:ilvl w:val="1"/>
          <w:numId w:val="1004"/>
        </w:numPr>
      </w:pPr>
      <w:r>
        <w:t xml:space="preserve">Costos muy elevados asociados a estudios repetidos, tratamientos inadecuados y cirugías innecesarias (por ejemplo, en EE. UU. el costo anual de tratar LDH alcanza miles de millones de dólares).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Acceso limitado a equipos de RM, lo que retrasa la detección y puede producir déficits neurológicos irreversibles.</w:t>
      </w:r>
    </w:p>
    <w:p>
      <w:pPr>
        <w:pStyle w:val="FirstParagraph"/>
      </w:pPr>
      <w:r>
        <w:t xml:space="preserve">En este contexto, los trabajos internacionales recientes proponen</w:t>
      </w:r>
      <w:r>
        <w:t xml:space="preserve"> </w:t>
      </w:r>
      <w:r>
        <w:rPr>
          <w:b/>
          <w:bCs/>
        </w:rPr>
        <w:t xml:space="preserve">modelos de machine learning y deep learning</w:t>
      </w:r>
      <w:r>
        <w:t xml:space="preserve"> </w:t>
      </w:r>
      <w:r>
        <w:t xml:space="preserve">para:</w:t>
      </w:r>
    </w:p>
    <w:p>
      <w:pPr>
        <w:pStyle w:val="Compact"/>
        <w:numPr>
          <w:ilvl w:val="0"/>
          <w:numId w:val="1005"/>
        </w:numPr>
      </w:pPr>
      <w:r>
        <w:t xml:space="preserve">Correlacionar características radiológicas (altura del disco, morfología) con presencia de abultamiento o hernia.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Automatizar la detección y clasificación de hernias lumbares a partir de RM.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Integrar sistemas de soporte a la decisión clínica que reduzcan tiempo de lectura, variabilidad diagnóstica y costos.</w:t>
      </w:r>
    </w:p>
    <w:bookmarkEnd w:id="21"/>
    <w:bookmarkStart w:id="22" w:name="análisis-interno"/>
    <w:p>
      <w:pPr>
        <w:pStyle w:val="Heading3"/>
      </w:pPr>
      <w:r>
        <w:t xml:space="preserve">1.2 Análisis interno</w:t>
      </w:r>
    </w:p>
    <w:p>
      <w:pPr>
        <w:pStyle w:val="FirstParagraph"/>
      </w:pPr>
      <w:r>
        <w:t xml:space="preserve">En el contexto de práctica clínica real (hospitales públicos, clínicas privadas y centros especializados), se identifican los siguientes problemas: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Interpretación manual tardía</w:t>
      </w:r>
    </w:p>
    <w:p>
      <w:pPr>
        <w:pStyle w:val="Compact"/>
        <w:numPr>
          <w:ilvl w:val="1"/>
          <w:numId w:val="1007"/>
        </w:numPr>
      </w:pPr>
      <w:r>
        <w:t xml:space="preserve">El radiólogo debe revisar manualmente múltiples cortes sagitales y axiales de RM lumbar.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El tiempo acumulado por caso es considerable, lo que retrasa la toma de decisiones y la priorización de pacientes.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Variabilidad diagnóstica y ambigüedad en la severidad</w:t>
      </w:r>
    </w:p>
    <w:p>
      <w:pPr>
        <w:pStyle w:val="Compact"/>
        <w:numPr>
          <w:ilvl w:val="1"/>
          <w:numId w:val="1008"/>
        </w:numPr>
      </w:pPr>
      <w:r>
        <w:t xml:space="preserve">La clasificación de severidad (por ejemplo, escalas tipo MSU 0–III) presenta discrepancias entre especialistas.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Pacientes con imágenes</w:t>
      </w:r>
      <w:r>
        <w:t xml:space="preserve"> </w:t>
      </w:r>
      <w:r>
        <w:t xml:space="preserve">“</w:t>
      </w:r>
      <w:r>
        <w:t xml:space="preserve">borderline</w:t>
      </w:r>
      <w:r>
        <w:t xml:space="preserve">”</w:t>
      </w:r>
      <w:r>
        <w:t xml:space="preserve"> </w:t>
      </w:r>
      <w:r>
        <w:t xml:space="preserve">generan dudas sobre la indicación quirúrgica, lo que incrementa la variabilidad y el riesgo de decisiones subóptimas.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Costos elevados por diagnósticos inconsistentes</w:t>
      </w:r>
    </w:p>
    <w:p>
      <w:pPr>
        <w:pStyle w:val="Compact"/>
        <w:numPr>
          <w:ilvl w:val="1"/>
          <w:numId w:val="1009"/>
        </w:numPr>
      </w:pPr>
      <w:r>
        <w:t xml:space="preserve">Estudios repetidos de RM por dudas diagnósticas.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Cirugías innecesarias o retraso en intervenciones que sí se requieren.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Aumento de costos globales y riesgo de complicaciones para el paciente.</w:t>
      </w:r>
    </w:p>
    <w:p>
      <w:pPr>
        <w:pStyle w:val="FirstParagraph"/>
      </w:pPr>
      <w:r>
        <w:t xml:space="preserve">Ante ello, se propone un</w:t>
      </w:r>
      <w:r>
        <w:t xml:space="preserve"> </w:t>
      </w:r>
      <w:r>
        <w:rPr>
          <w:b/>
          <w:bCs/>
        </w:rPr>
        <w:t xml:space="preserve">Sistema Inteligente de Soporte a la Decisión Clínica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10"/>
        </w:numPr>
      </w:pPr>
      <w:r>
        <w:t xml:space="preserve">Automatice la detección y localización de hernias discales lumbares en RM.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Clasifique la severidad de la hernia para apoyar la decisión quirúrgica.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Integre un módulo de recomendación clínica que ayude a estandarizar el manejo.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mprensión-del-negocio"/>
    <w:p>
      <w:pPr>
        <w:pStyle w:val="Heading2"/>
      </w:pPr>
      <w:r>
        <w:t xml:space="preserve">2. COMPRENSIÓN DEL NEGOCIO</w:t>
      </w:r>
    </w:p>
    <w:bookmarkStart w:id="24" w:name="objetivos-del-negocio"/>
    <w:p>
      <w:pPr>
        <w:pStyle w:val="Heading3"/>
      </w:pPr>
      <w:r>
        <w:t xml:space="preserve">2.1 Objetivos del negocio</w:t>
      </w:r>
    </w:p>
    <w:p>
      <w:pPr>
        <w:pStyle w:val="FirstParagraph"/>
      </w:pPr>
      <w:r>
        <w:rPr>
          <w:b/>
          <w:bCs/>
        </w:rPr>
        <w:t xml:space="preserve">Objetivos de negocio (necesidades):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Reducir el tiempo de interpretación diagnóstica</w:t>
      </w:r>
      <w:r>
        <w:t xml:space="preserve"> </w:t>
      </w:r>
      <w:r>
        <w:t xml:space="preserve">de resonancias magnéticas lumbares en pacientes con sospecha de LDH.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Localizar y clasificar la severidad de la hernia</w:t>
      </w:r>
      <w:r>
        <w:t xml:space="preserve"> </w:t>
      </w:r>
      <w:r>
        <w:t xml:space="preserve">de disco lumbar para apoyar decisiones quirúrgicas.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Reducir costos por diagnósticos erróneos y cirugías innecesarias</w:t>
      </w:r>
      <w:r>
        <w:t xml:space="preserve">, optimizando el uso de recursos de imagen y tratamiento.</w:t>
      </w:r>
    </w:p>
    <w:bookmarkEnd w:id="24"/>
    <w:bookmarkStart w:id="25" w:name="objetivos-de-la-solución"/>
    <w:p>
      <w:pPr>
        <w:pStyle w:val="Heading3"/>
      </w:pPr>
      <w:r>
        <w:t xml:space="preserve">2.2 Objetivos de la solución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8"/>
        <w:gridCol w:w="4159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Objetivo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 técnica (modelo / sistema)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analítica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Reducir el tiempo de interpretación diagnóstica de RM lumbares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Desarrollar un modelo de detección de objetos que localice automáticamente discos y hernias en RM lumbares (YOLOv8 / SSD).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Predictivo (detección)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Localizar y clasificar la severidad de la hernia para decisión quirúrgica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Entrenar una red neuronal convolucional (detección + severidad) que clasifique el grado de hernia y genere scores de riesgo.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Predictivo (clasificación)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Reducir costos por diagnósticos erróneos y cirugías innecesarias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 un sistema inteligente de soporte a la decisión clínica (LLM + reglas) que estandarice las recomendaciones.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Prescriptivo</w:t>
            </w:r>
          </w:p>
        </w:tc>
      </w:tr>
    </w:tbl>
    <w:bookmarkEnd w:id="25"/>
    <w:bookmarkStart w:id="26" w:name="X0be08e97d2748dfb747959097d784aef8c9998b"/>
    <w:p>
      <w:pPr>
        <w:pStyle w:val="Heading3"/>
      </w:pPr>
      <w:r>
        <w:t xml:space="preserve">2.3 Variables a usar para cada objetivo de negocio</w:t>
      </w:r>
    </w:p>
    <w:p>
      <w:pPr>
        <w:pStyle w:val="FirstParagraph"/>
      </w:pPr>
      <w:r>
        <w:rPr>
          <w:b/>
          <w:bCs/>
        </w:rPr>
        <w:t xml:space="preserve">Objetivo S‑1 – Reducir tiempo de interpretación (detección automática)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Variables de negocio</w:t>
      </w:r>
    </w:p>
    <w:p>
      <w:pPr>
        <w:pStyle w:val="Compact"/>
        <w:numPr>
          <w:ilvl w:val="1"/>
          <w:numId w:val="1013"/>
        </w:numPr>
      </w:pPr>
      <w:r>
        <w:t xml:space="preserve">Tiempo de interpretación manual vs. tiempo de inferencia del modelo.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Número de cortes analizados por caso.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Estado de la cita (pendiente de informe, completada).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Variables de dataset / técnicas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image_id</w:t>
      </w:r>
      <w:r>
        <w:t xml:space="preserve">: identificador único de la imagen RM.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file_name</w:t>
      </w:r>
      <w:r>
        <w:t xml:space="preserve">: nombre de archivo de la imagen (512×512 px, plano sagital).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bbox</w:t>
      </w:r>
      <w:r>
        <w:t xml:space="preserve">: coordenadas [x, y, width, height] de discos y hernias.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area</w:t>
      </w:r>
      <w:r>
        <w:t xml:space="preserve">: área del bounding box (tamaño de la lesión).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category_id</w:t>
      </w:r>
      <w:r>
        <w:t xml:space="preserve">: clase del objeto (por ejemplo: 0 = disc, 1 = hdisc).</w:t>
      </w:r>
    </w:p>
    <w:p>
      <w:pPr>
        <w:pStyle w:val="FirstParagraph"/>
      </w:pPr>
      <w:r>
        <w:rPr>
          <w:b/>
          <w:bCs/>
        </w:rPr>
        <w:t xml:space="preserve">Objetivo S‑2 – Clasificar severidad y apoyar decisión quirúrgica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Variables de negocio</w:t>
      </w:r>
    </w:p>
    <w:p>
      <w:pPr>
        <w:pStyle w:val="Compact"/>
        <w:numPr>
          <w:ilvl w:val="1"/>
          <w:numId w:val="1016"/>
        </w:numPr>
      </w:pPr>
      <w:r>
        <w:t xml:space="preserve">Severidad estimada de la hernia (score 0–100 o categorías clínicas).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Necesidad de cirugía (sí/no, recomendada/no recomendada).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Grupo clínico del paciente (por ejemplo, Grupo III con indicación poco clara).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Variables de dataset / técnicas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category_id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category_name</w:t>
      </w:r>
      <w:r>
        <w:t xml:space="preserve"> </w:t>
      </w:r>
      <w:r>
        <w:t xml:space="preserve">refinidos para codificar grados de hernia.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confidence_score</w:t>
      </w:r>
      <w:r>
        <w:t xml:space="preserve">: confianza de la predicción del modelo (0–1).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Distribución de intensidades y morfología en la vecindad del disco afectado.</w:t>
      </w:r>
    </w:p>
    <w:p>
      <w:pPr>
        <w:pStyle w:val="FirstParagraph"/>
      </w:pPr>
      <w:r>
        <w:rPr>
          <w:b/>
          <w:bCs/>
        </w:rPr>
        <w:t xml:space="preserve">Objetivo S‑3 – Reducir costos y estandarizar decisiones (soporte clínico)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Variables de negocio</w:t>
      </w:r>
    </w:p>
    <w:p>
      <w:pPr>
        <w:pStyle w:val="Compact"/>
        <w:numPr>
          <w:ilvl w:val="1"/>
          <w:numId w:val="1019"/>
        </w:numPr>
      </w:pPr>
      <w:r>
        <w:t xml:space="preserve">Edad del paciente.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Comorbilidades: diabetes, artrosis, insuficiencia renal, malformaciones lumbosacras.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Tipo de tratamiento recibido (conservador vs. quirúrgico) y evolución.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Variables de dataset / técnicas</w:t>
      </w:r>
    </w:p>
    <w:p>
      <w:pPr>
        <w:pStyle w:val="Compact"/>
        <w:numPr>
          <w:ilvl w:val="1"/>
          <w:numId w:val="1020"/>
        </w:numPr>
      </w:pPr>
      <w:r>
        <w:t xml:space="preserve">Estructura clínica en historia médica (campos de texto estructurados y no estructurados).</w:t>
      </w:r>
      <w:r>
        <w:br/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texto_ia</w:t>
      </w:r>
      <w:r>
        <w:t xml:space="preserve"> </w:t>
      </w:r>
      <w:r>
        <w:t xml:space="preserve">y salida del LLM (recomendación terapéutica).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Variables de seguimiento (EVA, funcionalidad, reincidencia).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ompresión-de-datos"/>
    <w:p>
      <w:pPr>
        <w:pStyle w:val="Heading2"/>
      </w:pPr>
      <w:r>
        <w:t xml:space="preserve">3. COMPRESIÓN DE DATOS</w:t>
      </w:r>
    </w:p>
    <w:bookmarkStart w:id="28" w:name="fuente-de-información-del-dataset"/>
    <w:p>
      <w:pPr>
        <w:pStyle w:val="Heading3"/>
      </w:pPr>
      <w:r>
        <w:t xml:space="preserve">3.1 Fuente de información del dataset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Fuente externa</w:t>
      </w:r>
    </w:p>
    <w:p>
      <w:pPr>
        <w:pStyle w:val="Compact"/>
        <w:numPr>
          <w:ilvl w:val="1"/>
          <w:numId w:val="1022"/>
        </w:numPr>
      </w:pPr>
      <w:r>
        <w:t xml:space="preserve">Dataset de imágenes RM lumbares con anotaciones tipo COCO/YOLO para discos y hernias discales lumbares (p. ej. Roboflow u otro repositorio público con licencia CC BY 4.0).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Estructura:</w:t>
      </w:r>
    </w:p>
    <w:p>
      <w:pPr>
        <w:pStyle w:val="Compact"/>
        <w:numPr>
          <w:ilvl w:val="2"/>
          <w:numId w:val="1023"/>
        </w:numPr>
      </w:pPr>
      <w:r>
        <w:t xml:space="preserve">Carpeta de imágenes RM (512×512 px, plano sagital).</w:t>
      </w:r>
      <w:r>
        <w:br/>
      </w:r>
    </w:p>
    <w:p>
      <w:pPr>
        <w:pStyle w:val="Compact"/>
        <w:numPr>
          <w:ilvl w:val="2"/>
          <w:numId w:val="1023"/>
        </w:numPr>
      </w:pPr>
      <w:r>
        <w:t xml:space="preserve">Archivo JSON/YOLO con anotaciones:</w:t>
      </w:r>
      <w:r>
        <w:t xml:space="preserve"> </w:t>
      </w:r>
      <w:r>
        <w:rPr>
          <w:rStyle w:val="VerbatimChar"/>
        </w:rPr>
        <w:t xml:space="preserve">image_id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annotations[].bbox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annotations[].category_id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annotations[].area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categories[]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Fuentes internas (clínicas)</w:t>
      </w:r>
    </w:p>
    <w:p>
      <w:pPr>
        <w:pStyle w:val="Compact"/>
        <w:numPr>
          <w:ilvl w:val="1"/>
          <w:numId w:val="1024"/>
        </w:numPr>
      </w:pPr>
      <w:r>
        <w:t xml:space="preserve">Historia clínica electrónica y registros del especialista (antecedentes, comorbilidades, escala EVA, decisiones terapéuticas).</w:t>
      </w:r>
      <w:r>
        <w:br/>
      </w:r>
    </w:p>
    <w:p>
      <w:pPr>
        <w:pStyle w:val="Compact"/>
        <w:numPr>
          <w:ilvl w:val="1"/>
          <w:numId w:val="1024"/>
        </w:numPr>
      </w:pPr>
      <w:r>
        <w:t xml:space="preserve">Información de contexto para el módulo prescriptivo (LLM).</w:t>
      </w:r>
    </w:p>
    <w:bookmarkEnd w:id="28"/>
    <w:bookmarkStart w:id="29" w:name="soluciones-y-algoritmos"/>
    <w:p>
      <w:pPr>
        <w:pStyle w:val="Heading3"/>
      </w:pPr>
      <w:r>
        <w:t xml:space="preserve">3.2 Soluciones y algoritmos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05"/>
        <w:gridCol w:w="1194"/>
        <w:gridCol w:w="1760"/>
        <w:gridCol w:w="1320"/>
        <w:gridCol w:w="1382"/>
        <w:gridCol w:w="12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Solución ML/IA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S‑1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 (detección)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MobileNetV2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S‑2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Precisión / 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R‑CNN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S‑3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Supervisado +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a decisión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(mejor var.)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R‑CNN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(Gemini/OpenAI)</w:t>
            </w:r>
          </w:p>
        </w:tc>
      </w:tr>
    </w:tbl>
    <w:bookmarkEnd w:id="29"/>
    <w:bookmarkStart w:id="30" w:name="soluciones-y-variables"/>
    <w:p>
      <w:pPr>
        <w:pStyle w:val="Heading3"/>
      </w:pPr>
      <w:r>
        <w:t xml:space="preserve">3.3 Soluciones y variables</w:t>
      </w:r>
    </w:p>
    <w:p>
      <w:pPr>
        <w:pStyle w:val="FirstParagraph"/>
      </w:pPr>
      <w:r>
        <w:t xml:space="preserve">Esta sección adapta la tabla de soluciones y variables al formato del informe de ejemplo.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1"/>
        <w:gridCol w:w="1773"/>
        <w:gridCol w:w="2259"/>
        <w:gridCol w:w="24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Solución Técnica (ML/IA/otro)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DataSet /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 detección de objetos</w:t>
            </w:r>
            <w:r>
              <w:t xml:space="preserve"> </w:t>
            </w:r>
            <w:r>
              <w:rPr>
                <w:b/>
                <w:bCs/>
              </w:rPr>
              <w:t xml:space="preserve">YOLOv8 (Ultralytics)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 de hernia lumbar en RM (Sí/No)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del dataset:</w:t>
            </w:r>
            <w:r>
              <w:t xml:space="preserve"> </w:t>
            </w:r>
            <w:r>
              <w:rPr>
                <w:rStyle w:val="VerbatimChar"/>
              </w:rPr>
              <w:t xml:space="preserve">0 = disc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 = hdisc</w:t>
            </w:r>
            <w:r>
              <w:t xml:space="preserve"> </w:t>
            </w:r>
            <w:r>
              <w:t xml:space="preserve">(hernia discal)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 y clasifica hernias en cortes de RM. Entrenado con anotaciones tipo YOLO.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  <w:r>
              <w:t xml:space="preserve"> </w:t>
            </w:r>
            <w:r>
              <w:rPr>
                <w:b/>
                <w:bCs/>
              </w:rPr>
              <w:t xml:space="preserve">Faster R-CNN ResNet50</w:t>
            </w:r>
            <w:r>
              <w:t xml:space="preserve"> </w:t>
            </w:r>
            <w:r>
              <w:t xml:space="preserve">(baseline comparativo)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Exactitud del diagnóstico (apoyo a decisión del médico)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Bounding boxes en formato</w:t>
            </w:r>
            <w:r>
              <w:t xml:space="preserve"> </w:t>
            </w:r>
            <w:r>
              <w:rPr>
                <w:rStyle w:val="VerbatimChar"/>
              </w:rPr>
              <w:t xml:space="preserve">[xmin, ymin, xmax, ymax]</w:t>
            </w:r>
            <w:r>
              <w:t xml:space="preserve">, etiquetas,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 como modelo comparativo a YOLOv8.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  <w:r>
              <w:t xml:space="preserve"> </w:t>
            </w:r>
            <w:r>
              <w:rPr>
                <w:b/>
                <w:bCs/>
              </w:rPr>
              <w:t xml:space="preserve">SSD MobileNetV2</w:t>
            </w:r>
            <w:r>
              <w:t xml:space="preserve"> </w:t>
            </w:r>
            <w:r>
              <w:t xml:space="preserve">(baseline liviano)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inferencia / respuesta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Imágenes normalizadas a tamaño fijo (ej. 320×320) + anotaciones YOLO convertidas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Evalúa trade‑off precisión vs. velocidad (uso en tiempo casi real).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de</w:t>
            </w:r>
            <w:r>
              <w:t xml:space="preserve"> </w:t>
            </w:r>
            <w:r>
              <w:rPr>
                <w:b/>
                <w:bCs/>
              </w:rPr>
              <w:t xml:space="preserve">Transcripción de audio a texto</w:t>
            </w:r>
            <w:r>
              <w:t xml:space="preserve"> </w:t>
            </w:r>
            <w:r>
              <w:t xml:space="preserve">(IA externa)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estructurado del dictado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de audio (</w:t>
            </w:r>
            <w:r>
              <w:rPr>
                <w:rStyle w:val="VerbatimChar"/>
              </w:rPr>
              <w:t xml:space="preserve">audio/mpeg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audio/wav</w:t>
            </w:r>
            <w:r>
              <w:t xml:space="preserve">, etc.), texto transcrito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 texto clínico adicional al módulo de diagnóstico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de</w:t>
            </w:r>
            <w:r>
              <w:t xml:space="preserve"> </w:t>
            </w:r>
            <w:r>
              <w:rPr>
                <w:b/>
                <w:bCs/>
              </w:rPr>
              <w:t xml:space="preserve">IA de lenguaje (Gemini/OpenAI)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textual de diagnóstico y recomendaciones clínicas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clínico (texto) + resultados del modelo de detección (clases, scores, bounding 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resumen legible para el médico y recomendación estandarizada.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b/>
                <w:bCs/>
              </w:rPr>
              <w:t xml:space="preserve">NestJS (API 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pacientes, citas, diagnósticos y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Entidades:</w:t>
            </w:r>
            <w:r>
              <w:t xml:space="preserve"> </w:t>
            </w:r>
            <w:r>
              <w:rPr>
                <w:rStyle w:val="VerbatimChar"/>
              </w:rPr>
              <w:t xml:space="preserve">Paciente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HistoriaClinica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ImagenRM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Orquesta front, ML y base de 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  <w:r>
              <w:t xml:space="preserve"> </w:t>
            </w:r>
            <w:r>
              <w:rPr>
                <w:b/>
                <w:bCs/>
              </w:rPr>
              <w:t xml:space="preserve">React/TypeScript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de usuario (médico/administrador)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de interfaz, formularios, gráficos de evolución (EVA, severidad)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 API del backend y muestra resultados al usuario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de</w:t>
            </w:r>
            <w:r>
              <w:t xml:space="preserve"> </w:t>
            </w:r>
            <w:r>
              <w:rPr>
                <w:b/>
                <w:bCs/>
              </w:rPr>
              <w:t xml:space="preserve">notificaciones (WhatsApp)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de resultados y recordatorios de cita a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JSON de mensaje (número, texto, plantillas)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Configurado en módulo</w:t>
            </w:r>
            <w:r>
              <w:t xml:space="preserve"> </w:t>
            </w:r>
            <w:r>
              <w:rPr>
                <w:rStyle w:val="VerbatimChar"/>
              </w:rPr>
              <w:t xml:space="preserve">notificaciones</w:t>
            </w:r>
            <w:r>
              <w:t xml:space="preserve"> </w:t>
            </w:r>
            <w:r>
              <w:t xml:space="preserve">del backend.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4" w:name="preparación-de-datos-y-aplicación"/>
    <w:p>
      <w:pPr>
        <w:pStyle w:val="Heading2"/>
      </w:pPr>
      <w:r>
        <w:t xml:space="preserve">4. PREPARACIÓN DE DATOS Y APLICACIÓN</w:t>
      </w:r>
    </w:p>
    <w:bookmarkStart w:id="36" w:name="calidad-de-data"/>
    <w:p>
      <w:pPr>
        <w:pStyle w:val="Heading3"/>
      </w:pPr>
      <w:r>
        <w:t xml:space="preserve">4.1 Calidad de data</w:t>
      </w:r>
    </w:p>
    <w:p>
      <w:pPr>
        <w:pStyle w:val="FirstParagraph"/>
      </w:pPr>
      <w:r>
        <w:t xml:space="preserve">Se evalúan las dimensiones clásicas de calidad (inspirado en el informe de ejemplo).</w:t>
      </w:r>
    </w:p>
    <w:bookmarkStart w:id="32" w:name="integridad-de-entidad"/>
    <w:p>
      <w:pPr>
        <w:pStyle w:val="Heading4"/>
      </w:pPr>
      <w:r>
        <w:t xml:space="preserve">4.1.1 Integridad de entidad</w:t>
      </w:r>
    </w:p>
    <w:p>
      <w:pPr>
        <w:pStyle w:val="Compact"/>
        <w:numPr>
          <w:ilvl w:val="0"/>
          <w:numId w:val="1025"/>
        </w:numPr>
      </w:pPr>
      <w:r>
        <w:t xml:space="preserve">Cada imagen RM se identifica por un</w:t>
      </w:r>
      <w:r>
        <w:t xml:space="preserve"> </w:t>
      </w:r>
      <w:r>
        <w:rPr>
          <w:rStyle w:val="VerbatimChar"/>
        </w:rPr>
        <w:t xml:space="preserve">image_id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 </w:t>
      </w:r>
      <w:r>
        <w:t xml:space="preserve">únicos.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Cada anotación (bounding box) posee un identificador único y se asocia a una sola imagen.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No se encontraron registros duplicados exactos en el conjunto final.</w:t>
      </w:r>
    </w:p>
    <w:bookmarkEnd w:id="32"/>
    <w:bookmarkStart w:id="33" w:name="integridad-de-dominio"/>
    <w:p>
      <w:pPr>
        <w:pStyle w:val="Heading4"/>
      </w:pPr>
      <w:r>
        <w:t xml:space="preserve">4.1.2 Integridad de dominio</w:t>
      </w:r>
    </w:p>
    <w:p>
      <w:pPr>
        <w:pStyle w:val="FirstParagraph"/>
      </w:pPr>
      <w:r>
        <w:t xml:space="preserve">Reglas de dominio principales: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bbox[0]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bbox[1]</w:t>
      </w:r>
      <w:r>
        <w:t xml:space="preserve"> </w:t>
      </w:r>
      <w:r>
        <w:t xml:space="preserve">(x, y) dentro del rango [0, 512) en píxeles.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bbox[2]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bbox[3]</w:t>
      </w:r>
      <w:r>
        <w:t xml:space="preserve"> </w:t>
      </w:r>
      <w:r>
        <w:t xml:space="preserve">(width, height) mayores a 0 y hasta 512.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category_id</w:t>
      </w:r>
      <w:r>
        <w:t xml:space="preserve"> </w:t>
      </w:r>
      <w:r>
        <w:t xml:space="preserve">solo toma valores permitidos (ej. {0, 1} para disc / hdisc).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Todas las imágenes tienen resolución 512×512 px y modo de color compatible con RM.</w:t>
      </w:r>
    </w:p>
    <w:p>
      <w:pPr>
        <w:pStyle w:val="FirstParagraph"/>
      </w:pPr>
      <w:r>
        <w:t xml:space="preserve">Se detectaron casos donde</w:t>
      </w:r>
      <w:r>
        <w:t xml:space="preserve"> </w:t>
      </w:r>
      <w:r>
        <w:rPr>
          <w:rStyle w:val="VerbatimChar"/>
        </w:rPr>
        <w:t xml:space="preserve">bbox</w:t>
      </w:r>
      <w:r>
        <w:t xml:space="preserve"> </w:t>
      </w:r>
      <w:r>
        <w:t xml:space="preserve">se almacena como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lo que requiere conversión 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antes del entrenamiento.</w:t>
      </w:r>
    </w:p>
    <w:bookmarkEnd w:id="33"/>
    <w:bookmarkStart w:id="34" w:name="evaluación-de-nulos"/>
    <w:p>
      <w:pPr>
        <w:pStyle w:val="Heading4"/>
      </w:pPr>
      <w:r>
        <w:t xml:space="preserve">4.1.3 Evaluación de nulos</w:t>
      </w:r>
    </w:p>
    <w:p>
      <w:pPr>
        <w:pStyle w:val="FirstParagraph"/>
      </w:pPr>
      <w:r>
        <w:t xml:space="preserve">Se verifican campos críticos: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image_id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bbox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: sin valores nulos.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En las tablas clínicas (pacientes, historias, citas) se controlan campos obligatorios mediante validaciones de backend (DTOs y entidades en NestJS).</w:t>
      </w:r>
    </w:p>
    <w:bookmarkEnd w:id="34"/>
    <w:bookmarkStart w:id="35" w:name="validaciones-de-negocio"/>
    <w:p>
      <w:pPr>
        <w:pStyle w:val="Heading4"/>
      </w:pPr>
      <w:r>
        <w:t xml:space="preserve">4.1.4 Validaciones de negocio</w:t>
      </w:r>
    </w:p>
    <w:p>
      <w:pPr>
        <w:pStyle w:val="Compact"/>
        <w:numPr>
          <w:ilvl w:val="0"/>
          <w:numId w:val="1028"/>
        </w:numPr>
      </w:pPr>
      <w:r>
        <w:t xml:space="preserve">Ningún bounding box puede salir de los límites de la imagen (512×512 px).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Cada imagen debe contener un número clínicamente coherente de discos anotados (segmento lumbar L1–S1).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Las variables clínicas (edad, comorbilidades) se validan contra rangos razonables antes de ser usadas por el LLM.</w:t>
      </w:r>
    </w:p>
    <w:bookmarkEnd w:id="35"/>
    <w:bookmarkEnd w:id="36"/>
    <w:bookmarkStart w:id="40" w:name="prototipos-de-aplicación"/>
    <w:p>
      <w:pPr>
        <w:pStyle w:val="Heading3"/>
      </w:pPr>
      <w:r>
        <w:t xml:space="preserve">4.2 Prototipos de aplicación</w:t>
      </w:r>
    </w:p>
    <w:bookmarkStart w:id="37" w:name="visión-general-módulos-principales"/>
    <w:p>
      <w:pPr>
        <w:pStyle w:val="Heading4"/>
      </w:pPr>
      <w:r>
        <w:t xml:space="preserve">4.2.1 Visión general (módulos principales)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Frontend (Médico/Administrador)</w:t>
      </w:r>
    </w:p>
    <w:p>
      <w:pPr>
        <w:pStyle w:val="Compact"/>
        <w:numPr>
          <w:ilvl w:val="1"/>
          <w:numId w:val="1030"/>
        </w:numPr>
      </w:pPr>
      <w:r>
        <w:t xml:space="preserve">Login, Dashboard, Pacientes, Historia Clínica, Citas, Calendario, Diagnóstico IA, Usuarios, API Keys.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Backend (API REST)</w:t>
      </w:r>
    </w:p>
    <w:p>
      <w:pPr>
        <w:pStyle w:val="Compact"/>
        <w:numPr>
          <w:ilvl w:val="1"/>
          <w:numId w:val="1031"/>
        </w:numPr>
      </w:pPr>
      <w:r>
        <w:t xml:space="preserve">Autenticación, gestión de usuarios, pacientes, historias clínicas, citas, imágenes, diagnósticos, notificaciones.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Servicio ML (Detección de hernia)</w:t>
      </w:r>
    </w:p>
    <w:p>
      <w:pPr>
        <w:pStyle w:val="Compact"/>
        <w:numPr>
          <w:ilvl w:val="1"/>
          <w:numId w:val="1032"/>
        </w:numPr>
      </w:pPr>
      <w:r>
        <w:t xml:space="preserve">API de predicción sobre imágenes RM; carga de modelos YOLOv8 y Torchvision, inferencia y normalización de resultados.</w:t>
      </w:r>
    </w:p>
    <w:bookmarkEnd w:id="37"/>
    <w:bookmarkStart w:id="38" w:name="Xdddc643858f7db07515540c7f16ef19988912db"/>
    <w:p>
      <w:pPr>
        <w:pStyle w:val="Heading4"/>
      </w:pPr>
      <w:r>
        <w:t xml:space="preserve">4.2.2 Product Backlog (funciones principales del software)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4"/>
        <w:gridCol w:w="241"/>
        <w:gridCol w:w="2010"/>
        <w:gridCol w:w="47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acceso seguro al sistema a médicos y administradores mediante correo institucional y contraseña.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con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Autenticar usuarios usando OAuth2 con Google y generar token JWT.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Administrar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listar, editar y desactivar cuentas de usuario y asignarles un rol (Médico, Administrador).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nuevos pacientes con datos personales, clínicos y de contacto.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Buscar/Listar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pacientes, filtrarlos por nombre/DNI y acceder a su historial.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y actualizar antecedentes, diagnósticos previos y datos clínicos del paciente.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Programar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nuevas citas médicas asociadas a un paciente y un médico.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Actualizar/Cancelar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Reprogramar o cancelar citas existentes, controlando estados.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calendario y estadísticas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Visualizar citas por día/semana/mes y estadísticas por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Imágenes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 imágenes de resonancia magnética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Asociar imágenes RM a una cita para posterior análisis por el modelo de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Imágenes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Visualizar imágenes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y visualizar imágenes RM almacenadas para una cita específica.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diagnóstico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el modelo de detección sobre las imágenes de la cita y obtener detecciones de hernia lumbar.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informe de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Combinar resultados de detección + texto del médico para generar un informe estructurado con IA de lenguaje.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Aprobar/ajustar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que el médico valide o corrija el diagnóstico generado por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Analítica de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evolución (EVA y severidad)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gráficos de tendencia del dolor (EVA) y severidad de hernia a lo largo del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resultados por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al paciente un resumen de la cita y del diagnóstico a través de WhatsApp.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Configuración / 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y rotar claves de acceso a proveedores externos de IA y mensajería.</w:t>
            </w:r>
          </w:p>
        </w:tc>
      </w:tr>
    </w:tbl>
    <w:bookmarkEnd w:id="38"/>
    <w:bookmarkStart w:id="39" w:name="X6775b6ceedd3cfbcb1ee86924fb80a1f303450d"/>
    <w:p>
      <w:pPr>
        <w:pStyle w:val="Heading4"/>
      </w:pPr>
      <w:r>
        <w:t xml:space="preserve">4.2.3 Prototipo de funciones principales (ejemplos)</w:t>
      </w:r>
    </w:p>
    <w:p>
      <w:pPr>
        <w:pStyle w:val="FirstParagraph"/>
      </w:pPr>
      <w:r>
        <w:rPr>
          <w:b/>
          <w:bCs/>
        </w:rPr>
        <w:t xml:space="preserve">FUNCIÓN F12 – Ejecutar diagnóstico IA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seleccionar una cita con imágenes RM ya cargadas, escoger un modelo (YOLOv8n / YOLOv8s), ajustar parámetros de confianza/IOU y enviar la solicitud al servicio ML.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Prototipo (vista Frontend – descripción):</w:t>
      </w:r>
    </w:p>
    <w:p>
      <w:pPr>
        <w:pStyle w:val="Compact"/>
        <w:numPr>
          <w:ilvl w:val="1"/>
          <w:numId w:val="1034"/>
        </w:numPr>
      </w:pPr>
      <w:r>
        <w:t xml:space="preserve">Área izquierda: selector de paciente y lista de citas.</w:t>
      </w:r>
      <w:r>
        <w:br/>
      </w:r>
    </w:p>
    <w:p>
      <w:pPr>
        <w:pStyle w:val="Compact"/>
        <w:numPr>
          <w:ilvl w:val="1"/>
          <w:numId w:val="1034"/>
        </w:numPr>
      </w:pPr>
      <w:r>
        <w:t xml:space="preserve">Área central: tarjeta</w:t>
      </w:r>
      <w:r>
        <w:t xml:space="preserve"> </w:t>
      </w:r>
      <w:r>
        <w:t xml:space="preserve">“</w:t>
      </w:r>
      <w:r>
        <w:t xml:space="preserve">Configurar análisis</w:t>
      </w:r>
      <w:r>
        <w:t xml:space="preserve">”</w:t>
      </w:r>
      <w:r>
        <w:t xml:space="preserve"> </w:t>
      </w:r>
      <w:r>
        <w:t xml:space="preserve">(modelo, conf, IOU) + botón</w:t>
      </w:r>
      <w:r>
        <w:t xml:space="preserve"> </w:t>
      </w:r>
      <w:r>
        <w:t xml:space="preserve">“</w:t>
      </w:r>
      <w:r>
        <w:t xml:space="preserve">Analizar imagen</w:t>
      </w:r>
      <w:r>
        <w:t xml:space="preserve">”</w:t>
      </w:r>
      <w:r>
        <w:t xml:space="preserve">.</w:t>
      </w:r>
      <w:r>
        <w:br/>
      </w:r>
    </w:p>
    <w:p>
      <w:pPr>
        <w:pStyle w:val="Compact"/>
        <w:numPr>
          <w:ilvl w:val="1"/>
          <w:numId w:val="1034"/>
        </w:numPr>
      </w:pPr>
      <w:r>
        <w:t xml:space="preserve">Área derecha: visor de imagen con bounding boxes y panel de resultados (nº de hernias, severidad estimada).</w:t>
      </w:r>
    </w:p>
    <w:p>
      <w:pPr>
        <w:pStyle w:val="FirstParagraph"/>
      </w:pPr>
      <w:r>
        <w:rPr>
          <w:b/>
          <w:bCs/>
        </w:rPr>
        <w:t xml:space="preserve">FUNCIÓN F15 – Ver evolución de paciente (EVA y severidad)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Muestra la evolución temporal del dolor (EVA) y de la severidad de la hernia (score 0–100) en base a diagnósticos registrados.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Prototipo:</w:t>
      </w:r>
    </w:p>
    <w:p>
      <w:pPr>
        <w:pStyle w:val="Compact"/>
        <w:numPr>
          <w:ilvl w:val="1"/>
          <w:numId w:val="1036"/>
        </w:numPr>
      </w:pPr>
      <w:r>
        <w:t xml:space="preserve">Encabezado con datos del paciente.</w:t>
      </w:r>
      <w:r>
        <w:br/>
      </w:r>
    </w:p>
    <w:p>
      <w:pPr>
        <w:pStyle w:val="Compact"/>
        <w:numPr>
          <w:ilvl w:val="1"/>
          <w:numId w:val="1036"/>
        </w:numPr>
      </w:pPr>
      <w:r>
        <w:t xml:space="preserve">Dos gráficos de línea (EVA y severidad) con eje X = fecha de cita.</w:t>
      </w:r>
      <w:r>
        <w:br/>
      </w:r>
    </w:p>
    <w:p>
      <w:pPr>
        <w:pStyle w:val="Compact"/>
        <w:numPr>
          <w:ilvl w:val="1"/>
          <w:numId w:val="1036"/>
        </w:numPr>
      </w:pPr>
      <w:r>
        <w:t xml:space="preserve">Tabla cronológica de citas y valores asociados.</w:t>
      </w:r>
    </w:p>
    <w:p>
      <w:pPr>
        <w:pStyle w:val="FirstParagraph"/>
      </w:pPr>
      <w:r>
        <w:rPr>
          <w:b/>
          <w:bCs/>
        </w:rPr>
        <w:t xml:space="preserve">FUNCIÓN F16 – Enviar resultados por WhatsApp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Desde el detalle de una cita completada permite enviar un resumen estructurado (fecha, médico, hallazgos, recomendaciones) vía WhatsApp, usando el módulo de notificaciones.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Prototipo:</w:t>
      </w:r>
    </w:p>
    <w:p>
      <w:pPr>
        <w:pStyle w:val="Compact"/>
        <w:numPr>
          <w:ilvl w:val="1"/>
          <w:numId w:val="1038"/>
        </w:numPr>
      </w:pPr>
      <w:r>
        <w:t xml:space="preserve">Botón</w:t>
      </w:r>
      <w:r>
        <w:t xml:space="preserve"> </w:t>
      </w:r>
      <w:r>
        <w:t xml:space="preserve">“</w:t>
      </w:r>
      <w:r>
        <w:t xml:space="preserve">Enviar por WhatsApp</w:t>
      </w:r>
      <w:r>
        <w:t xml:space="preserve">”</w:t>
      </w:r>
      <w:r>
        <w:t xml:space="preserve"> </w:t>
      </w:r>
      <w:r>
        <w:t xml:space="preserve">en el detalle de la cita.</w:t>
      </w:r>
      <w:r>
        <w:br/>
      </w:r>
    </w:p>
    <w:p>
      <w:pPr>
        <w:pStyle w:val="Compact"/>
        <w:numPr>
          <w:ilvl w:val="1"/>
          <w:numId w:val="1038"/>
        </w:numPr>
      </w:pPr>
      <w:r>
        <w:t xml:space="preserve">Diálogo de confirmación con número de contacto y texto del mensaje.</w:t>
      </w:r>
      <w:r>
        <w:br/>
      </w:r>
    </w:p>
    <w:p>
      <w:pPr>
        <w:pStyle w:val="Compact"/>
        <w:numPr>
          <w:ilvl w:val="1"/>
          <w:numId w:val="1038"/>
        </w:numPr>
      </w:pPr>
      <w:r>
        <w:t xml:space="preserve">Mensaje de éxito/error según respuesta del servicio externo.</w:t>
      </w:r>
    </w:p>
    <w:p>
      <w:pPr>
        <w:pStyle w:val="FirstParagraph"/>
      </w:pPr>
      <w:r>
        <w:rPr>
          <w:i/>
          <w:iCs/>
        </w:rPr>
        <w:t xml:space="preserve">(El mismo formato se puede clonar para todas las funciones F01–F17.)</w:t>
      </w:r>
    </w:p>
    <w:bookmarkEnd w:id="39"/>
    <w:bookmarkEnd w:id="40"/>
    <w:bookmarkStart w:id="42" w:name="arquitectura-de-la-aplicación"/>
    <w:p>
      <w:pPr>
        <w:pStyle w:val="Heading3"/>
      </w:pPr>
      <w:r>
        <w:t xml:space="preserve">4.3 Arquitectura de la aplicación</w:t>
      </w:r>
    </w:p>
    <w:bookmarkStart w:id="41" w:name="descripción-general"/>
    <w:p>
      <w:pPr>
        <w:pStyle w:val="Heading4"/>
      </w:pPr>
      <w:r>
        <w:t xml:space="preserve">4.3.1 Descripción general</w:t>
      </w:r>
    </w:p>
    <w:p>
      <w:pPr>
        <w:pStyle w:val="FirstParagraph"/>
      </w:pPr>
      <w:r>
        <w:t xml:space="preserve">Arquitectura en</w:t>
      </w:r>
      <w:r>
        <w:t xml:space="preserve"> </w:t>
      </w:r>
      <w:r>
        <w:rPr>
          <w:b/>
          <w:bCs/>
        </w:rPr>
        <w:t xml:space="preserve">tres capas principales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Frontend Web (React/TypeScript)</w:t>
      </w:r>
    </w:p>
    <w:p>
      <w:pPr>
        <w:pStyle w:val="Compact"/>
        <w:numPr>
          <w:ilvl w:val="1"/>
          <w:numId w:val="1040"/>
        </w:numPr>
      </w:pPr>
      <w:r>
        <w:t xml:space="preserve">Se comunica solo con el backend vía HTTP/HTTPS (API REST).</w:t>
      </w:r>
      <w:r>
        <w:br/>
      </w:r>
    </w:p>
    <w:p>
      <w:pPr>
        <w:pStyle w:val="Compact"/>
        <w:numPr>
          <w:ilvl w:val="1"/>
          <w:numId w:val="1040"/>
        </w:numPr>
      </w:pPr>
      <w:r>
        <w:t xml:space="preserve">Implementa pantallas de Login, Pacientes, Historia Clínica, Citas, Calendario, Diagnóstico IA, Usuarios, API Keys.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Backend (NestJS / Node.js)</w:t>
      </w:r>
    </w:p>
    <w:p>
      <w:pPr>
        <w:pStyle w:val="Compact"/>
        <w:numPr>
          <w:ilvl w:val="1"/>
          <w:numId w:val="1041"/>
        </w:numPr>
      </w:pPr>
      <w:r>
        <w:t xml:space="preserve">Expuesto como API REST.</w:t>
      </w:r>
      <w:r>
        <w:br/>
      </w:r>
    </w:p>
    <w:p>
      <w:pPr>
        <w:pStyle w:val="Compact"/>
        <w:numPr>
          <w:ilvl w:val="1"/>
          <w:numId w:val="1041"/>
        </w:numPr>
      </w:pPr>
      <w:r>
        <w:t xml:space="preserve">Módulos: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historia-clinica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integrations</w:t>
      </w:r>
      <w:r>
        <w:t xml:space="preserve">.</w:t>
      </w:r>
      <w:r>
        <w:br/>
      </w:r>
    </w:p>
    <w:p>
      <w:pPr>
        <w:pStyle w:val="Compact"/>
        <w:numPr>
          <w:ilvl w:val="1"/>
          <w:numId w:val="1041"/>
        </w:numPr>
      </w:pPr>
      <w:r>
        <w:t xml:space="preserve">Se comunica con:</w:t>
      </w:r>
    </w:p>
    <w:p>
      <w:pPr>
        <w:pStyle w:val="Compact"/>
        <w:numPr>
          <w:ilvl w:val="2"/>
          <w:numId w:val="1042"/>
        </w:numPr>
      </w:pPr>
      <w:r>
        <w:t xml:space="preserve">Base de datos (p. ej. PostgreSQL).</w:t>
      </w:r>
      <w:r>
        <w:br/>
      </w:r>
    </w:p>
    <w:p>
      <w:pPr>
        <w:pStyle w:val="Compact"/>
        <w:numPr>
          <w:ilvl w:val="2"/>
          <w:numId w:val="1042"/>
        </w:numPr>
      </w:pPr>
      <w:r>
        <w:t xml:space="preserve">Servicio ML (</w:t>
      </w:r>
      <w:r>
        <w:rPr>
          <w:rStyle w:val="VerbatimChar"/>
        </w:rPr>
        <w:t xml:space="preserve">hernia-detection-python-</w:t>
      </w:r>
      <w:r>
        <w:t xml:space="preserve">) para predicción.</w:t>
      </w:r>
      <w:r>
        <w:br/>
      </w:r>
    </w:p>
    <w:p>
      <w:pPr>
        <w:pStyle w:val="Compact"/>
        <w:numPr>
          <w:ilvl w:val="2"/>
          <w:numId w:val="1042"/>
        </w:numPr>
      </w:pPr>
      <w:r>
        <w:t xml:space="preserve">Servicios externos: IA de lenguaje y WhatsApp.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Servicio ML (FastAPI/Python – YOLOv8 y Torchvision)</w:t>
      </w:r>
    </w:p>
    <w:p>
      <w:pPr>
        <w:pStyle w:val="Compact"/>
        <w:numPr>
          <w:ilvl w:val="1"/>
          <w:numId w:val="1043"/>
        </w:numPr>
      </w:pPr>
      <w:r>
        <w:t xml:space="preserve">Endpoints tipo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que reciben imágenes o rutas, cargan modelos YOLOv8 / Faster R‑CNN / SSD y devuelven detecciones en JSON.</w:t>
      </w:r>
      <w:r>
        <w:br/>
      </w:r>
    </w:p>
    <w:p>
      <w:pPr>
        <w:pStyle w:val="Compact"/>
        <w:numPr>
          <w:ilvl w:val="1"/>
          <w:numId w:val="1043"/>
        </w:numPr>
      </w:pPr>
      <w:r>
        <w:t xml:space="preserve">Scripts principales en</w:t>
      </w:r>
      <w:r>
        <w:t xml:space="preserve"> </w:t>
      </w:r>
      <w:r>
        <w:rPr>
          <w:rStyle w:val="VerbatimChar"/>
        </w:rPr>
        <w:t xml:space="preserve">hernia-detection-python-/main/main.py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main/routers/predict.py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Base de datos</w:t>
      </w:r>
    </w:p>
    <w:p>
      <w:pPr>
        <w:pStyle w:val="Compact"/>
        <w:numPr>
          <w:ilvl w:val="1"/>
          <w:numId w:val="1044"/>
        </w:numPr>
      </w:pPr>
      <w:r>
        <w:t xml:space="preserve">Esquema con tablas para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historias_clinicas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imagenes_rm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diagnosticos</w:t>
      </w:r>
      <w:r>
        <w:t xml:space="preserve">, etc.</w:t>
      </w:r>
    </w:p>
    <w:bookmarkEnd w:id="41"/>
    <w:bookmarkEnd w:id="42"/>
    <w:bookmarkStart w:id="43" w:name="modelo-de-datos-alto-nivel"/>
    <w:p>
      <w:pPr>
        <w:pStyle w:val="Heading3"/>
      </w:pPr>
      <w:r>
        <w:t xml:space="preserve">4.4 Modelo de datos (alto nivel)</w:t>
      </w:r>
    </w:p>
    <w:p>
      <w:pPr>
        <w:pStyle w:val="FirstParagraph"/>
      </w:pPr>
      <w:r>
        <w:t xml:space="preserve">Entidades principales: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(id, nombre, correo, contraseña hash, rol, estado).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(id, nombre, permisos).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Paciente</w:t>
      </w:r>
      <w:r>
        <w:t xml:space="preserve"> </w:t>
      </w:r>
      <w:r>
        <w:t xml:space="preserve">(id, DNI, nombres, apellidos, fecha_nacimiento, sexo, ocupación, tabaquismo, contacto, activo).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HistoriaClinica</w:t>
      </w:r>
      <w:r>
        <w:t xml:space="preserve"> </w:t>
      </w:r>
      <w:r>
        <w:t xml:space="preserve">(id, paciente_id, antecedentes, episodios_dolor, tratamientos, observaciones).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Cita</w:t>
      </w:r>
      <w:r>
        <w:t xml:space="preserve"> </w:t>
      </w:r>
      <w:r>
        <w:t xml:space="preserve">(id UUID, paciente_id, medico_id, fecha_hora, motivo, estado, referencias a imágenes y diagnóstico).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ImagenRM</w:t>
      </w:r>
      <w:r>
        <w:t xml:space="preserve"> </w:t>
      </w:r>
      <w:r>
        <w:t xml:space="preserve">(id UUID, cita_id, nombre_archivo, mimeType, datos/binario o ruta).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Diagnostico</w:t>
      </w:r>
      <w:r>
        <w:t xml:space="preserve"> </w:t>
      </w:r>
      <w:r>
        <w:t xml:space="preserve">(id, cita_id, modelo_utilizado, severidad, num_hernias, texto_ia, comentarios_medico, aprobado).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odelado"/>
    <w:p>
      <w:pPr>
        <w:pStyle w:val="Heading2"/>
      </w:pPr>
      <w:r>
        <w:t xml:space="preserve">5. MODELADO</w:t>
      </w:r>
    </w:p>
    <w:bookmarkStart w:id="45" w:name="aplicación-de-algoritmos"/>
    <w:p>
      <w:pPr>
        <w:pStyle w:val="Heading3"/>
      </w:pPr>
      <w:r>
        <w:t xml:space="preserve">5.1 Aplicación de algoritmos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0"/>
        <w:gridCol w:w="1679"/>
        <w:gridCol w:w="1316"/>
        <w:gridCol w:w="1770"/>
        <w:gridCol w:w="16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aplicado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librerías importadas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aplicación del algoritmo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Detectar hernias lumbares en imágenes de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Entrenar y usar un modelo de detección de objetos sobre RM lumbares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(n/s/m/l) –</w:t>
            </w:r>
            <w:r>
              <w:t xml:space="preserve"> </w:t>
            </w:r>
            <w:r>
              <w:rPr>
                <w:b/>
                <w:bCs/>
              </w:rPr>
              <w:t xml:space="preserve">Ultralytics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ultralytics import YOLO</w:t>
            </w:r>
            <w:r>
              <w:t xml:space="preserve"> </w:t>
            </w:r>
            <w:r>
              <w:t xml:space="preserve">(en</w:t>
            </w:r>
            <w:r>
              <w:t xml:space="preserve"> </w:t>
            </w:r>
            <w:r>
              <w:rPr>
                <w:rStyle w:val="VerbatimChar"/>
              </w:rPr>
              <w:t xml:space="preserve">train/train_models.py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main/model_loader.py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  <w:r>
              <w:t xml:space="preserve"> </w:t>
            </w:r>
            <w:r>
              <w:rPr>
                <w:rStyle w:val="VerbatimChar"/>
              </w:rPr>
              <w:t xml:space="preserve">train_yolov8(...)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model.train(...)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train/train_models.py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Comparar rendimiento con otros modelos de detección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Entrenar modelos de Torchvision con mismo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R‑CNN ResNet50; SSD MobileNetV2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torchvision.models.detection import fasterrcnn_resnet50_fpn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  <w:r>
              <w:t xml:space="preserve"> </w:t>
            </w:r>
            <w:r>
              <w:rPr>
                <w:rStyle w:val="VerbatimChar"/>
              </w:rPr>
              <w:t xml:space="preserve">train_torch_detection(...)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train/train_models.py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Ejecutar inferencia en producción sobre imágenes subidas por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modelo entrenado y predecir bounding boxes + clases +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(inferencia)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ultralytics import YOLO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modelos en</w:t>
            </w:r>
            <w:r>
              <w:t xml:space="preserve"> </w:t>
            </w:r>
            <w:r>
              <w:rPr>
                <w:rStyle w:val="VerbatimChar"/>
              </w:rPr>
              <w:t xml:space="preserve">main/model_loader.py</w:t>
            </w:r>
            <w:r>
              <w:t xml:space="preserve"> </w:t>
            </w:r>
            <w:r>
              <w:t xml:space="preserve">y uso en</w:t>
            </w:r>
            <w:r>
              <w:t xml:space="preserve"> </w:t>
            </w:r>
            <w:r>
              <w:rPr>
                <w:rStyle w:val="VerbatimChar"/>
              </w:rPr>
              <w:t xml:space="preserve">main/inference.py</w:t>
            </w:r>
          </w:p>
        </w:tc>
      </w:tr>
    </w:tbl>
    <w:p>
      <w:pPr>
        <w:pStyle w:val="BlockText"/>
      </w:pPr>
      <w:r>
        <w:t xml:space="preserve">En el documento final se pueden copiar fragmentos concretos de código de</w:t>
      </w:r>
      <w:r>
        <w:t xml:space="preserve"> </w:t>
      </w:r>
      <w:r>
        <w:rPr>
          <w:rStyle w:val="VerbatimChar"/>
        </w:rPr>
        <w:t xml:space="preserve">train/train_models.py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main/model_loader.py</w:t>
      </w:r>
      <w:r>
        <w:t xml:space="preserve"> </w:t>
      </w:r>
      <w:r>
        <w:t xml:space="preserve">para ilustrar esta sección.</w:t>
      </w:r>
    </w:p>
    <w:bookmarkEnd w:id="45"/>
    <w:bookmarkStart w:id="46" w:name="aplicación-de-métricas"/>
    <w:p>
      <w:pPr>
        <w:pStyle w:val="Heading3"/>
      </w:pPr>
      <w:r>
        <w:t xml:space="preserve">5.2 Aplicación de métricas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28"/>
        <w:gridCol w:w="1797"/>
        <w:gridCol w:w="898"/>
        <w:gridCol w:w="1937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aplicado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métricas aplicadas*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Evaluar qué modelo detecta mejor las hernias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mAP, precisión y recall sobre conjunto de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/ Faster R‑CNN /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de</w:t>
            </w:r>
            <w:r>
              <w:t xml:space="preserve"> </w:t>
            </w:r>
            <w:r>
              <w:rPr>
                <w:rStyle w:val="VerbatimChar"/>
              </w:rPr>
              <w:t xml:space="preserve">torchmetrics</w:t>
            </w:r>
            <w:r>
              <w:t xml:space="preserve"> </w:t>
            </w:r>
            <w:r>
              <w:t xml:space="preserve">y métricas de Ultralytics en</w:t>
            </w:r>
            <w:r>
              <w:t xml:space="preserve"> </w:t>
            </w:r>
            <w:r>
              <w:rPr>
                <w:rStyle w:val="VerbatimChar"/>
              </w:rPr>
              <w:t xml:space="preserve">train_models.py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(Completar con valores concretos: mAP, precisión, recall)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Seleccionar variante YOLOv8 (n/s/m/l) más adecuada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mAP y tiempo de inferencia por variante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YOLOv8n vs YOLOv8s vs YOLOv8m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 entrenamiento y validación en</w:t>
            </w:r>
            <w:r>
              <w:t xml:space="preserve"> </w:t>
            </w:r>
            <w:r>
              <w:rPr>
                <w:rStyle w:val="VerbatimChar"/>
              </w:rPr>
              <w:t xml:space="preserve">train_log.jsonl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(Completar tabla por variante)</w:t>
            </w:r>
          </w:p>
        </w:tc>
      </w:tr>
    </w:tbl>
    <w:p>
      <w:pPr>
        <w:pStyle w:val="BodyText"/>
      </w:pPr>
      <w:r>
        <w:t xml:space="preserve">* Aquí se deben colocar los números concretos obtenidos (mAP@0.5, mAP@0.5:0.95, precisión, recall, etc.).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evaluación"/>
    <w:p>
      <w:pPr>
        <w:pStyle w:val="Heading2"/>
      </w:pPr>
      <w:r>
        <w:t xml:space="preserve">6. EVALUACIÓN</w:t>
      </w:r>
    </w:p>
    <w:bookmarkStart w:id="48" w:name="evaluación-de-métricas-modelo"/>
    <w:p>
      <w:pPr>
        <w:pStyle w:val="Heading3"/>
      </w:pPr>
      <w:r>
        <w:t xml:space="preserve">6.1 Evaluación de métricas (modelo)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72"/>
        <w:gridCol w:w="1972"/>
        <w:gridCol w:w="751"/>
        <w:gridCol w:w="1408"/>
        <w:gridCol w:w="18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aplicado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métricas aplicadas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Reducir errores de diagnóstico (falsos negativos de hernia)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 modelo con mayor recall manteniendo buena precisión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(mejor variante)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train/train_models.py</w:t>
            </w:r>
            <w:r>
              <w:t xml:space="preserve"> </w:t>
            </w:r>
            <w:r>
              <w:t xml:space="preserve">(cálculo de mAP y 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(Interpretación: p. ej.</w:t>
            </w:r>
            <w:r>
              <w:t xml:space="preserve"> </w:t>
            </w:r>
            <w:r>
              <w:t xml:space="preserve">“</w:t>
            </w:r>
            <w:r>
              <w:t xml:space="preserve">recall 0.92, reduce falsos negativos…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Lograr tiempos de respuesta adecuados en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tiempo de inferencia por imagen/cita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YOLOv8n /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 medición de tiempo en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(Ej.:</w:t>
            </w:r>
            <w:r>
              <w:t xml:space="preserve"> </w:t>
            </w:r>
            <w:r>
              <w:t xml:space="preserve">“</w:t>
            </w:r>
            <w:r>
              <w:t xml:space="preserve">tiempo medio 0.2 s/imagen con YOLOv8n en GPU…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48"/>
    <w:bookmarkStart w:id="49" w:name="evaluación-del-software"/>
    <w:p>
      <w:pPr>
        <w:pStyle w:val="Heading3"/>
      </w:pPr>
      <w:r>
        <w:t xml:space="preserve">6.2 Evaluación del software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0"/>
        <w:gridCol w:w="2045"/>
        <w:gridCol w:w="964"/>
        <w:gridCol w:w="1490"/>
        <w:gridCol w:w="15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aplicado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resultados enviados en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envío de resultados a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Entregar informes claros y exportables a los pacientes/médicos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PDF con resultado del diagnóstico e incluirlo en la 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+ IA de lenguaje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(Pegar captura de descarga/visualización del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(Pegar captura del mensaje PDF enviado por WhatsApp)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Notificar oportunamente al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resumen de la cita y del diagnóstico por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negocio en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(ID de anexo con capturas)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(ID de anexo con capturas de WhatsApp)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despliegue"/>
    <w:p>
      <w:pPr>
        <w:pStyle w:val="Heading2"/>
      </w:pPr>
      <w:r>
        <w:t xml:space="preserve">7. DESPLIEGUE</w:t>
      </w:r>
    </w:p>
    <w:bookmarkStart w:id="51" w:name="tabla-general-de-despliegue"/>
    <w:p>
      <w:pPr>
        <w:pStyle w:val="Heading3"/>
      </w:pPr>
      <w:r>
        <w:t xml:space="preserve">7.1 Tabla general de despliegue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267"/>
        <w:gridCol w:w="4171"/>
        <w:gridCol w:w="11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Aplicación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(React/TypeScript)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en servidor web / contenedor; configuración de</w:t>
            </w:r>
            <w:r>
              <w:t xml:space="preserve"> </w:t>
            </w: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o 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(capturas)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(NestJS)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start:prod</w:t>
            </w:r>
            <w:r>
              <w:t xml:space="preserve"> </w:t>
            </w:r>
            <w:r>
              <w:t xml:space="preserve">/ contenedor Docker;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con URL BD, claves JWT,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(scripts)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Uvicorn/Gunicorn,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, descarga previa de modelos YOLO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(Dockerfile)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(u otro)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creación de esquema/tablas, variables de conexión en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(scripts 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externo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Token/API Key configurada en backend (</w:t>
            </w:r>
            <w:r>
              <w:rPr>
                <w:rStyle w:val="VerbatimChar"/>
              </w:rPr>
              <w:t xml:space="preserve">NOTIF_WHATSAPP_TOKEN</w:t>
            </w:r>
            <w:r>
              <w:t xml:space="preserve">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(config)</w:t>
            </w:r>
          </w:p>
        </w:tc>
      </w:tr>
    </w:tbl>
    <w:bookmarkEnd w:id="51"/>
    <w:bookmarkStart w:id="52" w:name="ejemplo-en-formato-solicitado"/>
    <w:p>
      <w:pPr>
        <w:pStyle w:val="Heading3"/>
      </w:pPr>
      <w:r>
        <w:t xml:space="preserve">7.2 Ejemplo en formato solicitado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964"/>
        <w:gridCol w:w="3358"/>
        <w:gridCol w:w="10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Aplicación funcionamiento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(Médico/Admin)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frontend + backend en servidor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Aplicación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Front: React/TS; Back: NestJS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</w:t>
            </w:r>
            <w:r>
              <w:t xml:space="preserve"> </w:t>
            </w:r>
            <w:r>
              <w:rPr>
                <w:rStyle w:val="VerbatimChar"/>
              </w:rPr>
              <w:t xml:space="preserve">front-hernia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back-hernia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XXS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creación de tablas y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XYS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Otros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de programación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VSCode/Cursor como IDE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fuente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Link a repos Git (backend, frontend, 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Anexo (URL)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referencias-bibliográficas"/>
    <w:p>
      <w:pPr>
        <w:pStyle w:val="Heading2"/>
      </w:pPr>
      <w:r>
        <w:t xml:space="preserve">8. REFERENCIAS BIBLIOGRÁFICAS</w:t>
      </w:r>
    </w:p>
    <w:p>
      <w:pPr>
        <w:pStyle w:val="FirstParagraph"/>
      </w:pPr>
      <w:r>
        <w:t xml:space="preserve">Ejemplos de referencias utilizadas en el contexto clínico de LDH (adaptadas del documento de contexto):</w:t>
      </w:r>
    </w:p>
    <w:p>
      <w:pPr>
        <w:pStyle w:val="Compact"/>
        <w:numPr>
          <w:ilvl w:val="0"/>
          <w:numId w:val="1046"/>
        </w:numPr>
      </w:pPr>
      <w:r>
        <w:t xml:space="preserve">Lin, P.-C., Chang, W.-S., Hsiao, K.-Y., Liu, H.-M., Shia, B.-C., Chen, M.-C., Hsieh, P.-Y., Lai, T.-W., Lin, F.-H., &amp; Chang, C.-C. (2024). Development of a Machine Learning Algorithm to Correlate Lumbar Disc Height on X-rays with Disc Bulging or Herniation.</w:t>
      </w:r>
      <w:r>
        <w:t xml:space="preserve"> </w:t>
      </w:r>
      <w:r>
        <w:rPr>
          <w:i/>
          <w:iCs/>
        </w:rPr>
        <w:t xml:space="preserve">Diagnostics</w:t>
      </w:r>
      <w:r>
        <w:t xml:space="preserve">, 14(2), 134.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Prisilla, A. A., et al. (2023). An approach to the diagnosis of lumbar disc herniation using deep learning models.</w:t>
      </w:r>
      <w:r>
        <w:t xml:space="preserve"> </w:t>
      </w:r>
      <w:r>
        <w:rPr>
          <w:i/>
          <w:iCs/>
        </w:rPr>
        <w:t xml:space="preserve">Frontiers in Bioengineering and Biotechnology</w:t>
      </w:r>
      <w:r>
        <w:t xml:space="preserve">, 11, 1247112.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Zhang, D., et al. (2024). A fully automatic MRI‑guided decision support system for lumbar disc herniation using machine learning.</w:t>
      </w:r>
      <w:r>
        <w:t xml:space="preserve"> </w:t>
      </w:r>
      <w:r>
        <w:rPr>
          <w:i/>
          <w:iCs/>
        </w:rPr>
        <w:t xml:space="preserve">JOR SPINE</w:t>
      </w:r>
      <w:r>
        <w:t xml:space="preserve">, 7(2), e1342.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Zhang, W., et al. (2023). Deep learning‑based detection and classification of lumbar disc herniation on magnetic resonance images.</w:t>
      </w:r>
      <w:r>
        <w:t xml:space="preserve"> </w:t>
      </w:r>
      <w:r>
        <w:rPr>
          <w:i/>
          <w:iCs/>
        </w:rPr>
        <w:t xml:space="preserve">JOR SPINE</w:t>
      </w:r>
      <w:r>
        <w:t xml:space="preserve">, 6(3), e1276.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Duceac Covrig, M., et al. (2025). A retrospective study of lumbar disk herniation: An analysis of clinical cases and treatment plans.</w:t>
      </w:r>
      <w:r>
        <w:t xml:space="preserve"> </w:t>
      </w:r>
      <w:r>
        <w:rPr>
          <w:i/>
          <w:iCs/>
        </w:rPr>
        <w:t xml:space="preserve">Journal of Clinical Medicine</w:t>
      </w:r>
      <w:r>
        <w:t xml:space="preserve">, 14(11), 3952.</w:t>
      </w:r>
    </w:p>
    <w:p>
      <w:pPr>
        <w:pStyle w:val="FirstParagraph"/>
      </w:pPr>
      <w:r>
        <w:rPr>
          <w:i/>
          <w:iCs/>
        </w:rPr>
        <w:t xml:space="preserve">(Se pueden completar y normalizar las referencias según el formato bibliográfico exigido por la universidad.)</w:t>
      </w:r>
    </w:p>
    <w:p>
      <w:r>
        <w:pict>
          <v:rect style="width:0;height:1.5pt" o:hralign="center" o:hrstd="t" o:hr="t"/>
        </w:pict>
      </w:r>
    </w:p>
    <w:bookmarkEnd w:id="54"/>
    <w:bookmarkStart w:id="55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Anexo 1:</w:t>
      </w:r>
      <w:r>
        <w:t xml:space="preserve"> </w:t>
      </w:r>
      <w:r>
        <w:t xml:space="preserve">Cuadro general del curso / ficha de proyecto.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Anexo 2:</w:t>
      </w:r>
      <w:r>
        <w:t xml:space="preserve"> </w:t>
      </w:r>
      <w:r>
        <w:t xml:space="preserve">Detalle de modelos LM / prompts utilizados.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Anexo 3:</w:t>
      </w:r>
      <w:r>
        <w:t xml:space="preserve"> </w:t>
      </w:r>
      <w:r>
        <w:t xml:space="preserve">Información del especialista clínico consultado.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Anexo 4:</w:t>
      </w:r>
      <w:r>
        <w:t xml:space="preserve"> </w:t>
      </w:r>
      <w:r>
        <w:t xml:space="preserve">Tablas de validación de variables y match con el especialista.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Anexo 5:</w:t>
      </w:r>
      <w:r>
        <w:t xml:space="preserve"> </w:t>
      </w:r>
      <w:r>
        <w:t xml:space="preserve">Capturas de pantalla del sistema web (frontend, backend, servicio ML).</w:t>
      </w:r>
      <w:r>
        <w:br/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Anexo 6:</w:t>
      </w:r>
      <w:r>
        <w:t xml:space="preserve"> </w:t>
      </w:r>
      <w:r>
        <w:t xml:space="preserve">Tablas completas de métricas por modelo y variante.</w:t>
      </w:r>
    </w:p>
    <w:p>
      <w:pPr>
        <w:pStyle w:val="FirstParagraph"/>
      </w:pPr>
      <w:r>
        <w:t xml:space="preserve">Este documento sigue la estructura del</w:t>
      </w:r>
      <w:r>
        <w:t xml:space="preserve"> </w:t>
      </w:r>
      <w:r>
        <w:rPr>
          <w:b/>
          <w:bCs/>
        </w:rPr>
        <w:t xml:space="preserve">Informe Final Analítica – Detección temprana de enfermedades de plantas</w:t>
      </w:r>
      <w:r>
        <w:t xml:space="preserve">, adaptando el</w:t>
      </w:r>
      <w:r>
        <w:t xml:space="preserve"> </w:t>
      </w:r>
      <w:r>
        <w:rPr>
          <w:b/>
          <w:bCs/>
        </w:rPr>
        <w:t xml:space="preserve">contexto de hernia lumbar</w:t>
      </w:r>
      <w:r>
        <w:t xml:space="preserve">, las variables de negocio y las soluciones técnicas al sistema de apoyo al diagnóstico desarrollado (frontend, backend y servicio ML).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2026-03-05T13:42:09Z</dcterms:created>
  <dcterms:modified xsi:type="dcterms:W3CDTF">2026-03-05T13:42:09Z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