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3F84" w:sz="40" w:space="0"/>
        </w:pBdr>
        <w:shd w:fill="2E3F84" w:val="clear"/>
        <w:spacing w:after="0" w:before="0"/>
      </w:pPr>
      <w:r>
        <w:rPr>
          <w:color w:val="1F2433"/>
          <w:sz w:val="2"/>
          <w:szCs w:val="2"/>
        </w:rPr>
        <w:t xml:space="preserve"> </w:t>
      </w:r>
    </w:p>
    <w:p>
      <w:pPr>
        <w:spacing w:after="900"/>
      </w:pPr>
    </w:p>
    <w:p>
      <w:pPr>
        <w:spacing w:after="40"/>
        <w:jc w:val="center"/>
      </w:pPr>
      <w:r>
        <w:rPr>
          <w:b/>
          <w:bCs/>
          <w:color w:val="16235E"/>
          <w:sz w:val="30"/>
          <w:szCs w:val="30"/>
        </w:rPr>
        <w:t xml:space="preserve">HOSPITAL UNIVERSITARIO DEL VALLE</w:t>
      </w:r>
    </w:p>
    <w:p>
      <w:pPr>
        <w:spacing w:after="30"/>
        <w:jc w:val="center"/>
      </w:pPr>
      <w:r>
        <w:rPr>
          <w:b/>
          <w:bCs/>
          <w:color w:val="16235E"/>
          <w:sz w:val="24"/>
          <w:szCs w:val="24"/>
        </w:rPr>
        <w:t xml:space="preserve">«EVARISTO GARCÍA» E.S.E.</w:t>
      </w:r>
    </w:p>
    <w:p>
      <w:pPr>
        <w:spacing w:after="700"/>
        <w:jc w:val="center"/>
      </w:pPr>
      <w:r>
        <w:rPr>
          <w:i/>
          <w:iCs/>
          <w:color w:val="5A6478"/>
          <w:sz w:val="21"/>
          <w:szCs w:val="21"/>
        </w:rPr>
        <w:t xml:space="preserve">Oficina de Innovación y Desarrollo</w:t>
      </w:r>
    </w:p>
    <w:p>
      <w:pPr>
        <w:spacing w:after="0"/>
        <w:jc w:val="center"/>
      </w:pPr>
      <w:r>
        <w:rPr>
          <w:b/>
          <w:bCs/>
          <w:color w:val="2E3F84"/>
          <w:sz w:val="64"/>
          <w:szCs w:val="64"/>
        </w:rPr>
        <w:t xml:space="preserve">E V A R I S B O T</w:t>
      </w:r>
    </w:p>
    <w:p>
      <w:pPr>
        <w:spacing w:after="520"/>
        <w:jc w:val="center"/>
      </w:pPr>
      <w:r>
        <w:rPr>
          <w:color w:val="5A6478"/>
          <w:sz w:val="20"/>
          <w:szCs w:val="20"/>
        </w:rPr>
        <w:t xml:space="preserve">Plataforma de mensajería WhatsApp para gestión de pacientes</w:t>
      </w:r>
    </w:p>
    <w:p>
      <w:pPr>
        <w:pBdr>
          <w:top w:val="single" w:color="2E3F84" w:sz="12"/>
          <w:bottom w:val="single" w:color="2E3F84" w:sz="12"/>
        </w:pBdr>
        <w:spacing w:after="0"/>
        <w:jc w:val="center"/>
      </w:pPr>
      <w:r>
        <w:rPr>
          <w:b/>
          <w:bCs/>
          <w:color w:val="16235E"/>
          <w:sz w:val="38"/>
          <w:szCs w:val="38"/>
        </w:rPr>
        <w:t xml:space="preserve">  MANUAL DE USUARIO  </w:t>
      </w:r>
    </w:p>
    <w:p>
      <w:pPr>
        <w:spacing w:after="760" w:before="160"/>
        <w:jc w:val="center"/>
      </w:pPr>
      <w:r>
        <w:rPr>
          <w:color w:val="5A6478"/>
          <w:sz w:val="22"/>
          <w:szCs w:val="22"/>
        </w:rPr>
        <w:t xml:space="preserve">Guía completa de uso del panel de administración de Evarisbot</w:t>
      </w:r>
    </w:p>
    <w:tbl>
      <w:tblPr>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tblGrid>
      <w:tr>
        <w:tc>
          <w:tcPr>
            <w:tcW w:type="dxa" w:w="2600"/>
            <w:tcBorders>
              <w:top w:val="single" w:color="C9D0E3" w:sz="2"/>
              <w:left w:val="single" w:color="C9D0E3" w:sz="2"/>
              <w:bottom w:val="single" w:color="C9D0E3" w:sz="2"/>
              <w:right w:val="single" w:color="C9D0E3" w:sz="2"/>
            </w:tcBorders>
            <w:shd w:fill="EEF1F8" w:val="clear"/>
            <w:tcMar>
              <w:top w:type="dxa" w:w="70"/>
              <w:left w:type="dxa" w:w="120"/>
              <w:bottom w:type="dxa" w:w="70"/>
              <w:right w:type="dxa" w:w="120"/>
            </w:tcMar>
          </w:tcPr>
          <w:p>
            <w:r>
              <w:rPr>
                <w:b/>
                <w:bCs/>
                <w:color w:val="16235E"/>
                <w:sz w:val="18"/>
                <w:szCs w:val="18"/>
              </w:rPr>
              <w:t xml:space="preserve">Código del documento</w:t>
            </w:r>
          </w:p>
        </w:tc>
        <w:tc>
          <w:tcPr>
            <w:tcW w:type="dxa" w:w="4000"/>
            <w:tcBorders>
              <w:top w:val="single" w:color="C9D0E3" w:sz="2"/>
              <w:left w:val="single" w:color="C9D0E3" w:sz="2"/>
              <w:bottom w:val="single" w:color="C9D0E3" w:sz="2"/>
              <w:right w:val="single" w:color="C9D0E3" w:sz="2"/>
            </w:tcBorders>
            <w:shd w:fill="FFFFFF" w:val="clear"/>
            <w:tcMar>
              <w:top w:type="dxa" w:w="70"/>
              <w:left w:type="dxa" w:w="120"/>
              <w:bottom w:type="dxa" w:w="70"/>
              <w:right w:type="dxa" w:w="120"/>
            </w:tcMar>
          </w:tcPr>
          <w:p>
            <w:r>
              <w:rPr>
                <w:color w:val="1F2433"/>
                <w:sz w:val="18"/>
                <w:szCs w:val="18"/>
              </w:rPr>
              <w:t xml:space="preserve">EVB-DOC-04</w:t>
            </w:r>
          </w:p>
        </w:tc>
      </w:tr>
      <w:tr>
        <w:tc>
          <w:tcPr>
            <w:tcW w:type="dxa" w:w="2600"/>
            <w:tcBorders>
              <w:top w:val="single" w:color="C9D0E3" w:sz="2"/>
              <w:left w:val="single" w:color="C9D0E3" w:sz="2"/>
              <w:bottom w:val="single" w:color="C9D0E3" w:sz="2"/>
              <w:right w:val="single" w:color="C9D0E3" w:sz="2"/>
            </w:tcBorders>
            <w:shd w:fill="EEF1F8" w:val="clear"/>
            <w:tcMar>
              <w:top w:type="dxa" w:w="70"/>
              <w:left w:type="dxa" w:w="120"/>
              <w:bottom w:type="dxa" w:w="70"/>
              <w:right w:type="dxa" w:w="120"/>
            </w:tcMar>
          </w:tcPr>
          <w:p>
            <w:r>
              <w:rPr>
                <w:b/>
                <w:bCs/>
                <w:color w:val="16235E"/>
                <w:sz w:val="18"/>
                <w:szCs w:val="18"/>
              </w:rPr>
              <w:t xml:space="preserve">Versión</w:t>
            </w:r>
          </w:p>
        </w:tc>
        <w:tc>
          <w:tcPr>
            <w:tcW w:type="dxa" w:w="4000"/>
            <w:tcBorders>
              <w:top w:val="single" w:color="C9D0E3" w:sz="2"/>
              <w:left w:val="single" w:color="C9D0E3" w:sz="2"/>
              <w:bottom w:val="single" w:color="C9D0E3" w:sz="2"/>
              <w:right w:val="single" w:color="C9D0E3" w:sz="2"/>
            </w:tcBorders>
            <w:shd w:fill="FFFFFF" w:val="clear"/>
            <w:tcMar>
              <w:top w:type="dxa" w:w="70"/>
              <w:left w:type="dxa" w:w="120"/>
              <w:bottom w:type="dxa" w:w="70"/>
              <w:right w:type="dxa" w:w="120"/>
            </w:tcMar>
          </w:tcPr>
          <w:p>
            <w:r>
              <w:rPr>
                <w:color w:val="1F2433"/>
                <w:sz w:val="18"/>
                <w:szCs w:val="18"/>
              </w:rPr>
              <w:t xml:space="preserve">1.0</w:t>
            </w:r>
          </w:p>
        </w:tc>
      </w:tr>
      <w:tr>
        <w:tc>
          <w:tcPr>
            <w:tcW w:type="dxa" w:w="2600"/>
            <w:tcBorders>
              <w:top w:val="single" w:color="C9D0E3" w:sz="2"/>
              <w:left w:val="single" w:color="C9D0E3" w:sz="2"/>
              <w:bottom w:val="single" w:color="C9D0E3" w:sz="2"/>
              <w:right w:val="single" w:color="C9D0E3" w:sz="2"/>
            </w:tcBorders>
            <w:shd w:fill="EEF1F8" w:val="clear"/>
            <w:tcMar>
              <w:top w:type="dxa" w:w="70"/>
              <w:left w:type="dxa" w:w="120"/>
              <w:bottom w:type="dxa" w:w="70"/>
              <w:right w:type="dxa" w:w="120"/>
            </w:tcMar>
          </w:tcPr>
          <w:p>
            <w:r>
              <w:rPr>
                <w:b/>
                <w:bCs/>
                <w:color w:val="16235E"/>
                <w:sz w:val="18"/>
                <w:szCs w:val="18"/>
              </w:rPr>
              <w:t xml:space="preserve">Fecha de emisión</w:t>
            </w:r>
          </w:p>
        </w:tc>
        <w:tc>
          <w:tcPr>
            <w:tcW w:type="dxa" w:w="4000"/>
            <w:tcBorders>
              <w:top w:val="single" w:color="C9D0E3" w:sz="2"/>
              <w:left w:val="single" w:color="C9D0E3" w:sz="2"/>
              <w:bottom w:val="single" w:color="C9D0E3" w:sz="2"/>
              <w:right w:val="single" w:color="C9D0E3" w:sz="2"/>
            </w:tcBorders>
            <w:shd w:fill="FFFFFF" w:val="clear"/>
            <w:tcMar>
              <w:top w:type="dxa" w:w="70"/>
              <w:left w:type="dxa" w:w="120"/>
              <w:bottom w:type="dxa" w:w="70"/>
              <w:right w:type="dxa" w:w="120"/>
            </w:tcMar>
          </w:tcPr>
          <w:p>
            <w:r>
              <w:rPr>
                <w:color w:val="1F2433"/>
                <w:sz w:val="18"/>
                <w:szCs w:val="18"/>
              </w:rPr>
              <w:t xml:space="preserve">22 de mayo de 2026</w:t>
            </w:r>
          </w:p>
        </w:tc>
      </w:tr>
      <w:tr>
        <w:tc>
          <w:tcPr>
            <w:tcW w:type="dxa" w:w="2600"/>
            <w:tcBorders>
              <w:top w:val="single" w:color="C9D0E3" w:sz="2"/>
              <w:left w:val="single" w:color="C9D0E3" w:sz="2"/>
              <w:bottom w:val="single" w:color="C9D0E3" w:sz="2"/>
              <w:right w:val="single" w:color="C9D0E3" w:sz="2"/>
            </w:tcBorders>
            <w:shd w:fill="EEF1F8" w:val="clear"/>
            <w:tcMar>
              <w:top w:type="dxa" w:w="70"/>
              <w:left w:type="dxa" w:w="120"/>
              <w:bottom w:type="dxa" w:w="70"/>
              <w:right w:type="dxa" w:w="120"/>
            </w:tcMar>
          </w:tcPr>
          <w:p>
            <w:r>
              <w:rPr>
                <w:b/>
                <w:bCs/>
                <w:color w:val="16235E"/>
                <w:sz w:val="18"/>
                <w:szCs w:val="18"/>
              </w:rPr>
              <w:t xml:space="preserve">Estado</w:t>
            </w:r>
          </w:p>
        </w:tc>
        <w:tc>
          <w:tcPr>
            <w:tcW w:type="dxa" w:w="4000"/>
            <w:tcBorders>
              <w:top w:val="single" w:color="C9D0E3" w:sz="2"/>
              <w:left w:val="single" w:color="C9D0E3" w:sz="2"/>
              <w:bottom w:val="single" w:color="C9D0E3" w:sz="2"/>
              <w:right w:val="single" w:color="C9D0E3" w:sz="2"/>
            </w:tcBorders>
            <w:shd w:fill="FFFFFF" w:val="clear"/>
            <w:tcMar>
              <w:top w:type="dxa" w:w="70"/>
              <w:left w:type="dxa" w:w="120"/>
              <w:bottom w:type="dxa" w:w="70"/>
              <w:right w:type="dxa" w:w="120"/>
            </w:tcMar>
          </w:tcPr>
          <w:p>
            <w:r>
              <w:rPr>
                <w:color w:val="1F2433"/>
                <w:sz w:val="18"/>
                <w:szCs w:val="18"/>
              </w:rPr>
              <w:t xml:space="preserve">Vigente</w:t>
            </w:r>
          </w:p>
        </w:tc>
      </w:tr>
      <w:tr>
        <w:tc>
          <w:tcPr>
            <w:tcW w:type="dxa" w:w="2600"/>
            <w:tcBorders>
              <w:top w:val="single" w:color="C9D0E3" w:sz="2"/>
              <w:left w:val="single" w:color="C9D0E3" w:sz="2"/>
              <w:bottom w:val="single" w:color="C9D0E3" w:sz="2"/>
              <w:right w:val="single" w:color="C9D0E3" w:sz="2"/>
            </w:tcBorders>
            <w:shd w:fill="EEF1F8" w:val="clear"/>
            <w:tcMar>
              <w:top w:type="dxa" w:w="70"/>
              <w:left w:type="dxa" w:w="120"/>
              <w:bottom w:type="dxa" w:w="70"/>
              <w:right w:type="dxa" w:w="120"/>
            </w:tcMar>
          </w:tcPr>
          <w:p>
            <w:r>
              <w:rPr>
                <w:b/>
                <w:bCs/>
                <w:color w:val="16235E"/>
                <w:sz w:val="18"/>
                <w:szCs w:val="18"/>
              </w:rPr>
              <w:t xml:space="preserve">Clasificación</w:t>
            </w:r>
          </w:p>
        </w:tc>
        <w:tc>
          <w:tcPr>
            <w:tcW w:type="dxa" w:w="4000"/>
            <w:tcBorders>
              <w:top w:val="single" w:color="C9D0E3" w:sz="2"/>
              <w:left w:val="single" w:color="C9D0E3" w:sz="2"/>
              <w:bottom w:val="single" w:color="C9D0E3" w:sz="2"/>
              <w:right w:val="single" w:color="C9D0E3" w:sz="2"/>
            </w:tcBorders>
            <w:shd w:fill="FFFFFF" w:val="clear"/>
            <w:tcMar>
              <w:top w:type="dxa" w:w="70"/>
              <w:left w:type="dxa" w:w="120"/>
              <w:bottom w:type="dxa" w:w="70"/>
              <w:right w:type="dxa" w:w="120"/>
            </w:tcMar>
          </w:tcPr>
          <w:p>
            <w:r>
              <w:rPr>
                <w:color w:val="1F2433"/>
                <w:sz w:val="18"/>
                <w:szCs w:val="18"/>
              </w:rPr>
              <w:t xml:space="preserve">Uso interno</w:t>
            </w:r>
          </w:p>
        </w:tc>
      </w:tr>
      <w:tr>
        <w:tc>
          <w:tcPr>
            <w:tcW w:type="dxa" w:w="2600"/>
            <w:tcBorders>
              <w:top w:val="single" w:color="C9D0E3" w:sz="2"/>
              <w:left w:val="single" w:color="C9D0E3" w:sz="2"/>
              <w:bottom w:val="single" w:color="C9D0E3" w:sz="2"/>
              <w:right w:val="single" w:color="C9D0E3" w:sz="2"/>
            </w:tcBorders>
            <w:shd w:fill="EEF1F8" w:val="clear"/>
            <w:tcMar>
              <w:top w:type="dxa" w:w="70"/>
              <w:left w:type="dxa" w:w="120"/>
              <w:bottom w:type="dxa" w:w="70"/>
              <w:right w:type="dxa" w:w="120"/>
            </w:tcMar>
          </w:tcPr>
          <w:p>
            <w:r>
              <w:rPr>
                <w:b/>
                <w:bCs/>
                <w:color w:val="16235E"/>
                <w:sz w:val="18"/>
                <w:szCs w:val="18"/>
              </w:rPr>
              <w:t xml:space="preserve">Dirigido a</w:t>
            </w:r>
          </w:p>
        </w:tc>
        <w:tc>
          <w:tcPr>
            <w:tcW w:type="dxa" w:w="4000"/>
            <w:tcBorders>
              <w:top w:val="single" w:color="C9D0E3" w:sz="2"/>
              <w:left w:val="single" w:color="C9D0E3" w:sz="2"/>
              <w:bottom w:val="single" w:color="C9D0E3" w:sz="2"/>
              <w:right w:val="single" w:color="C9D0E3" w:sz="2"/>
            </w:tcBorders>
            <w:shd w:fill="FFFFFF" w:val="clear"/>
            <w:tcMar>
              <w:top w:type="dxa" w:w="70"/>
              <w:left w:type="dxa" w:w="120"/>
              <w:bottom w:type="dxa" w:w="70"/>
              <w:right w:type="dxa" w:w="120"/>
            </w:tcMar>
          </w:tcPr>
          <w:p>
            <w:r>
              <w:rPr>
                <w:color w:val="1F2433"/>
                <w:sz w:val="18"/>
                <w:szCs w:val="18"/>
              </w:rPr>
              <w:t xml:space="preserve">Asesores de atención y administradores del sistema</w:t>
            </w:r>
          </w:p>
        </w:tc>
      </w:tr>
      <w:tr>
        <w:tc>
          <w:tcPr>
            <w:tcW w:type="dxa" w:w="2600"/>
            <w:tcBorders>
              <w:top w:val="single" w:color="C9D0E3" w:sz="2"/>
              <w:left w:val="single" w:color="C9D0E3" w:sz="2"/>
              <w:bottom w:val="single" w:color="C9D0E3" w:sz="2"/>
              <w:right w:val="single" w:color="C9D0E3" w:sz="2"/>
            </w:tcBorders>
            <w:shd w:fill="EEF1F8" w:val="clear"/>
            <w:tcMar>
              <w:top w:type="dxa" w:w="70"/>
              <w:left w:type="dxa" w:w="120"/>
              <w:bottom w:type="dxa" w:w="70"/>
              <w:right w:type="dxa" w:w="120"/>
            </w:tcMar>
          </w:tcPr>
          <w:p>
            <w:r>
              <w:rPr>
                <w:b/>
                <w:bCs/>
                <w:color w:val="16235E"/>
                <w:sz w:val="18"/>
                <w:szCs w:val="18"/>
              </w:rPr>
              <w:t xml:space="preserve">Elaborado por</w:t>
            </w:r>
          </w:p>
        </w:tc>
        <w:tc>
          <w:tcPr>
            <w:tcW w:type="dxa" w:w="4000"/>
            <w:tcBorders>
              <w:top w:val="single" w:color="C9D0E3" w:sz="2"/>
              <w:left w:val="single" w:color="C9D0E3" w:sz="2"/>
              <w:bottom w:val="single" w:color="C9D0E3" w:sz="2"/>
              <w:right w:val="single" w:color="C9D0E3" w:sz="2"/>
            </w:tcBorders>
            <w:shd w:fill="FFFFFF" w:val="clear"/>
            <w:tcMar>
              <w:top w:type="dxa" w:w="70"/>
              <w:left w:type="dxa" w:w="120"/>
              <w:bottom w:type="dxa" w:w="70"/>
              <w:right w:type="dxa" w:w="120"/>
            </w:tcMar>
          </w:tcPr>
          <w:p>
            <w:r>
              <w:rPr>
                <w:color w:val="1F2433"/>
                <w:sz w:val="18"/>
                <w:szCs w:val="18"/>
              </w:rPr>
              <w:t xml:space="preserve">Innovación y Desarrollo — HUV</w:t>
            </w:r>
          </w:p>
        </w:tc>
      </w:tr>
    </w:tbl>
    <w:p>
      <w:pPr>
        <w:spacing w:after="1400"/>
      </w:pPr>
    </w:p>
    <w:p>
      <w:pPr>
        <w:pBdr>
          <w:bottom w:val="single" w:color="2E3F84" w:sz="40" w:space="0"/>
        </w:pBdr>
        <w:shd w:fill="2E3F84" w:val="clear"/>
        <w:spacing w:after="0" w:before="0"/>
      </w:pPr>
      <w:r>
        <w:rPr>
          <w:color w:val="1F2433"/>
          <w:sz w:val="2"/>
          <w:szCs w:val="2"/>
        </w:rPr>
        <w:t xml:space="preserve"> </w:t>
      </w:r>
    </w:p>
    <w:p>
      <w:pPr>
        <w:spacing w:before="120"/>
        <w:jc w:val="center"/>
      </w:pPr>
      <w:r>
        <w:rPr>
          <w:color w:val="5A6478"/>
          <w:sz w:val="16"/>
          <w:szCs w:val="16"/>
        </w:rPr>
        <w:t xml:space="preserve">Documento confidencial — Prohibida su reproducción o distribución sin autorización.</w:t>
      </w:r>
    </w:p>
    <w:p>
      <w:pPr>
        <w:spacing w:before="40"/>
        <w:jc w:val="center"/>
      </w:pPr>
      <w:r>
        <w:rPr>
          <w:color w:val="5A6478"/>
          <w:sz w:val="16"/>
          <w:szCs w:val="16"/>
        </w:rPr>
        <w:t xml:space="preserve">Santiago de Cali, Colombia · 22 de mayo de 2026</w:t>
      </w:r>
    </w:p>
    <w:p>
      <w:pPr>
        <w:sectPr>
          <w:pgSz w:w="12240" w:h="15840" w:orient="portrait"/>
          <w:pgMar w:top="1440" w:right="1440" w:bottom="1440" w:left="1440" w:header="708" w:footer="708" w:gutter="0"/>
          <w:pgNumType/>
          <w:docGrid w:linePitch="360"/>
        </w:sectPr>
      </w:pPr>
    </w:p>
    <w:p>
      <w:pPr>
        <w:pStyle w:val="Heading1"/>
      </w:pPr>
      <w:r>
        <w:rPr>
          <w:color w:val="2E3F84"/>
        </w:rP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color w:val="2E3F84"/>
        </w:rPr>
        <w:t xml:space="preserve">1. Introducción</w:t>
      </w:r>
    </w:p>
    <w:p>
      <w:pPr>
        <w:spacing w:after="200" w:line="288"/>
      </w:pPr>
      <w:r>
        <w:rPr>
          <w:i/>
          <w:iCs/>
          <w:color w:val="5A6478"/>
          <w:sz w:val="22"/>
          <w:szCs w:val="22"/>
        </w:rPr>
        <w:t xml:space="preserve">Este manual explica, paso a paso, cómo utilizar la plataforma Evarisbot para atender a los pacientes del Hospital Universitario del Valle a través de WhatsApp. Está dirigido tanto a los asesores de atención como a los administradores del sistema.</w:t>
      </w:r>
    </w:p>
    <w:p>
      <w:pPr>
        <w:spacing w:after="120" w:before="0" w:line="276"/>
      </w:pPr>
      <w:r>
        <w:rPr>
          <w:color w:val="1F2433"/>
        </w:rPr>
        <w:t xml:space="preserve">Evarisbot es la herramienta de trabajo diario del equipo de atención. Permite recibir y responder los mensajes de los pacientes, enviar recordatorios de citas, realizar campañas de mensajería y consultar indicadores de gestión, todo desde un navegador web.</w:t>
      </w:r>
    </w:p>
    <w:p>
      <w:pPr>
        <w:pStyle w:val="Heading2"/>
        <w:spacing w:after="140" w:before="260"/>
      </w:pPr>
      <w:r>
        <w:rPr>
          <w:color w:val="2E3F84"/>
        </w:rPr>
        <w:t xml:space="preserve">1.1. Requisitos para usar el sistema</w:t>
      </w:r>
    </w:p>
    <w:p>
      <w:pPr>
        <w:pStyle w:val="ListParagraph"/>
        <w:numPr>
          <w:ilvl w:val="0"/>
          <w:numId w:val="2"/>
        </w:numPr>
        <w:spacing w:after="60" w:line="276"/>
      </w:pPr>
      <w:r>
        <w:rPr>
          <w:color w:val="1F2433"/>
        </w:rPr>
        <w:t xml:space="preserve">Un computador con conexión a la red del hospital.</w:t>
      </w:r>
    </w:p>
    <w:p>
      <w:pPr>
        <w:pStyle w:val="ListParagraph"/>
        <w:numPr>
          <w:ilvl w:val="0"/>
          <w:numId w:val="2"/>
        </w:numPr>
        <w:spacing w:after="60" w:line="276"/>
      </w:pPr>
      <w:r>
        <w:rPr>
          <w:color w:val="1F2433"/>
        </w:rPr>
        <w:t xml:space="preserve">Un navegador web actualizado (Google Chrome, Microsoft Edge o Firefox).</w:t>
      </w:r>
    </w:p>
    <w:p>
      <w:pPr>
        <w:pStyle w:val="ListParagraph"/>
        <w:numPr>
          <w:ilvl w:val="0"/>
          <w:numId w:val="2"/>
        </w:numPr>
        <w:spacing w:after="60" w:line="276"/>
      </w:pPr>
      <w:r>
        <w:rPr>
          <w:color w:val="1F2433"/>
        </w:rPr>
        <w:t xml:space="preserve">Una cuenta de usuario asignada por el administrador.</w:t>
      </w:r>
    </w:p>
    <w:p>
      <w:pPr>
        <w:pStyle w:val="Heading2"/>
        <w:spacing w:after="140" w:before="260"/>
      </w:pPr>
      <w:r>
        <w:rPr>
          <w:color w:val="2E3F84"/>
        </w:rPr>
        <w:t xml:space="preserve">1.2. Roles de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Rol</w:t>
            </w:r>
          </w:p>
        </w:tc>
        <w:tc>
          <w:tcPr>
            <w:tcW w:type="dxa" w:w="75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Qué puede hacer</w:t>
            </w:r>
          </w:p>
        </w:tc>
      </w:tr>
      <w:tr>
        <w:tc>
          <w:tcPr>
            <w:tcW w:type="dxa" w:w="18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Asesor</w:t>
            </w:r>
          </w:p>
        </w:tc>
        <w:tc>
          <w:tcPr>
            <w:tcW w:type="dxa" w:w="75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Atender conversaciones de pacientes, usar plantillas, participar en el chat interno y, si se le habilita, realizar envíos masivos.</w:t>
            </w:r>
          </w:p>
        </w:tc>
      </w:tr>
      <w:tr>
        <w:tc>
          <w:tcPr>
            <w:tcW w:type="dxa" w:w="18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Administrador</w:t>
            </w:r>
          </w:p>
        </w:tc>
        <w:tc>
          <w:tcPr>
            <w:tcW w:type="dxa" w:w="75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Todo lo anterior, además de gestionar usuarios, citas, estadísticas y la configuración del sistema.</w:t>
            </w:r>
          </w:p>
        </w:tc>
      </w:tr>
    </w:tbl>
    <w:p>
      <w:pPr>
        <w:spacing w:after="220" w:before="60"/>
        <w:jc w:val="center"/>
      </w:pPr>
      <w:r>
        <w:rPr>
          <w:i/>
          <w:iCs/>
          <w:color w:val="5A6478"/>
          <w:sz w:val="18"/>
          <w:szCs w:val="18"/>
        </w:rPr>
        <w:t xml:space="preserve">Tabla 1. Roles de usuario y sus capacidades.</w:t>
      </w:r>
    </w:p>
    <w:p>
      <w:r>
        <w:br w:type="page"/>
      </w:r>
    </w:p>
    <w:p>
      <w:pPr>
        <w:pStyle w:val="Heading1"/>
        <w:spacing w:after="160" w:before="320"/>
      </w:pPr>
      <w:r>
        <w:rPr>
          <w:color w:val="2E3F84"/>
        </w:rPr>
        <w:t xml:space="preserve">2. Acceso al sistema</w:t>
      </w:r>
    </w:p>
    <w:p>
      <w:pPr>
        <w:pStyle w:val="Heading2"/>
        <w:spacing w:after="140" w:before="260"/>
      </w:pPr>
      <w:r>
        <w:rPr>
          <w:color w:val="2E3F84"/>
        </w:rPr>
        <w:t xml:space="preserve">2.1. Iniciar sesión</w:t>
      </w:r>
    </w:p>
    <w:p>
      <w:pPr>
        <w:pStyle w:val="ListParagraph"/>
        <w:numPr>
          <w:ilvl w:val="0"/>
          <w:numId w:val="3"/>
        </w:numPr>
        <w:spacing w:after="80" w:line="276"/>
      </w:pPr>
      <w:r>
        <w:rPr>
          <w:color w:val="1F2433"/>
        </w:rPr>
        <w:t xml:space="preserve">Abrir el navegador e ingresar la dirección del sistema proporcionada por el administrador.</w:t>
      </w:r>
    </w:p>
    <w:p>
      <w:pPr>
        <w:pStyle w:val="ListParagraph"/>
        <w:numPr>
          <w:ilvl w:val="0"/>
          <w:numId w:val="3"/>
        </w:numPr>
        <w:spacing w:after="80" w:line="276"/>
      </w:pPr>
      <w:r>
        <w:rPr>
          <w:color w:val="1F2433"/>
        </w:rPr>
        <w:t xml:space="preserve">Escribir el correo electrónico y la contraseña de la cuenta.</w:t>
      </w:r>
    </w:p>
    <w:p>
      <w:pPr>
        <w:pStyle w:val="ListParagraph"/>
        <w:numPr>
          <w:ilvl w:val="0"/>
          <w:numId w:val="3"/>
        </w:numPr>
        <w:spacing w:after="80" w:line="276"/>
      </w:pPr>
      <w:r>
        <w:rPr>
          <w:color w:val="1F2433"/>
        </w:rPr>
        <w:t xml:space="preserve">Si se desea mantener la sesión abierta, marcar la casilla «Nunca cerrar sesión».</w:t>
      </w:r>
    </w:p>
    <w:p>
      <w:pPr>
        <w:pStyle w:val="ListParagraph"/>
        <w:numPr>
          <w:ilvl w:val="0"/>
          <w:numId w:val="3"/>
        </w:numPr>
        <w:spacing w:after="80" w:line="276"/>
      </w:pPr>
      <w:r>
        <w:rPr>
          <w:color w:val="1F2433"/>
        </w:rPr>
        <w:t xml:space="preserve">Pulsar el botón de ingreso.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ECFB" w:sz="2"/>
              <w:left w:val="single" w:color="1D4ED8" w:sz="24"/>
              <w:bottom w:val="single" w:color="E6ECFB" w:sz="2"/>
              <w:right w:val="single" w:color="E6ECFB" w:sz="2"/>
            </w:tcBorders>
            <w:shd w:fill="E6ECFB" w:val="clear"/>
            <w:tcMar>
              <w:top w:type="dxa" w:w="130"/>
              <w:left w:type="dxa" w:w="200"/>
              <w:bottom w:type="dxa" w:w="130"/>
              <w:right w:type="dxa" w:w="160"/>
            </w:tcMar>
          </w:tcPr>
          <w:p>
            <w:pPr>
              <w:spacing w:after="70"/>
            </w:pPr>
            <w:r>
              <w:rPr>
                <w:b/>
                <w:bCs/>
                <w:color w:val="1D4ED8"/>
                <w:sz w:val="21"/>
                <w:szCs w:val="21"/>
              </w:rPr>
              <w:t xml:space="preserve">Consejo</w:t>
            </w:r>
          </w:p>
          <w:p>
            <w:pPr>
              <w:spacing w:after="0" w:line="272"/>
            </w:pPr>
            <w:r>
              <w:rPr>
                <w:color w:val="1F2433"/>
                <w:sz w:val="20"/>
                <w:szCs w:val="20"/>
              </w:rPr>
              <w:t xml:space="preserve">Si olvidó su contraseña, pulse el enlace «¿Olvidó su contraseña?» en la pantalla de inicio de sesión. El sistema enviará un enlace de recuperación a su correo electrónico.</w:t>
            </w:r>
          </w:p>
        </w:tc>
      </w:tr>
    </w:tbl>
    <w:p>
      <w:pPr>
        <w:pStyle w:val="Heading2"/>
        <w:spacing w:after="140" w:before="260"/>
      </w:pPr>
      <w:r>
        <w:rPr>
          <w:color w:val="2E3F84"/>
        </w:rPr>
        <w:t xml:space="preserve">2.2. Verificación en dos pasos</w:t>
      </w:r>
    </w:p>
    <w:p>
      <w:pPr>
        <w:spacing w:after="120" w:before="0" w:line="276"/>
      </w:pPr>
      <w:r>
        <w:rPr>
          <w:color w:val="1F2433"/>
        </w:rPr>
        <w:t xml:space="preserve">Si su cuenta tiene activada la verificación en dos pasos, después de la contraseña el sistema solicitará un código adicional. Este código se obtiene de una aplicación de autenticación o de los códigos de recuperación entregados al activar la función.</w:t>
      </w:r>
    </w:p>
    <w:p>
      <w:pPr>
        <w:pStyle w:val="Heading2"/>
        <w:spacing w:after="140" w:before="260"/>
      </w:pPr>
      <w:r>
        <w:rPr>
          <w:color w:val="2E3F84"/>
        </w:rPr>
        <w:t xml:space="preserve">2.3. Cambiar el idioma</w:t>
      </w:r>
    </w:p>
    <w:p>
      <w:pPr>
        <w:spacing w:after="120" w:before="0" w:line="276"/>
      </w:pPr>
      <w:r>
        <w:rPr>
          <w:color w:val="1F2433"/>
        </w:rPr>
        <w:t xml:space="preserve">El sistema está disponible en español e inglés. El idioma se cambia con el selector ubicado en la esquina de la pantalla. El idioma elegido queda guardado para los siguientes ingresos.</w:t>
      </w:r>
    </w:p>
    <w:p>
      <w:pPr>
        <w:pStyle w:val="Heading2"/>
        <w:spacing w:after="140" w:before="260"/>
      </w:pPr>
      <w:r>
        <w:rPr>
          <w:color w:val="2E3F84"/>
        </w:rPr>
        <w:t xml:space="preserve">2.4. Cerrar sesión</w:t>
      </w:r>
    </w:p>
    <w:p>
      <w:pPr>
        <w:spacing w:after="120" w:before="0" w:line="276"/>
      </w:pPr>
      <w:r>
        <w:rPr>
          <w:color w:val="1F2433"/>
        </w:rPr>
        <w:t xml:space="preserve">Para salir del sistema de forma segura, abra el menú de usuario y seleccione «Cerrar sesión». Se recomienda cerrar sesión siempre que se deje el equipo desatendido.</w:t>
      </w:r>
    </w:p>
    <w:p>
      <w:r>
        <w:br w:type="page"/>
      </w:r>
    </w:p>
    <w:p>
      <w:pPr>
        <w:pStyle w:val="Heading1"/>
        <w:spacing w:after="160" w:before="320"/>
      </w:pPr>
      <w:r>
        <w:rPr>
          <w:color w:val="2E3F84"/>
        </w:rPr>
        <w:t xml:space="preserve">3. La pantalla de Conversaciones</w:t>
      </w:r>
    </w:p>
    <w:p>
      <w:pPr>
        <w:spacing w:after="120" w:before="0" w:line="276"/>
      </w:pPr>
      <w:r>
        <w:rPr>
          <w:color w:val="1F2433"/>
        </w:rPr>
        <w:t xml:space="preserve">La pantalla de Conversaciones es el centro de trabajo del asesor. Es lo primero que se muestra al ingresar y funciona de manera similar a WhatsApp.</w:t>
      </w:r>
    </w:p>
    <w:p>
      <w:pPr>
        <w:pStyle w:val="Heading2"/>
        <w:spacing w:after="140" w:before="260"/>
      </w:pPr>
      <w:r>
        <w:rPr>
          <w:color w:val="2E3F84"/>
        </w:rPr>
        <w:t xml:space="preserve">3.1. Estructura de la pantalla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Zona</w:t>
            </w:r>
          </w:p>
        </w:tc>
        <w:tc>
          <w:tcPr>
            <w:tcW w:type="dxa" w:w="67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Contenido</w:t>
            </w:r>
          </w:p>
        </w:tc>
      </w:tr>
      <w:tr>
        <w:tc>
          <w:tcPr>
            <w:tcW w:type="dxa" w:w="26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Menú lateral</w:t>
            </w:r>
          </w:p>
        </w:tc>
        <w:tc>
          <w:tcPr>
            <w:tcW w:type="dxa" w:w="67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Iconos de acceso a los módulos del sistema.</w:t>
            </w:r>
          </w:p>
        </w:tc>
      </w:tr>
      <w:tr>
        <w:tc>
          <w:tcPr>
            <w:tcW w:type="dxa" w:w="26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Lista de conversaciones</w:t>
            </w:r>
          </w:p>
        </w:tc>
        <w:tc>
          <w:tcPr>
            <w:tcW w:type="dxa" w:w="67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Columna izquierda con todas las conversaciones, la más reciente arriba.</w:t>
            </w:r>
          </w:p>
        </w:tc>
      </w:tr>
      <w:tr>
        <w:tc>
          <w:tcPr>
            <w:tcW w:type="dxa" w:w="26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Panel de chat</w:t>
            </w:r>
          </w:p>
        </w:tc>
        <w:tc>
          <w:tcPr>
            <w:tcW w:type="dxa" w:w="67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Zona derecha donde se leen y escriben los mensajes de la conversación seleccionada.</w:t>
            </w:r>
          </w:p>
        </w:tc>
      </w:tr>
      <w:tr>
        <w:tc>
          <w:tcPr>
            <w:tcW w:type="dxa" w:w="26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Panel de información</w:t>
            </w:r>
          </w:p>
        </w:tc>
        <w:tc>
          <w:tcPr>
            <w:tcW w:type="dxa" w:w="67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Datos del paciente, etiquetas, especialidad y notas de la conversación.</w:t>
            </w:r>
          </w:p>
        </w:tc>
      </w:tr>
    </w:tbl>
    <w:p>
      <w:pPr>
        <w:spacing w:after="220" w:before="60"/>
        <w:jc w:val="center"/>
      </w:pPr>
      <w:r>
        <w:rPr>
          <w:i/>
          <w:iCs/>
          <w:color w:val="5A6478"/>
          <w:sz w:val="18"/>
          <w:szCs w:val="18"/>
        </w:rPr>
        <w:t xml:space="preserve">Tabla 2. Zonas de la pantalla de Conversaciones.</w:t>
      </w:r>
    </w:p>
    <w:p>
      <w:pPr>
        <w:pStyle w:val="Heading2"/>
        <w:spacing w:after="140" w:before="260"/>
      </w:pPr>
      <w:r>
        <w:rPr>
          <w:color w:val="2E3F84"/>
        </w:rPr>
        <w:t xml:space="preserve">3.2. Buscar conversaciones</w:t>
      </w:r>
    </w:p>
    <w:p>
      <w:pPr>
        <w:spacing w:after="120" w:before="0" w:line="276"/>
      </w:pPr>
      <w:r>
        <w:rPr>
          <w:color w:val="1F2433"/>
        </w:rPr>
        <w:t xml:space="preserve">La casilla de búsqueda, en la parte superior de la lista, permite encontrar una conversación por el nombre del paciente, su número de teléfono o el contenido de los mensajes.</w:t>
      </w:r>
    </w:p>
    <w:p>
      <w:pPr>
        <w:pStyle w:val="Heading2"/>
        <w:spacing w:after="140" w:before="260"/>
      </w:pPr>
      <w:r>
        <w:rPr>
          <w:color w:val="2E3F84"/>
        </w:rPr>
        <w:t xml:space="preserve">3.3. Filtrar conversaciones</w:t>
      </w:r>
    </w:p>
    <w:p>
      <w:pPr>
        <w:spacing w:after="120" w:before="0" w:line="276"/>
      </w:pPr>
      <w:r>
        <w:rPr>
          <w:color w:val="1F2433"/>
        </w:rPr>
        <w:t xml:space="preserve">El botón de filtros permite acotar la lista de conversaciones. Las opciones de filtro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Filtro</w:t>
            </w:r>
          </w:p>
        </w:tc>
        <w:tc>
          <w:tcPr>
            <w:tcW w:type="dxa" w:w="69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Función</w:t>
            </w:r>
          </w:p>
        </w:tc>
      </w:tr>
      <w:tr>
        <w:tc>
          <w:tcPr>
            <w:tcW w:type="dxa" w:w="2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Estado</w:t>
            </w:r>
          </w:p>
        </w:tc>
        <w:tc>
          <w:tcPr>
            <w:tcW w:type="dxa" w:w="69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Muestra conversaciones según su estado: sin responder, en espera, resueltas, agendadas, etc.</w:t>
            </w:r>
          </w:p>
        </w:tc>
      </w:tr>
      <w:tr>
        <w:tc>
          <w:tcPr>
            <w:tcW w:type="dxa" w:w="24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Etiquetas</w:t>
            </w:r>
          </w:p>
        </w:tc>
        <w:tc>
          <w:tcPr>
            <w:tcW w:type="dxa" w:w="69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Muestra solo las conversaciones que tienen una etiqueta determinada.</w:t>
            </w:r>
          </w:p>
        </w:tc>
      </w:tr>
      <w:tr>
        <w:tc>
          <w:tcPr>
            <w:tcW w:type="dxa" w:w="2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Especialidades</w:t>
            </w:r>
          </w:p>
        </w:tc>
        <w:tc>
          <w:tcPr>
            <w:tcW w:type="dxa" w:w="69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Muestra las conversaciones de una especialidad médica determinada.</w:t>
            </w:r>
          </w:p>
        </w:tc>
      </w:tr>
      <w:tr>
        <w:tc>
          <w:tcPr>
            <w:tcW w:type="dxa" w:w="24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Asesor</w:t>
            </w:r>
          </w:p>
        </w:tc>
        <w:tc>
          <w:tcPr>
            <w:tcW w:type="dxa" w:w="69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Permite al administrador ver las conversaciones de un asesor específico.</w:t>
            </w:r>
          </w:p>
        </w:tc>
      </w:tr>
    </w:tbl>
    <w:p>
      <w:pPr>
        <w:spacing w:after="220" w:before="60"/>
        <w:jc w:val="center"/>
      </w:pPr>
      <w:r>
        <w:rPr>
          <w:i/>
          <w:iCs/>
          <w:color w:val="5A6478"/>
          <w:sz w:val="18"/>
          <w:szCs w:val="18"/>
        </w:rPr>
        <w:t xml:space="preserve">Tabla 3. Filtros de la lista de conversaciones.</w:t>
      </w:r>
    </w:p>
    <w:p>
      <w:pPr>
        <w:pStyle w:val="Heading2"/>
        <w:spacing w:after="140" w:before="260"/>
      </w:pPr>
      <w:r>
        <w:rPr>
          <w:color w:val="2E3F84"/>
        </w:rPr>
        <w:t xml:space="preserve">3.4. Indicadores de cada conversación</w:t>
      </w:r>
    </w:p>
    <w:p>
      <w:pPr>
        <w:pStyle w:val="ListParagraph"/>
        <w:numPr>
          <w:ilvl w:val="0"/>
          <w:numId w:val="2"/>
        </w:numPr>
        <w:spacing w:after="60" w:line="276"/>
      </w:pPr>
      <w:r>
        <w:rPr>
          <w:color w:val="1F2433"/>
        </w:rPr>
        <w:t xml:space="preserve">Un círculo con número indica la cantidad de mensajes sin leer.</w:t>
      </w:r>
    </w:p>
    <w:p>
      <w:pPr>
        <w:pStyle w:val="ListParagraph"/>
        <w:numPr>
          <w:ilvl w:val="0"/>
          <w:numId w:val="2"/>
        </w:numPr>
        <w:spacing w:after="60" w:line="276"/>
      </w:pPr>
      <w:r>
        <w:rPr>
          <w:color w:val="1F2433"/>
        </w:rPr>
        <w:t xml:space="preserve">Una etiqueta de color identifica la categoría asignada a la conversación.</w:t>
      </w:r>
    </w:p>
    <w:p>
      <w:pPr>
        <w:pStyle w:val="ListParagraph"/>
        <w:numPr>
          <w:ilvl w:val="0"/>
          <w:numId w:val="2"/>
        </w:numPr>
        <w:spacing w:after="60" w:line="276"/>
      </w:pPr>
      <w:r>
        <w:rPr>
          <w:color w:val="1F2433"/>
        </w:rPr>
        <w:t xml:space="preserve">La especialidad médica aparece como una etiqueta junto al nombre.</w:t>
      </w:r>
    </w:p>
    <w:p>
      <w:pPr>
        <w:pStyle w:val="ListParagraph"/>
        <w:numPr>
          <w:ilvl w:val="0"/>
          <w:numId w:val="2"/>
        </w:numPr>
        <w:spacing w:after="60" w:line="276"/>
      </w:pPr>
      <w:r>
        <w:rPr>
          <w:color w:val="1F2433"/>
        </w:rPr>
        <w:t xml:space="preserve">Las conversaciones fijadas se muestran siempre en la parte superior de la lista.</w:t>
      </w:r>
    </w:p>
    <w:p>
      <w:r>
        <w:br w:type="page"/>
      </w:r>
    </w:p>
    <w:p>
      <w:pPr>
        <w:pStyle w:val="Heading1"/>
        <w:spacing w:after="160" w:before="320"/>
      </w:pPr>
      <w:r>
        <w:rPr>
          <w:color w:val="2E3F84"/>
        </w:rPr>
        <w:t xml:space="preserve">4. Atender a un paciente</w:t>
      </w:r>
    </w:p>
    <w:p>
      <w:pPr>
        <w:spacing w:after="120" w:before="0" w:line="276"/>
      </w:pPr>
      <w:r>
        <w:rPr>
          <w:color w:val="1F2433"/>
        </w:rPr>
        <w:t xml:space="preserve">Esta sección describe el procedimiento completo para atender la conversación de un paciente.</w:t>
      </w:r>
    </w:p>
    <w:p>
      <w:pPr>
        <w:pStyle w:val="Heading2"/>
        <w:spacing w:after="140" w:before="260"/>
      </w:pPr>
      <w:r>
        <w:rPr>
          <w:color w:val="2E3F84"/>
        </w:rPr>
        <w:t xml:space="preserve">4.1. Abrir y leer una conversación</w:t>
      </w:r>
    </w:p>
    <w:p>
      <w:pPr>
        <w:pStyle w:val="ListParagraph"/>
        <w:numPr>
          <w:ilvl w:val="0"/>
          <w:numId w:val="4"/>
        </w:numPr>
        <w:spacing w:after="80" w:line="276"/>
      </w:pPr>
      <w:r>
        <w:rPr>
          <w:color w:val="1F2433"/>
        </w:rPr>
        <w:t xml:space="preserve">En la lista, pulsar sobre la conversación que se desea atender.</w:t>
      </w:r>
    </w:p>
    <w:p>
      <w:pPr>
        <w:pStyle w:val="ListParagraph"/>
        <w:numPr>
          <w:ilvl w:val="0"/>
          <w:numId w:val="4"/>
        </w:numPr>
        <w:spacing w:after="80" w:line="276"/>
      </w:pPr>
      <w:r>
        <w:rPr>
          <w:color w:val="1F2433"/>
        </w:rPr>
        <w:t xml:space="preserve">El panel de chat muestra el historial completo de mensajes.</w:t>
      </w:r>
    </w:p>
    <w:p>
      <w:pPr>
        <w:pStyle w:val="ListParagraph"/>
        <w:numPr>
          <w:ilvl w:val="0"/>
          <w:numId w:val="4"/>
        </w:numPr>
        <w:spacing w:after="80" w:line="276"/>
      </w:pPr>
      <w:r>
        <w:rPr>
          <w:color w:val="1F2433"/>
        </w:rPr>
        <w:t xml:space="preserve">Al abrir la conversación, los mensajes se marcan como leídos automáticamente.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ECFB" w:sz="2"/>
              <w:left w:val="single" w:color="1D4ED8" w:sz="24"/>
              <w:bottom w:val="single" w:color="E6ECFB" w:sz="2"/>
              <w:right w:val="single" w:color="E6ECFB" w:sz="2"/>
            </w:tcBorders>
            <w:shd w:fill="E6ECFB" w:val="clear"/>
            <w:tcMar>
              <w:top w:type="dxa" w:w="130"/>
              <w:left w:type="dxa" w:w="200"/>
              <w:bottom w:type="dxa" w:w="130"/>
              <w:right w:type="dxa" w:w="160"/>
            </w:tcMar>
          </w:tcPr>
          <w:p>
            <w:pPr>
              <w:spacing w:after="70"/>
            </w:pPr>
            <w:r>
              <w:rPr>
                <w:b/>
                <w:bCs/>
                <w:color w:val="1D4ED8"/>
                <w:sz w:val="21"/>
                <w:szCs w:val="21"/>
              </w:rPr>
              <w:t xml:space="preserve">Asignación automática</w:t>
            </w:r>
          </w:p>
          <w:p>
            <w:pPr>
              <w:spacing w:after="0" w:line="272"/>
            </w:pPr>
            <w:r>
              <w:rPr>
                <w:color w:val="1F2433"/>
                <w:sz w:val="20"/>
                <w:szCs w:val="20"/>
              </w:rPr>
              <w:t xml:space="preserve">Cuando un asesor responde una conversación que no estaba asignada, el sistema se la asigna automáticamente y la retira de la bandeja de los demás asesores. Así se evita que dos personas atiendan al mismo paciente al mismo tiempo.</w:t>
            </w:r>
          </w:p>
        </w:tc>
      </w:tr>
    </w:tbl>
    <w:p>
      <w:pPr>
        <w:pStyle w:val="Heading2"/>
        <w:spacing w:after="140" w:before="260"/>
      </w:pPr>
      <w:r>
        <w:rPr>
          <w:color w:val="2E3F84"/>
        </w:rPr>
        <w:t xml:space="preserve">4.2. Responder un mensaje</w:t>
      </w:r>
    </w:p>
    <w:p>
      <w:pPr>
        <w:pStyle w:val="ListParagraph"/>
        <w:numPr>
          <w:ilvl w:val="0"/>
          <w:numId w:val="5"/>
        </w:numPr>
        <w:spacing w:after="80" w:line="276"/>
      </w:pPr>
      <w:r>
        <w:rPr>
          <w:color w:val="1F2433"/>
        </w:rPr>
        <w:t xml:space="preserve">Escribir la respuesta en la casilla de texto, en la parte inferior del panel de chat.</w:t>
      </w:r>
    </w:p>
    <w:p>
      <w:pPr>
        <w:pStyle w:val="ListParagraph"/>
        <w:numPr>
          <w:ilvl w:val="0"/>
          <w:numId w:val="5"/>
        </w:numPr>
        <w:spacing w:after="80" w:line="276"/>
      </w:pPr>
      <w:r>
        <w:rPr>
          <w:color w:val="1F2433"/>
        </w:rPr>
        <w:t xml:space="preserve">Pulsar el botón de envío o la tecla Enter.</w:t>
      </w:r>
    </w:p>
    <w:p>
      <w:pPr>
        <w:pStyle w:val="ListParagraph"/>
        <w:numPr>
          <w:ilvl w:val="0"/>
          <w:numId w:val="5"/>
        </w:numPr>
        <w:spacing w:after="80" w:line="276"/>
      </w:pPr>
      <w:r>
        <w:rPr>
          <w:color w:val="1F2433"/>
        </w:rPr>
        <w:t xml:space="preserve">El mensaje aparece de inmediato en el chat con un indicador de estado.</w:t>
      </w:r>
    </w:p>
    <w:p>
      <w:pPr>
        <w:spacing w:after="120" w:before="0" w:line="276"/>
      </w:pPr>
      <w:r>
        <w:rPr>
          <w:color w:val="1F2433"/>
        </w:rPr>
        <w:t xml:space="preserve">Los estados de un mensaje enviado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Indicador</w:t>
            </w:r>
          </w:p>
        </w:tc>
        <w:tc>
          <w:tcPr>
            <w:tcW w:type="dxa" w:w="69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Significado</w:t>
            </w:r>
          </w:p>
        </w:tc>
      </w:tr>
      <w:tr>
        <w:tc>
          <w:tcPr>
            <w:tcW w:type="dxa" w:w="2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Reloj</w:t>
            </w:r>
          </w:p>
        </w:tc>
        <w:tc>
          <w:tcPr>
            <w:tcW w:type="dxa" w:w="69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El mensaje está pendiente de envío.</w:t>
            </w:r>
          </w:p>
        </w:tc>
      </w:tr>
      <w:tr>
        <w:tc>
          <w:tcPr>
            <w:tcW w:type="dxa" w:w="24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Un visto</w:t>
            </w:r>
          </w:p>
        </w:tc>
        <w:tc>
          <w:tcPr>
            <w:tcW w:type="dxa" w:w="69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El mensaje fue enviado a WhatsApp.</w:t>
            </w:r>
          </w:p>
        </w:tc>
      </w:tr>
      <w:tr>
        <w:tc>
          <w:tcPr>
            <w:tcW w:type="dxa" w:w="2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Doble visto gris</w:t>
            </w:r>
          </w:p>
        </w:tc>
        <w:tc>
          <w:tcPr>
            <w:tcW w:type="dxa" w:w="69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El mensaje fue entregado al teléfono del paciente.</w:t>
            </w:r>
          </w:p>
        </w:tc>
      </w:tr>
      <w:tr>
        <w:tc>
          <w:tcPr>
            <w:tcW w:type="dxa" w:w="24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Doble visto azul</w:t>
            </w:r>
          </w:p>
        </w:tc>
        <w:tc>
          <w:tcPr>
            <w:tcW w:type="dxa" w:w="69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El paciente leyó el mensaje.</w:t>
            </w:r>
          </w:p>
        </w:tc>
      </w:tr>
      <w:tr>
        <w:tc>
          <w:tcPr>
            <w:tcW w:type="dxa" w:w="2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Equis roja</w:t>
            </w:r>
          </w:p>
        </w:tc>
        <w:tc>
          <w:tcPr>
            <w:tcW w:type="dxa" w:w="69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El mensaje falló. Al pasar el cursor se muestra el motivo.</w:t>
            </w:r>
          </w:p>
        </w:tc>
      </w:tr>
    </w:tbl>
    <w:p>
      <w:pPr>
        <w:spacing w:after="220" w:before="60"/>
        <w:jc w:val="center"/>
      </w:pPr>
      <w:r>
        <w:rPr>
          <w:i/>
          <w:iCs/>
          <w:color w:val="5A6478"/>
          <w:sz w:val="18"/>
          <w:szCs w:val="18"/>
        </w:rPr>
        <w:t xml:space="preserve">Tabla 4. Estados de entrega de los mensajes.</w:t>
      </w:r>
    </w:p>
    <w:p>
      <w:pPr>
        <w:pStyle w:val="Heading2"/>
        <w:spacing w:after="140" w:before="260"/>
      </w:pPr>
      <w:r>
        <w:rPr>
          <w:color w:val="2E3F84"/>
        </w:rPr>
        <w:t xml:space="preserve">4.3. La ventana de 24 horas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1D9" w:sz="2"/>
              <w:left w:val="single" w:color="9A6700" w:sz="24"/>
              <w:bottom w:val="single" w:color="FBF1D9" w:sz="2"/>
              <w:right w:val="single" w:color="FBF1D9" w:sz="2"/>
            </w:tcBorders>
            <w:shd w:fill="FBF1D9" w:val="clear"/>
            <w:tcMar>
              <w:top w:type="dxa" w:w="130"/>
              <w:left w:type="dxa" w:w="200"/>
              <w:bottom w:type="dxa" w:w="130"/>
              <w:right w:type="dxa" w:w="160"/>
            </w:tcMar>
          </w:tcPr>
          <w:p>
            <w:pPr>
              <w:spacing w:after="70"/>
            </w:pPr>
            <w:r>
              <w:rPr>
                <w:b/>
                <w:bCs/>
                <w:color w:val="9A6700"/>
                <w:sz w:val="21"/>
                <w:szCs w:val="21"/>
              </w:rPr>
              <w:t xml:space="preserve">Importante</w:t>
            </w:r>
          </w:p>
          <w:p>
            <w:pPr>
              <w:spacing w:after="0" w:line="272"/>
            </w:pPr>
            <w:r>
              <w:rPr>
                <w:color w:val="1F2433"/>
                <w:sz w:val="20"/>
                <w:szCs w:val="20"/>
              </w:rPr>
              <w:t xml:space="preserve">Las reglas de WhatsApp solo permiten escribir libremente a un paciente durante las 24 horas siguientes a su último mensaje. Si ese plazo ha vencido, el sistema lo advertirá: para volver a contactarlo se deberá usar una plantilla de WhatsApp aprobada (ver sección 9).</w:t>
            </w:r>
          </w:p>
        </w:tc>
      </w:tr>
    </w:tbl>
    <w:p>
      <w:pPr>
        <w:pStyle w:val="Heading2"/>
        <w:spacing w:after="140" w:before="260"/>
      </w:pPr>
      <w:r>
        <w:rPr>
          <w:color w:val="2E3F84"/>
        </w:rPr>
        <w:t xml:space="preserve">4.4. Responder a un mensaje específico</w:t>
      </w:r>
    </w:p>
    <w:p>
      <w:pPr>
        <w:spacing w:after="120" w:before="0" w:line="276"/>
      </w:pPr>
      <w:r>
        <w:rPr>
          <w:color w:val="1F2433"/>
        </w:rPr>
        <w:t xml:space="preserve">Para citar un mensaje anterior en la respuesta, deslícelo o use la opción «Responder». La respuesta mostrará el mensaje citado, igual que en WhatsApp.</w:t>
      </w:r>
    </w:p>
    <w:p>
      <w:r>
        <w:br w:type="page"/>
      </w:r>
    </w:p>
    <w:p>
      <w:pPr>
        <w:pStyle w:val="Heading1"/>
        <w:spacing w:after="160" w:before="320"/>
      </w:pPr>
      <w:r>
        <w:rPr>
          <w:color w:val="2E3F84"/>
        </w:rPr>
        <w:t xml:space="preserve">5. Enviar mensajes y archivos</w:t>
      </w:r>
    </w:p>
    <w:p>
      <w:pPr>
        <w:pStyle w:val="Heading2"/>
        <w:spacing w:after="140" w:before="260"/>
      </w:pPr>
      <w:r>
        <w:rPr>
          <w:color w:val="2E3F84"/>
        </w:rPr>
        <w:t xml:space="preserve">5.1. Enviar archivos multimedia</w:t>
      </w:r>
    </w:p>
    <w:p>
      <w:pPr>
        <w:spacing w:after="120" w:before="0" w:line="276"/>
      </w:pPr>
      <w:r>
        <w:rPr>
          <w:color w:val="1F2433"/>
        </w:rPr>
        <w:t xml:space="preserve">Además de texto, se pueden enviar imágenes, documentos, videos y audios. Pulse el botón de adjuntar, seleccione el archivo y, si lo desea, agregue un texto que lo acompañe.</w:t>
      </w:r>
    </w:p>
    <w:p>
      <w:pPr>
        <w:pStyle w:val="Heading2"/>
        <w:spacing w:after="140" w:before="260"/>
      </w:pPr>
      <w:r>
        <w:rPr>
          <w:color w:val="2E3F84"/>
        </w:rPr>
        <w:t xml:space="preserve">5.2. Corrección ortográfica automática</w:t>
      </w:r>
    </w:p>
    <w:p>
      <w:pPr>
        <w:spacing w:after="120" w:before="0" w:line="276"/>
      </w:pPr>
      <w:r>
        <w:rPr>
          <w:color w:val="1F2433"/>
        </w:rPr>
        <w:t xml:space="preserve">Antes de enviarse, los mensajes de texto se corrigen automáticamente de errores de ortografía y gramática. Esta corrección es discreta y no altera el sentido del mensaje.</w:t>
      </w:r>
    </w:p>
    <w:p>
      <w:pPr>
        <w:pStyle w:val="Heading2"/>
        <w:spacing w:after="140" w:before="260"/>
      </w:pPr>
      <w:r>
        <w:rPr>
          <w:color w:val="2E3F84"/>
        </w:rPr>
        <w:t xml:space="preserve">5.3. Notas de voz de los pacientes</w:t>
      </w:r>
    </w:p>
    <w:p>
      <w:pPr>
        <w:spacing w:after="120" w:before="0" w:line="276"/>
      </w:pPr>
      <w:r>
        <w:rPr>
          <w:color w:val="1F2433"/>
        </w:rPr>
        <w:t xml:space="preserve">Cuando un paciente envía una nota de voz, el sistema la transcribe automáticamente a texto. La transcripción aparece junto al audio, lo que permite leer rápidamente el contenido.</w:t>
      </w:r>
    </w:p>
    <w:p>
      <w:pPr>
        <w:pStyle w:val="Heading1"/>
        <w:spacing w:after="160" w:before="320"/>
      </w:pPr>
      <w:r>
        <w:rPr>
          <w:color w:val="2E3F84"/>
        </w:rPr>
        <w:t xml:space="preserve">6. Plantillas de respuesta rápida</w:t>
      </w:r>
    </w:p>
    <w:p>
      <w:pPr>
        <w:spacing w:after="120" w:before="0" w:line="276"/>
      </w:pPr>
      <w:r>
        <w:rPr>
          <w:color w:val="1F2433"/>
        </w:rPr>
        <w:t xml:space="preserve">Las plantillas de respuesta rápida son textos predefinidos que agilizan la atención. Permiten responder preguntas frecuentes sin escribir el mensaje completo.</w:t>
      </w:r>
    </w:p>
    <w:p>
      <w:pPr>
        <w:pStyle w:val="ListParagraph"/>
        <w:numPr>
          <w:ilvl w:val="0"/>
          <w:numId w:val="6"/>
        </w:numPr>
        <w:spacing w:after="80" w:line="276"/>
      </w:pPr>
      <w:r>
        <w:rPr>
          <w:color w:val="1F2433"/>
        </w:rPr>
        <w:t xml:space="preserve">En la casilla de mensaje, abrir el selector de plantillas.</w:t>
      </w:r>
    </w:p>
    <w:p>
      <w:pPr>
        <w:pStyle w:val="ListParagraph"/>
        <w:numPr>
          <w:ilvl w:val="0"/>
          <w:numId w:val="6"/>
        </w:numPr>
        <w:spacing w:after="80" w:line="276"/>
      </w:pPr>
      <w:r>
        <w:rPr>
          <w:color w:val="1F2433"/>
        </w:rPr>
        <w:t xml:space="preserve">Buscar y seleccionar la plantilla deseada.</w:t>
      </w:r>
    </w:p>
    <w:p>
      <w:pPr>
        <w:pStyle w:val="ListParagraph"/>
        <w:numPr>
          <w:ilvl w:val="0"/>
          <w:numId w:val="6"/>
        </w:numPr>
        <w:spacing w:after="80" w:line="276"/>
      </w:pPr>
      <w:r>
        <w:rPr>
          <w:color w:val="1F2433"/>
        </w:rPr>
        <w:t xml:space="preserve">El texto de la plantilla se inserta en la casilla; puede editarse antes de enviar.</w:t>
      </w:r>
    </w:p>
    <w:p>
      <w:pPr>
        <w:pStyle w:val="ListParagraph"/>
        <w:numPr>
          <w:ilvl w:val="0"/>
          <w:numId w:val="6"/>
        </w:numPr>
        <w:spacing w:after="80" w:line="276"/>
      </w:pPr>
      <w:r>
        <w:rPr>
          <w:color w:val="1F2433"/>
        </w:rPr>
        <w:t xml:space="preserve">Pulsar enviar.</w:t>
      </w:r>
    </w:p>
    <w:p>
      <w:pPr>
        <w:spacing w:after="120" w:before="0" w:line="276"/>
      </w:pPr>
      <w:r>
        <w:rPr>
          <w:color w:val="1F2433"/>
        </w:rPr>
        <w:t xml:space="preserve">Las plantillas de respuesta rápida son creadas y administradas por el administrador desde el módulo de Plantillas.</w:t>
      </w:r>
    </w:p>
    <w:p>
      <w:r>
        <w:br w:type="page"/>
      </w:r>
    </w:p>
    <w:p>
      <w:pPr>
        <w:pStyle w:val="Heading1"/>
        <w:spacing w:after="160" w:before="320"/>
      </w:pPr>
      <w:r>
        <w:rPr>
          <w:color w:val="2E3F84"/>
        </w:rPr>
        <w:t xml:space="preserve">7. Organizar las conversaciones</w:t>
      </w:r>
    </w:p>
    <w:p>
      <w:pPr>
        <w:pStyle w:val="Heading2"/>
        <w:spacing w:after="140" w:before="260"/>
      </w:pPr>
      <w:r>
        <w:rPr>
          <w:color w:val="2E3F84"/>
        </w:rPr>
        <w:t xml:space="preserve">7.1. Cambiar el estado de una conversación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Estado</w:t>
            </w:r>
          </w:p>
        </w:tc>
        <w:tc>
          <w:tcPr>
            <w:tcW w:type="dxa" w:w="71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Cuándo usarlo</w:t>
            </w:r>
          </w:p>
        </w:tc>
      </w:tr>
      <w:tr>
        <w:tc>
          <w:tcPr>
            <w:tcW w:type="dxa" w:w="22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Activa</w:t>
            </w:r>
          </w:p>
        </w:tc>
        <w:tc>
          <w:tcPr>
            <w:tcW w:type="dxa" w:w="71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La conversación está en atención.</w:t>
            </w:r>
          </w:p>
        </w:tc>
      </w:tr>
      <w:tr>
        <w:tc>
          <w:tcPr>
            <w:tcW w:type="dxa" w:w="22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En espera</w:t>
            </w:r>
          </w:p>
        </w:tc>
        <w:tc>
          <w:tcPr>
            <w:tcW w:type="dxa" w:w="71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Se aguarda una respuesta del paciente o una gestión interna.</w:t>
            </w:r>
          </w:p>
        </w:tc>
      </w:tr>
      <w:tr>
        <w:tc>
          <w:tcPr>
            <w:tcW w:type="dxa" w:w="22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Resuelta</w:t>
            </w:r>
          </w:p>
        </w:tc>
        <w:tc>
          <w:tcPr>
            <w:tcW w:type="dxa" w:w="71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La atención finalizó. La conversación sale de la bandeja principal.</w:t>
            </w:r>
          </w:p>
        </w:tc>
      </w:tr>
      <w:tr>
        <w:tc>
          <w:tcPr>
            <w:tcW w:type="dxa" w:w="22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Agendada</w:t>
            </w:r>
          </w:p>
        </w:tc>
        <w:tc>
          <w:tcPr>
            <w:tcW w:type="dxa" w:w="71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La cita del paciente quedó programada. Se marca con la etiqueta «Agendado».</w:t>
            </w:r>
          </w:p>
        </w:tc>
      </w:tr>
    </w:tbl>
    <w:p>
      <w:pPr>
        <w:spacing w:after="220" w:before="60"/>
        <w:jc w:val="center"/>
      </w:pPr>
      <w:r>
        <w:rPr>
          <w:i/>
          <w:iCs/>
          <w:color w:val="5A6478"/>
          <w:sz w:val="18"/>
          <w:szCs w:val="18"/>
        </w:rPr>
        <w:t xml:space="preserve">Tabla 5. Estados de una conversación.</w:t>
      </w:r>
    </w:p>
    <w:p>
      <w:pPr>
        <w:pStyle w:val="Heading2"/>
        <w:spacing w:after="140" w:before="260"/>
      </w:pPr>
      <w:r>
        <w:rPr>
          <w:color w:val="2E3F84"/>
        </w:rPr>
        <w:t xml:space="preserve">7.2. Etiquetas</w:t>
      </w:r>
    </w:p>
    <w:p>
      <w:pPr>
        <w:spacing w:after="120" w:before="0" w:line="276"/>
      </w:pPr>
      <w:r>
        <w:rPr>
          <w:color w:val="1F2433"/>
        </w:rPr>
        <w:t xml:space="preserve">Las etiquetas son marcas de color que clasifican las conversaciones (por EPS, por estado de gestión, etc.). Para asignar una etiqueta, abra el menú de la conversación y seleccione o cree la etiqueta deseada. Las etiquetas permiten luego filtrar la bandeja.</w:t>
      </w:r>
    </w:p>
    <w:p>
      <w:pPr>
        <w:pStyle w:val="Heading2"/>
        <w:spacing w:after="140" w:before="260"/>
      </w:pPr>
      <w:r>
        <w:rPr>
          <w:color w:val="2E3F84"/>
        </w:rPr>
        <w:t xml:space="preserve">7.3. Especialidad</w:t>
      </w:r>
    </w:p>
    <w:p>
      <w:pPr>
        <w:spacing w:after="120" w:before="0" w:line="276"/>
      </w:pPr>
      <w:r>
        <w:rPr>
          <w:color w:val="1F2433"/>
        </w:rPr>
        <w:t xml:space="preserve">Cada conversación puede asociarse a una especialidad médica. La especialidad se muestra como una etiqueta y permite filtrar las conversaciones por área de atención.</w:t>
      </w:r>
    </w:p>
    <w:p>
      <w:pPr>
        <w:pStyle w:val="Heading2"/>
        <w:spacing w:after="140" w:before="260"/>
      </w:pPr>
      <w:r>
        <w:rPr>
          <w:color w:val="2E3F84"/>
        </w:rPr>
        <w:t xml:space="preserve">7.4. Notas internas</w:t>
      </w:r>
    </w:p>
    <w:p>
      <w:pPr>
        <w:spacing w:after="120" w:before="0" w:line="276"/>
      </w:pPr>
      <w:r>
        <w:rPr>
          <w:color w:val="1F2433"/>
        </w:rPr>
        <w:t xml:space="preserve">El panel de información permite escribir notas internas sobre la conversación. Estas notas son visibles solo para el personal del hospital, nunca para el paciente, y se guardan automáticamente.</w:t>
      </w:r>
    </w:p>
    <w:p>
      <w:pPr>
        <w:pStyle w:val="Heading2"/>
        <w:spacing w:after="140" w:before="260"/>
      </w:pPr>
      <w:r>
        <w:rPr>
          <w:color w:val="2E3F84"/>
        </w:rPr>
        <w:t xml:space="preserve">7.5. Fijar una conversación</w:t>
      </w:r>
    </w:p>
    <w:p>
      <w:pPr>
        <w:spacing w:after="120" w:before="0" w:line="276"/>
      </w:pPr>
      <w:r>
        <w:rPr>
          <w:color w:val="1F2433"/>
        </w:rPr>
        <w:t xml:space="preserve">Las conversaciones importantes pueden fijarse para que aparezcan siempre en la parte superior de la lista. El fijado es personal de cada usuario.</w:t>
      </w:r>
    </w:p>
    <w:p>
      <w:pPr>
        <w:pStyle w:val="Heading2"/>
        <w:spacing w:after="140" w:before="260"/>
      </w:pPr>
      <w:r>
        <w:rPr>
          <w:color w:val="2E3F84"/>
        </w:rPr>
        <w:t xml:space="preserve">7.6. Bloquear un contacto</w:t>
      </w:r>
    </w:p>
    <w:p>
      <w:pPr>
        <w:spacing w:after="120" w:before="0" w:line="276"/>
      </w:pPr>
      <w:r>
        <w:rPr>
          <w:color w:val="1F2433"/>
        </w:rPr>
        <w:t xml:space="preserve">Si un número genera mensajes no deseados, puede bloquearse. Las conversaciones bloqueadas dejan de recibir mensajes y se ocultan de la bandeja principal.</w:t>
      </w:r>
    </w:p>
    <w:p>
      <w:pPr>
        <w:pStyle w:val="Heading2"/>
        <w:spacing w:after="140" w:before="260"/>
      </w:pPr>
      <w:r>
        <w:rPr>
          <w:color w:val="2E3F84"/>
        </w:rPr>
        <w:t xml:space="preserve">7.7. Exportar una conversación a PDF</w:t>
      </w:r>
    </w:p>
    <w:p>
      <w:pPr>
        <w:spacing w:after="120" w:before="0" w:line="276"/>
      </w:pPr>
      <w:r>
        <w:rPr>
          <w:color w:val="1F2433"/>
        </w:rPr>
        <w:t xml:space="preserve">El sistema permite descargar el historial completo de una conversación en formato PDF, útil para respaldos o para anexar a un expediente.</w:t>
      </w:r>
    </w:p>
    <w:p>
      <w:r>
        <w:br w:type="page"/>
      </w:r>
    </w:p>
    <w:p>
      <w:pPr>
        <w:pStyle w:val="Heading1"/>
        <w:spacing w:after="160" w:before="320"/>
      </w:pPr>
      <w:r>
        <w:rPr>
          <w:color w:val="2E3F84"/>
        </w:rPr>
        <w:t xml:space="preserve">8. Envíos masivos</w:t>
      </w:r>
    </w:p>
    <w:p>
      <w:pPr>
        <w:spacing w:after="120" w:before="0" w:line="276"/>
      </w:pPr>
      <w:r>
        <w:rPr>
          <w:color w:val="1F2433"/>
        </w:rPr>
        <w:t xml:space="preserve">El módulo de Envíos masivos permite enviar una plantilla de WhatsApp a muchos pacientes a la vez, a partir de un archivo de Excel. Está disponible para administradores y para los asesores autorizados.</w:t>
      </w:r>
    </w:p>
    <w:p>
      <w:pPr>
        <w:pStyle w:val="Heading2"/>
        <w:spacing w:after="140" w:before="260"/>
      </w:pPr>
      <w:r>
        <w:rPr>
          <w:color w:val="2E3F84"/>
        </w:rPr>
        <w:t xml:space="preserve">8.1. Realizar un envío masivo</w:t>
      </w:r>
    </w:p>
    <w:p>
      <w:pPr>
        <w:pStyle w:val="ListParagraph"/>
        <w:numPr>
          <w:ilvl w:val="0"/>
          <w:numId w:val="7"/>
        </w:numPr>
        <w:spacing w:after="80" w:line="276"/>
      </w:pPr>
      <w:r>
        <w:rPr>
          <w:color w:val="1F2433"/>
        </w:rPr>
        <w:t xml:space="preserve">Ingresar al módulo «Envíos masivos» y abrir la pestaña «Enviar».</w:t>
      </w:r>
    </w:p>
    <w:p>
      <w:pPr>
        <w:pStyle w:val="ListParagraph"/>
        <w:numPr>
          <w:ilvl w:val="0"/>
          <w:numId w:val="7"/>
        </w:numPr>
        <w:spacing w:after="80" w:line="276"/>
      </w:pPr>
      <w:r>
        <w:rPr>
          <w:color w:val="1F2433"/>
        </w:rPr>
        <w:t xml:space="preserve">Escribir, opcionalmente, un nombre para identificar la campaña.</w:t>
      </w:r>
    </w:p>
    <w:p>
      <w:pPr>
        <w:pStyle w:val="ListParagraph"/>
        <w:numPr>
          <w:ilvl w:val="0"/>
          <w:numId w:val="7"/>
        </w:numPr>
        <w:spacing w:after="80" w:line="276"/>
      </w:pPr>
      <w:r>
        <w:rPr>
          <w:color w:val="1F2433"/>
        </w:rPr>
        <w:t xml:space="preserve">Seleccionar la plantilla de WhatsApp que se desea enviar.</w:t>
      </w:r>
    </w:p>
    <w:p>
      <w:pPr>
        <w:pStyle w:val="ListParagraph"/>
        <w:numPr>
          <w:ilvl w:val="0"/>
          <w:numId w:val="7"/>
        </w:numPr>
        <w:spacing w:after="80" w:line="276"/>
      </w:pPr>
      <w:r>
        <w:rPr>
          <w:color w:val="1F2433"/>
        </w:rPr>
        <w:t xml:space="preserve">Cargar el archivo de Excel con los destinatarios (arrastrándolo o pulsando para seleccionarlo).</w:t>
      </w:r>
    </w:p>
    <w:p>
      <w:pPr>
        <w:pStyle w:val="ListParagraph"/>
        <w:numPr>
          <w:ilvl w:val="0"/>
          <w:numId w:val="7"/>
        </w:numPr>
        <w:spacing w:after="80" w:line="276"/>
      </w:pPr>
      <w:r>
        <w:rPr>
          <w:color w:val="1F2433"/>
        </w:rPr>
        <w:t xml:space="preserve">Asociar cada parámetro de la plantilla con la columna correspondiente del Excel.</w:t>
      </w:r>
    </w:p>
    <w:p>
      <w:pPr>
        <w:pStyle w:val="ListParagraph"/>
        <w:numPr>
          <w:ilvl w:val="0"/>
          <w:numId w:val="7"/>
        </w:numPr>
        <w:spacing w:after="80" w:line="276"/>
      </w:pPr>
      <w:r>
        <w:rPr>
          <w:color w:val="1F2433"/>
        </w:rPr>
        <w:t xml:space="preserve">Revisar la vista previa, que muestra el mensaje con los datos del primer destinatario.</w:t>
      </w:r>
    </w:p>
    <w:p>
      <w:pPr>
        <w:pStyle w:val="ListParagraph"/>
        <w:numPr>
          <w:ilvl w:val="0"/>
          <w:numId w:val="7"/>
        </w:numPr>
        <w:spacing w:after="80" w:line="276"/>
      </w:pPr>
      <w:r>
        <w:rPr>
          <w:color w:val="1F2433"/>
        </w:rPr>
        <w:t xml:space="preserve">Pulsar «Enviar» y confirmar.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9E7" w:sz="2"/>
              <w:left w:val="single" w:color="B42318" w:sz="24"/>
              <w:bottom w:val="single" w:color="FBE9E7" w:sz="2"/>
              <w:right w:val="single" w:color="FBE9E7" w:sz="2"/>
            </w:tcBorders>
            <w:shd w:fill="FBE9E7" w:val="clear"/>
            <w:tcMar>
              <w:top w:type="dxa" w:w="130"/>
              <w:left w:type="dxa" w:w="200"/>
              <w:bottom w:type="dxa" w:w="130"/>
              <w:right w:type="dxa" w:w="160"/>
            </w:tcMar>
          </w:tcPr>
          <w:p>
            <w:pPr>
              <w:spacing w:after="70"/>
            </w:pPr>
            <w:r>
              <w:rPr>
                <w:b/>
                <w:bCs/>
                <w:color w:val="B42318"/>
                <w:sz w:val="21"/>
                <w:szCs w:val="21"/>
              </w:rPr>
              <w:t xml:space="preserve">Mapeo de columnas — paso clave</w:t>
            </w:r>
          </w:p>
          <w:p>
            <w:pPr>
              <w:spacing w:after="0" w:line="272"/>
            </w:pPr>
            <w:r>
              <w:rPr>
                <w:color w:val="1F2433"/>
                <w:sz w:val="20"/>
                <w:szCs w:val="20"/>
              </w:rPr>
              <w:t xml:space="preserve">Cada parámetro de la plantilla (por ejemplo, nombre, fecha, hora) debe asociarse manualmente a una columna del Excel o a un valor fijo. El botón de envío permanece desactivado hasta que TODOS los parámetros estén asociados. Verifique siempre la vista previa antes de enviar: un mapeo incorrecto haría que todos los pacientes reciban datos equivocados.</w:t>
            </w:r>
          </w:p>
        </w:tc>
      </w:tr>
    </w:tbl>
    <w:p>
      <w:pPr>
        <w:pStyle w:val="Heading2"/>
        <w:spacing w:after="140" w:before="260"/>
      </w:pPr>
      <w:r>
        <w:rPr>
          <w:color w:val="2E3F84"/>
        </w:rPr>
        <w:t xml:space="preserve">8.2. Seguimiento de la campaña</w:t>
      </w:r>
    </w:p>
    <w:p>
      <w:pPr>
        <w:spacing w:after="120" w:before="0" w:line="276"/>
      </w:pPr>
      <w:r>
        <w:rPr>
          <w:color w:val="1F2433"/>
        </w:rPr>
        <w:t xml:space="preserve">Durante el envío, una barra de progreso muestra el avance (total, enviados, fallidos y pendientes). El envío puede cancelarse mientras está en curso. Al finalizar, la campaña queda registrada en el historial, donde puede consultarse el detalle de cada destinatario.</w:t>
      </w:r>
    </w:p>
    <w:p>
      <w:r>
        <w:br w:type="page"/>
      </w:r>
    </w:p>
    <w:p>
      <w:pPr>
        <w:pStyle w:val="Heading1"/>
        <w:spacing w:after="160" w:before="320"/>
      </w:pPr>
      <w:r>
        <w:rPr>
          <w:color w:val="2E3F84"/>
        </w:rPr>
        <w:t xml:space="preserve">9. Plantillas de WhatsApp</w:t>
      </w:r>
    </w:p>
    <w:p>
      <w:pPr>
        <w:spacing w:after="120" w:before="0" w:line="276"/>
      </w:pPr>
      <w:r>
        <w:rPr>
          <w:color w:val="1F2433"/>
        </w:rPr>
        <w:t xml:space="preserve">Las plantillas de WhatsApp son mensajes preaprobados por Meta. Son obligatorias para contactar a un paciente fuera de la ventana de 24 horas y para los envíos masivos.</w:t>
      </w:r>
    </w:p>
    <w:p>
      <w:pPr>
        <w:pStyle w:val="Heading2"/>
        <w:spacing w:after="140" w:before="260"/>
      </w:pPr>
      <w:r>
        <w:rPr>
          <w:color w:val="2E3F84"/>
        </w:rPr>
        <w:t xml:space="preserve">9.1. Consultar las plantillas</w:t>
      </w:r>
    </w:p>
    <w:p>
      <w:pPr>
        <w:spacing w:after="120" w:before="0" w:line="276"/>
      </w:pPr>
      <w:r>
        <w:rPr>
          <w:color w:val="1F2433"/>
        </w:rPr>
        <w:t xml:space="preserve">En el módulo de Envíos masivos, la pestaña «Plantillas» muestra el catálogo de plantillas con su estado de aprobación (aprobada, pendiente o rechazada), su categoría y su idioma.</w:t>
      </w:r>
    </w:p>
    <w:p>
      <w:pPr>
        <w:pStyle w:val="Heading2"/>
        <w:spacing w:after="140" w:before="260"/>
      </w:pPr>
      <w:r>
        <w:rPr>
          <w:color w:val="2E3F84"/>
        </w:rPr>
        <w:t xml:space="preserve">9.2. Crear una plantilla</w:t>
      </w:r>
    </w:p>
    <w:p>
      <w:pPr>
        <w:spacing w:after="120" w:before="0" w:line="276"/>
      </w:pPr>
      <w:r>
        <w:rPr>
          <w:color w:val="1F2433"/>
        </w:rPr>
        <w:t xml:space="preserve">Una plantilla nueva se crea desde esa misma pestaña. Se define un nombre, una categoría, el idioma y el texto del mensaje, que puede incluir parámetros variables. La plantilla se envía a Meta para su revisión y solo puede usarse una vez aprobada.</w:t>
      </w:r>
    </w:p>
    <w:p>
      <w:pPr>
        <w:pStyle w:val="Heading2"/>
        <w:spacing w:after="140" w:before="260"/>
      </w:pPr>
      <w:r>
        <w:rPr>
          <w:color w:val="2E3F84"/>
        </w:rPr>
        <w:t xml:space="preserve">9.3. Enviar una plantilla en una conversación</w:t>
      </w:r>
    </w:p>
    <w:p>
      <w:pPr>
        <w:spacing w:after="120" w:before="0" w:line="276"/>
      </w:pPr>
      <w:r>
        <w:rPr>
          <w:color w:val="1F2433"/>
        </w:rPr>
        <w:t xml:space="preserve">Dentro de una conversación, el botón de plantillas de WhatsApp permite enviar una plantilla aprobada, completando sus parámetros. Es la forma de reactivar el contacto con un paciente cuando la ventana de 24 horas ya venció.</w:t>
      </w:r>
    </w:p>
    <w:p>
      <w:r>
        <w:br w:type="page"/>
      </w:r>
    </w:p>
    <w:p>
      <w:pPr>
        <w:pStyle w:val="Heading1"/>
        <w:spacing w:after="160" w:before="320"/>
      </w:pPr>
      <w:r>
        <w:rPr>
          <w:color w:val="2E3F84"/>
        </w:rPr>
        <w:t xml:space="preserve">10. Citas y recordatorios</w:t>
      </w:r>
    </w:p>
    <w:p>
      <w:pPr>
        <w:spacing w:after="120" w:before="0" w:line="276"/>
      </w:pPr>
      <w:r>
        <w:rPr>
          <w:color w:val="1F2433"/>
        </w:rPr>
        <w:t xml:space="preserve">El módulo de Citas permite cargar la programación de citas del hospital y enviar recordatorios automáticos a los pacientes. Está disponible para administradores.</w:t>
      </w:r>
    </w:p>
    <w:p>
      <w:pPr>
        <w:pStyle w:val="Heading2"/>
        <w:spacing w:after="140" w:before="260"/>
      </w:pPr>
      <w:r>
        <w:rPr>
          <w:color w:val="2E3F84"/>
        </w:rPr>
        <w:t xml:space="preserve">10.1. Cargar las citas</w:t>
      </w:r>
    </w:p>
    <w:p>
      <w:pPr>
        <w:pStyle w:val="ListParagraph"/>
        <w:numPr>
          <w:ilvl w:val="0"/>
          <w:numId w:val="8"/>
        </w:numPr>
        <w:spacing w:after="80" w:line="276"/>
      </w:pPr>
      <w:r>
        <w:rPr>
          <w:color w:val="1F2433"/>
        </w:rPr>
        <w:t xml:space="preserve">Ingresar al módulo «Citas».</w:t>
      </w:r>
    </w:p>
    <w:p>
      <w:pPr>
        <w:pStyle w:val="ListParagraph"/>
        <w:numPr>
          <w:ilvl w:val="0"/>
          <w:numId w:val="8"/>
        </w:numPr>
        <w:spacing w:after="80" w:line="276"/>
      </w:pPr>
      <w:r>
        <w:rPr>
          <w:color w:val="1F2433"/>
        </w:rPr>
        <w:t xml:space="preserve">Pulsar la opción de carga y seleccionar el archivo de Excel con la programación.</w:t>
      </w:r>
    </w:p>
    <w:p>
      <w:pPr>
        <w:pStyle w:val="ListParagraph"/>
        <w:numPr>
          <w:ilvl w:val="0"/>
          <w:numId w:val="8"/>
        </w:numPr>
        <w:spacing w:after="80" w:line="276"/>
      </w:pPr>
      <w:r>
        <w:rPr>
          <w:color w:val="1F2433"/>
        </w:rPr>
        <w:t xml:space="preserve">El sistema procesa el archivo, descarta las citas duplicadas y muestra el total cargado.</w:t>
      </w:r>
    </w:p>
    <w:p>
      <w:pPr>
        <w:pStyle w:val="Heading2"/>
        <w:spacing w:after="140" w:before="260"/>
      </w:pPr>
      <w:r>
        <w:rPr>
          <w:color w:val="2E3F84"/>
        </w:rPr>
        <w:t xml:space="preserve">10.2. Enviar los recordatorios</w:t>
      </w:r>
    </w:p>
    <w:p>
      <w:pPr>
        <w:spacing w:after="120" w:before="0" w:line="276"/>
      </w:pPr>
      <w:r>
        <w:rPr>
          <w:color w:val="1F2433"/>
        </w:rPr>
        <w:t xml:space="preserve">Una vez cargadas las citas, se puede iniciar el envío de recordatorios. El sistema envía un mensaje a cada paciente con cita próxima. El progreso se muestra en pantalla y el envío puede pausarse, reanudarse o detenerse.</w:t>
      </w:r>
    </w:p>
    <w:p>
      <w:pPr>
        <w:pStyle w:val="Heading2"/>
        <w:spacing w:after="140" w:before="260"/>
      </w:pPr>
      <w:r>
        <w:rPr>
          <w:color w:val="2E3F84"/>
        </w:rPr>
        <w:t xml:space="preserve">10.3. Respuestas de los pacientes</w:t>
      </w:r>
    </w:p>
    <w:p>
      <w:pPr>
        <w:spacing w:after="120" w:before="0" w:line="276"/>
      </w:pPr>
      <w:r>
        <w:rPr>
          <w:color w:val="1F2433"/>
        </w:rPr>
        <w:t xml:space="preserve">Cuando un paciente responde al recordatorio confirmando o cancelando su cita, el sistema actualiza automáticamente el estado de la cita y le envía una respuesta de confirmación.</w:t>
      </w:r>
    </w:p>
    <w:p>
      <w:pPr>
        <w:pStyle w:val="Heading1"/>
        <w:spacing w:after="160" w:before="320"/>
      </w:pPr>
      <w:r>
        <w:rPr>
          <w:color w:val="2E3F84"/>
        </w:rPr>
        <w:t xml:space="preserve">11. Estadísticas</w:t>
      </w:r>
    </w:p>
    <w:p>
      <w:pPr>
        <w:spacing w:after="120" w:before="0" w:line="276"/>
      </w:pPr>
      <w:r>
        <w:rPr>
          <w:color w:val="1F2433"/>
        </w:rPr>
        <w:t xml:space="preserve">El módulo de Estadísticas presenta los indicadores de gestión del sistema. Está disponible para administradores.</w:t>
      </w:r>
    </w:p>
    <w:p>
      <w:pPr>
        <w:pStyle w:val="ListParagraph"/>
        <w:numPr>
          <w:ilvl w:val="0"/>
          <w:numId w:val="2"/>
        </w:numPr>
        <w:spacing w:after="60" w:line="276"/>
      </w:pPr>
      <w:r>
        <w:rPr>
          <w:color w:val="1F2433"/>
        </w:rPr>
        <w:t xml:space="preserve">Volumen de mensajes intercambiados y su estado de entrega.</w:t>
      </w:r>
    </w:p>
    <w:p>
      <w:pPr>
        <w:pStyle w:val="ListParagraph"/>
        <w:numPr>
          <w:ilvl w:val="0"/>
          <w:numId w:val="2"/>
        </w:numPr>
        <w:spacing w:after="60" w:line="276"/>
      </w:pPr>
      <w:r>
        <w:rPr>
          <w:color w:val="1F2433"/>
        </w:rPr>
        <w:t xml:space="preserve">Estado de las conversaciones (activas, resueltas, agendadas, etc.).</w:t>
      </w:r>
    </w:p>
    <w:p>
      <w:pPr>
        <w:pStyle w:val="ListParagraph"/>
        <w:numPr>
          <w:ilvl w:val="0"/>
          <w:numId w:val="2"/>
        </w:numPr>
        <w:spacing w:after="60" w:line="276"/>
      </w:pPr>
      <w:r>
        <w:rPr>
          <w:color w:val="1F2433"/>
        </w:rPr>
        <w:t xml:space="preserve">Resultado de las citas (confirmadas, canceladas, pendientes).</w:t>
      </w:r>
    </w:p>
    <w:p>
      <w:pPr>
        <w:pStyle w:val="ListParagraph"/>
        <w:numPr>
          <w:ilvl w:val="0"/>
          <w:numId w:val="2"/>
        </w:numPr>
        <w:spacing w:after="60" w:line="276"/>
      </w:pPr>
      <w:r>
        <w:rPr>
          <w:color w:val="1F2433"/>
        </w:rPr>
        <w:t xml:space="preserve">Desempeño de cada asesor: conversaciones atendidas, mensajes enviados y tiempo de respuesta.</w:t>
      </w:r>
    </w:p>
    <w:p>
      <w:pPr>
        <w:spacing w:after="120" w:before="0" w:line="276"/>
      </w:pPr>
      <w:r>
        <w:rPr>
          <w:color w:val="1F2433"/>
        </w:rPr>
        <w:t xml:space="preserve">Los indicadores pueden filtrarse por periodo (día, semana, mes, año o rango personalizado), visualizarse como tabla o como gráficos, y exportarse a Excel.</w:t>
      </w:r>
    </w:p>
    <w:p>
      <w:r>
        <w:br w:type="page"/>
      </w:r>
    </w:p>
    <w:p>
      <w:pPr>
        <w:pStyle w:val="Heading1"/>
        <w:spacing w:after="160" w:before="320"/>
      </w:pPr>
      <w:r>
        <w:rPr>
          <w:color w:val="2E3F84"/>
        </w:rPr>
        <w:t xml:space="preserve">12. Chat interno</w:t>
      </w:r>
    </w:p>
    <w:p>
      <w:pPr>
        <w:spacing w:after="120" w:before="0" w:line="276"/>
      </w:pPr>
      <w:r>
        <w:rPr>
          <w:color w:val="1F2433"/>
        </w:rPr>
        <w:t xml:space="preserve">El chat interno es una herramienta de mensajería entre los miembros del equipo del hospital, independiente de WhatsApp. Permite coordinar la atención sin salir del sistema.</w:t>
      </w:r>
    </w:p>
    <w:p>
      <w:pPr>
        <w:pStyle w:val="ListParagraph"/>
        <w:numPr>
          <w:ilvl w:val="0"/>
          <w:numId w:val="2"/>
        </w:numPr>
        <w:spacing w:after="60" w:line="276"/>
      </w:pPr>
      <w:r>
        <w:rPr>
          <w:color w:val="1F2433"/>
        </w:rPr>
        <w:t xml:space="preserve">Conversaciones individuales con cualquier compañero de trabajo.</w:t>
      </w:r>
    </w:p>
    <w:p>
      <w:pPr>
        <w:pStyle w:val="ListParagraph"/>
        <w:numPr>
          <w:ilvl w:val="0"/>
          <w:numId w:val="2"/>
        </w:numPr>
        <w:spacing w:after="60" w:line="276"/>
      </w:pPr>
      <w:r>
        <w:rPr>
          <w:color w:val="1F2433"/>
        </w:rPr>
        <w:t xml:space="preserve">Conversaciones grupales para coordinar equipos.</w:t>
      </w:r>
    </w:p>
    <w:p>
      <w:pPr>
        <w:pStyle w:val="ListParagraph"/>
        <w:numPr>
          <w:ilvl w:val="0"/>
          <w:numId w:val="2"/>
        </w:numPr>
        <w:spacing w:after="60" w:line="276"/>
      </w:pPr>
      <w:r>
        <w:rPr>
          <w:color w:val="1F2433"/>
        </w:rPr>
        <w:t xml:space="preserve">Envío de archivos.</w:t>
      </w:r>
    </w:p>
    <w:p>
      <w:pPr>
        <w:pStyle w:val="ListParagraph"/>
        <w:numPr>
          <w:ilvl w:val="0"/>
          <w:numId w:val="2"/>
        </w:numPr>
        <w:spacing w:after="60" w:line="276"/>
      </w:pPr>
      <w:r>
        <w:rPr>
          <w:color w:val="1F2433"/>
        </w:rPr>
        <w:t xml:space="preserve">Confirmaciones de lectura («visto por»).</w:t>
      </w:r>
    </w:p>
    <w:p>
      <w:pPr>
        <w:pStyle w:val="Heading1"/>
        <w:spacing w:after="160" w:before="320"/>
      </w:pPr>
      <w:r>
        <w:rPr>
          <w:color w:val="2E3F84"/>
        </w:rPr>
        <w:t xml:space="preserve">13. Gestión de usuarios</w:t>
      </w:r>
    </w:p>
    <w:p>
      <w:pPr>
        <w:spacing w:after="120" w:before="0" w:line="276"/>
      </w:pPr>
      <w:r>
        <w:rPr>
          <w:color w:val="1F2433"/>
        </w:rPr>
        <w:t xml:space="preserve">El módulo de Usuarios, disponible solo para administradores, permite gestionar las cuentas del sistema.</w:t>
      </w:r>
    </w:p>
    <w:p>
      <w:pPr>
        <w:pStyle w:val="ListParagraph"/>
        <w:numPr>
          <w:ilvl w:val="0"/>
          <w:numId w:val="2"/>
        </w:numPr>
        <w:spacing w:after="60" w:line="276"/>
      </w:pPr>
      <w:r>
        <w:rPr>
          <w:color w:val="1F2433"/>
        </w:rPr>
        <w:t xml:space="preserve">Crear cuentas nuevas, definiendo nombre, correo, contraseña y rol.</w:t>
      </w:r>
    </w:p>
    <w:p>
      <w:pPr>
        <w:pStyle w:val="ListParagraph"/>
        <w:numPr>
          <w:ilvl w:val="0"/>
          <w:numId w:val="2"/>
        </w:numPr>
        <w:spacing w:after="60" w:line="276"/>
      </w:pPr>
      <w:r>
        <w:rPr>
          <w:color w:val="1F2433"/>
        </w:rPr>
        <w:t xml:space="preserve">Editar los datos de una cuenta existente.</w:t>
      </w:r>
    </w:p>
    <w:p>
      <w:pPr>
        <w:pStyle w:val="ListParagraph"/>
        <w:numPr>
          <w:ilvl w:val="0"/>
          <w:numId w:val="2"/>
        </w:numPr>
        <w:spacing w:after="60" w:line="276"/>
      </w:pPr>
      <w:r>
        <w:rPr>
          <w:color w:val="1F2433"/>
        </w:rPr>
        <w:t xml:space="preserve">Conceder o retirar el permiso de envíos masivos a un asesor.</w:t>
      </w:r>
    </w:p>
    <w:p>
      <w:pPr>
        <w:pStyle w:val="ListParagraph"/>
        <w:numPr>
          <w:ilvl w:val="0"/>
          <w:numId w:val="2"/>
        </w:numPr>
        <w:spacing w:after="60" w:line="276"/>
      </w:pPr>
      <w:r>
        <w:rPr>
          <w:color w:val="1F2433"/>
        </w:rPr>
        <w:t xml:space="preserve">Consultar el estado de conexión de cada usuario.</w:t>
      </w:r>
    </w:p>
    <w:p>
      <w:pPr>
        <w:pStyle w:val="Heading1"/>
        <w:spacing w:after="160" w:before="320"/>
      </w:pPr>
      <w:r>
        <w:rPr>
          <w:color w:val="2E3F84"/>
        </w:rPr>
        <w:t xml:space="preserve">14. Ajustes del sistema</w:t>
      </w:r>
    </w:p>
    <w:p>
      <w:pPr>
        <w:spacing w:after="120" w:before="0" w:line="276"/>
      </w:pPr>
      <w:r>
        <w:rPr>
          <w:color w:val="1F2433"/>
        </w:rPr>
        <w:t xml:space="preserve">El módulo de Ajustes, disponible solo para administradores, concentra la configuración del sistema:</w:t>
      </w:r>
    </w:p>
    <w:p>
      <w:pPr>
        <w:pStyle w:val="ListParagraph"/>
        <w:numPr>
          <w:ilvl w:val="0"/>
          <w:numId w:val="2"/>
        </w:numPr>
        <w:spacing w:after="60" w:line="276"/>
      </w:pPr>
      <w:r>
        <w:rPr>
          <w:color w:val="1F2433"/>
        </w:rPr>
        <w:t xml:space="preserve">Credenciales de la API de WhatsApp Business y prueba de conexión.</w:t>
      </w:r>
    </w:p>
    <w:p>
      <w:pPr>
        <w:pStyle w:val="ListParagraph"/>
        <w:numPr>
          <w:ilvl w:val="0"/>
          <w:numId w:val="2"/>
        </w:numPr>
        <w:spacing w:after="60" w:line="276"/>
      </w:pPr>
      <w:r>
        <w:rPr>
          <w:color w:val="1F2433"/>
        </w:rPr>
        <w:t xml:space="preserve">Clave del servicio de inteligencia artificial.</w:t>
      </w:r>
    </w:p>
    <w:p>
      <w:pPr>
        <w:pStyle w:val="ListParagraph"/>
        <w:numPr>
          <w:ilvl w:val="0"/>
          <w:numId w:val="2"/>
        </w:numPr>
        <w:spacing w:after="60" w:line="276"/>
      </w:pPr>
      <w:r>
        <w:rPr>
          <w:color w:val="1F2433"/>
        </w:rPr>
        <w:t xml:space="preserve">Definición de los asesores de turno, que reciben las conversaciones entrantes.</w:t>
      </w:r>
    </w:p>
    <w:p>
      <w:r>
        <w:br w:type="page"/>
      </w:r>
    </w:p>
    <w:p>
      <w:pPr>
        <w:pStyle w:val="Heading1"/>
        <w:spacing w:after="160" w:before="320"/>
      </w:pPr>
      <w:r>
        <w:rPr>
          <w:color w:val="2E3F84"/>
        </w:rPr>
        <w:t xml:space="preserve">15. Preguntas frecuentes</w:t>
      </w:r>
    </w:p>
    <w:p>
      <w:pPr>
        <w:pStyle w:val="Heading3"/>
        <w:spacing w:after="100" w:before="200"/>
      </w:pPr>
      <w:r>
        <w:rPr>
          <w:color w:val="16235E"/>
        </w:rPr>
        <w:t xml:space="preserve">No puedo enviar un mensaje a un paciente</w:t>
      </w:r>
    </w:p>
    <w:p>
      <w:pPr>
        <w:spacing w:after="120" w:before="0" w:line="276"/>
      </w:pPr>
      <w:r>
        <w:rPr>
          <w:color w:val="1F2433"/>
        </w:rPr>
        <w:t xml:space="preserve">Es probable que hayan pasado más de 24 horas desde el último mensaje del paciente. En ese caso debe usar una plantilla de WhatsApp aprobada (sección 9.3).</w:t>
      </w:r>
    </w:p>
    <w:p>
      <w:pPr>
        <w:pStyle w:val="Heading3"/>
        <w:spacing w:after="100" w:before="200"/>
      </w:pPr>
      <w:r>
        <w:rPr>
          <w:color w:val="16235E"/>
        </w:rPr>
        <w:t xml:space="preserve">Un mensaje aparece con una equis roja</w:t>
      </w:r>
    </w:p>
    <w:p>
      <w:pPr>
        <w:spacing w:after="120" w:before="0" w:line="276"/>
      </w:pPr>
      <w:r>
        <w:rPr>
          <w:color w:val="1F2433"/>
        </w:rPr>
        <w:t xml:space="preserve">El mensaje no pudo entregarse. Pase el cursor sobre el indicador para ver el motivo. Las causas habituales son un número inválido o que el paciente no tiene WhatsApp.</w:t>
      </w:r>
    </w:p>
    <w:p>
      <w:pPr>
        <w:pStyle w:val="Heading3"/>
        <w:spacing w:after="100" w:before="200"/>
      </w:pPr>
      <w:r>
        <w:rPr>
          <w:color w:val="16235E"/>
        </w:rPr>
        <w:t xml:space="preserve">Una conversación desapareció de mi bandeja</w:t>
      </w:r>
    </w:p>
    <w:p>
      <w:pPr>
        <w:spacing w:after="120" w:before="0" w:line="276"/>
      </w:pPr>
      <w:r>
        <w:rPr>
          <w:color w:val="1F2433"/>
        </w:rPr>
        <w:t xml:space="preserve">Otro asesor la tomó, o la conversación fue marcada como resuelta. Use la búsqueda o el filtro de estado «Resueltas» para encontrarla.</w:t>
      </w:r>
    </w:p>
    <w:p>
      <w:pPr>
        <w:pStyle w:val="Heading3"/>
        <w:spacing w:after="100" w:before="200"/>
      </w:pPr>
      <w:r>
        <w:rPr>
          <w:color w:val="16235E"/>
        </w:rPr>
        <w:t xml:space="preserve">El envío masivo no avanza</w:t>
      </w:r>
    </w:p>
    <w:p>
      <w:pPr>
        <w:spacing w:after="120" w:before="0" w:line="276"/>
      </w:pPr>
      <w:r>
        <w:rPr>
          <w:color w:val="1F2433"/>
        </w:rPr>
        <w:t xml:space="preserve">Verifique con el administrador que el procesador de colas del sistema esté en ejecución. Sin ese servicio, los envíos quedan en espera.</w:t>
      </w:r>
    </w:p>
    <w:p>
      <w:pPr>
        <w:pStyle w:val="Heading3"/>
        <w:spacing w:after="100" w:before="200"/>
      </w:pPr>
      <w:r>
        <w:rPr>
          <w:color w:val="16235E"/>
        </w:rPr>
        <w:t xml:space="preserve">No veo algunos módulos en el menú</w:t>
      </w:r>
    </w:p>
    <w:p>
      <w:pPr>
        <w:spacing w:after="120" w:before="0" w:line="276"/>
      </w:pPr>
      <w:r>
        <w:rPr>
          <w:color w:val="1F2433"/>
        </w:rPr>
        <w:t xml:space="preserve">El menú muestra solo los módulos correspondientes a su rol. Los asesores no ven los módulos de administración. Si necesita acceso adicional, consúltelo con un administrador.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ECFB" w:sz="2"/>
              <w:left w:val="single" w:color="1D4ED8" w:sz="24"/>
              <w:bottom w:val="single" w:color="E6ECFB" w:sz="2"/>
              <w:right w:val="single" w:color="E6ECFB" w:sz="2"/>
            </w:tcBorders>
            <w:shd w:fill="E6ECFB" w:val="clear"/>
            <w:tcMar>
              <w:top w:type="dxa" w:w="130"/>
              <w:left w:type="dxa" w:w="200"/>
              <w:bottom w:type="dxa" w:w="130"/>
              <w:right w:type="dxa" w:w="160"/>
            </w:tcMar>
          </w:tcPr>
          <w:p>
            <w:pPr>
              <w:spacing w:after="70"/>
            </w:pPr>
            <w:r>
              <w:rPr>
                <w:b/>
                <w:bCs/>
                <w:color w:val="1D4ED8"/>
                <w:sz w:val="21"/>
                <w:szCs w:val="21"/>
              </w:rPr>
              <w:t xml:space="preserve">Soporte</w:t>
            </w:r>
          </w:p>
          <w:p>
            <w:pPr>
              <w:spacing w:after="0" w:line="272"/>
            </w:pPr>
            <w:r>
              <w:rPr>
                <w:color w:val="1F2433"/>
                <w:sz w:val="20"/>
                <w:szCs w:val="20"/>
              </w:rPr>
              <w:t xml:space="preserve">Ante cualquier inconveniente no contemplado en este manual, contacte a la Oficina de Innovación y Desarrollo del Hospital Universitario del Valle.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0E3" w:sz="4" w:space="4"/>
      </w:pBdr>
      <w:tabs>
        <w:tab w:val="right" w:pos="9360"/>
      </w:tabs>
      <w:spacing w:before="0"/>
    </w:pPr>
    <w:r>
      <w:rPr>
        <w:color w:val="5A6478"/>
        <w:sz w:val="15"/>
        <w:szCs w:val="15"/>
      </w:rPr>
      <w:t xml:space="preserve">EVB-DOC-04 · Hospital Universitario del Valle</w:t>
    </w:r>
    <w:r>
      <w:rPr>
        <w:color w:val="5A6478"/>
        <w:sz w:val="15"/>
        <w:szCs w:val="15"/>
      </w:rPr>
      <w:t xml:space="preserve">	Página </w:t>
    </w:r>
    <w:r>
      <w:rPr>
        <w:color w:val="5A6478"/>
        <w:sz w:val="15"/>
        <w:szCs w:val="15"/>
      </w:rPr>
      <w:fldChar w:fldCharType="begin"/>
      <w:instrText xml:space="preserve">PAGE</w:instrText>
      <w:fldChar w:fldCharType="separate"/>
      <w:fldChar w:fldCharType="end"/>
    </w:r>
    <w:r>
      <w:rPr>
        <w:color w:val="5A6478"/>
        <w:sz w:val="15"/>
        <w:szCs w:val="15"/>
      </w:rPr>
      <w:t xml:space="preserve"> de </w:t>
    </w:r>
    <w:r>
      <w:rPr>
        <w:color w:val="5A647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0E3" w:sz="4" w:space="4"/>
      </w:pBdr>
      <w:tabs>
        <w:tab w:val="right" w:pos="9360"/>
      </w:tabs>
      <w:spacing w:after="0"/>
    </w:pPr>
    <w:r>
      <w:rPr>
        <w:b/>
        <w:bCs/>
        <w:color w:val="2E3F84"/>
        <w:sz w:val="16"/>
        <w:szCs w:val="16"/>
      </w:rPr>
      <w:t xml:space="preserve">EVARISBOT</w:t>
    </w:r>
    <w:r>
      <w:rPr>
        <w:color w:val="5A6478"/>
        <w:sz w:val="16"/>
        <w:szCs w:val="16"/>
      </w:rPr>
      <w:t xml:space="preserve">	Manual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rPr>
        <w:color w:val="2E3F84"/>
      </w:rPr>
    </w:lvl>
    <w:lvl w:ilvl="1" w15:tentative="1">
      <w:start w:val="1"/>
      <w:numFmt w:val="bullet"/>
      <w:lvlText w:val="–"/>
      <w:lvlJc w:val="left"/>
      <w:pPr>
        <w:ind w:left="880" w:hanging="280"/>
      </w:pPr>
      <w:rPr>
        <w:color w:val="2E3F84"/>
      </w:rPr>
    </w:lvl>
  </w:abstractNum>
  <w:abstractNum w:abstractNumId="3" w15:restartNumberingAfterBreak="0">
    <w:multiLevelType w:val="hybridMultilevel"/>
    <w:lvl w:ilvl="0" w15:tentative="1">
      <w:start w:val="1"/>
      <w:numFmt w:val="decimal"/>
      <w:lvlText w:val="%1."/>
      <w:lvlJc w:val="left"/>
      <w:pPr>
        <w:ind w:left="460" w:hanging="320"/>
      </w:pPr>
      <w:rPr>
        <w:b/>
        <w:bCs/>
        <w:color w:val="2E3F8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4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3F84" w:sz="8" w:space="3"/>
      </w:pBdr>
      <w:spacing w:after="160" w:before="320"/>
      <w:outlineLvl w:val="0"/>
    </w:pPr>
    <w:rPr>
      <w:rFonts w:ascii="Arial" w:cs="Arial" w:eastAsia="Arial" w:hAnsi="Arial"/>
      <w:b/>
      <w:bCs/>
      <w:color w:val="2E3F84"/>
      <w:sz w:val="30"/>
      <w:szCs w:val="30"/>
    </w:rPr>
  </w:style>
  <w:style w:type="paragraph" w:styleId="Heading2">
    <w:name w:val="Heading 2"/>
    <w:basedOn w:val="Normal"/>
    <w:next w:val="Normal"/>
    <w:qFormat/>
    <w:pPr>
      <w:spacing w:after="130" w:before="260"/>
      <w:outlineLvl w:val="1"/>
    </w:pPr>
    <w:rPr>
      <w:rFonts w:ascii="Arial" w:cs="Arial" w:eastAsia="Arial" w:hAnsi="Arial"/>
      <w:b/>
      <w:bCs/>
      <w:color w:val="2E3F84"/>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1623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dc:title>
  <dc:creator>Innovación y Desarrollo - HUV</dc:creator>
  <dc:description>Documentación del sistema Evarisbot</dc:description>
  <cp:lastModifiedBy>Un-named</cp:lastModifiedBy>
  <cp:revision>1</cp:revision>
  <dcterms:created xsi:type="dcterms:W3CDTF">2026-05-22T13:14:19.304Z</dcterms:created>
  <dcterms:modified xsi:type="dcterms:W3CDTF">2026-05-22T13:14:19.305Z</dcterms:modified>
</cp:coreProperties>
</file>

<file path=docProps/custom.xml><?xml version="1.0" encoding="utf-8"?>
<Properties xmlns="http://schemas.openxmlformats.org/officeDocument/2006/custom-properties" xmlns:vt="http://schemas.openxmlformats.org/officeDocument/2006/docPropsVTypes"/>
</file>