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3F84" w:sz="40" w:space="0"/>
        </w:pBdr>
        <w:shd w:fill="2E3F84" w:val="clear"/>
        <w:spacing w:after="0" w:before="0"/>
      </w:pPr>
      <w:r>
        <w:rPr>
          <w:color w:val="1F2433"/>
          <w:sz w:val="2"/>
          <w:szCs w:val="2"/>
        </w:rPr>
        <w:t xml:space="preserve"> </w:t>
      </w:r>
    </w:p>
    <w:p>
      <w:pPr>
        <w:spacing w:after="900"/>
      </w:pPr>
    </w:p>
    <w:p>
      <w:pPr>
        <w:spacing w:after="40"/>
        <w:jc w:val="center"/>
      </w:pPr>
      <w:r>
        <w:rPr>
          <w:b/>
          <w:bCs/>
          <w:color w:val="16235E"/>
          <w:sz w:val="30"/>
          <w:szCs w:val="30"/>
        </w:rPr>
        <w:t xml:space="preserve">HOSPITAL UNIVERSITARIO DEL VALLE</w:t>
      </w:r>
    </w:p>
    <w:p>
      <w:pPr>
        <w:spacing w:after="30"/>
        <w:jc w:val="center"/>
      </w:pPr>
      <w:r>
        <w:rPr>
          <w:b/>
          <w:bCs/>
          <w:color w:val="16235E"/>
          <w:sz w:val="24"/>
          <w:szCs w:val="24"/>
        </w:rPr>
        <w:t xml:space="preserve">«EVARISTO GARCÍA» E.S.E.</w:t>
      </w:r>
    </w:p>
    <w:p>
      <w:pPr>
        <w:spacing w:after="700"/>
        <w:jc w:val="center"/>
      </w:pPr>
      <w:r>
        <w:rPr>
          <w:i/>
          <w:iCs/>
          <w:color w:val="5A6478"/>
          <w:sz w:val="21"/>
          <w:szCs w:val="21"/>
        </w:rPr>
        <w:t xml:space="preserve">Oficina de Innovación y Desarrollo</w:t>
      </w:r>
    </w:p>
    <w:p>
      <w:pPr>
        <w:spacing w:after="0"/>
        <w:jc w:val="center"/>
      </w:pPr>
      <w:r>
        <w:rPr>
          <w:b/>
          <w:bCs/>
          <w:color w:val="2E3F84"/>
          <w:sz w:val="64"/>
          <w:szCs w:val="64"/>
        </w:rPr>
        <w:t xml:space="preserve">E V A R I S B O T</w:t>
      </w:r>
    </w:p>
    <w:p>
      <w:pPr>
        <w:spacing w:after="520"/>
        <w:jc w:val="center"/>
      </w:pPr>
      <w:r>
        <w:rPr>
          <w:color w:val="5A6478"/>
          <w:sz w:val="20"/>
          <w:szCs w:val="20"/>
        </w:rPr>
        <w:t xml:space="preserve">Plataforma de mensajería WhatsApp para gestión de pacientes</w:t>
      </w:r>
    </w:p>
    <w:p>
      <w:pPr>
        <w:pBdr>
          <w:top w:val="single" w:color="2E3F84" w:sz="12"/>
          <w:bottom w:val="single" w:color="2E3F84" w:sz="12"/>
        </w:pBdr>
        <w:spacing w:after="0"/>
        <w:jc w:val="center"/>
      </w:pPr>
      <w:r>
        <w:rPr>
          <w:b/>
          <w:bCs/>
          <w:color w:val="16235E"/>
          <w:sz w:val="38"/>
          <w:szCs w:val="38"/>
        </w:rPr>
        <w:t xml:space="preserve">  MATERIAL DE ENTRENAMIENTO — SESIÓN 1  </w:t>
      </w:r>
    </w:p>
    <w:p>
      <w:pPr>
        <w:spacing w:after="760" w:before="160"/>
        <w:jc w:val="center"/>
      </w:pPr>
      <w:r>
        <w:rPr>
          <w:color w:val="5A6478"/>
          <w:sz w:val="22"/>
          <w:szCs w:val="22"/>
        </w:rPr>
        <w:t xml:space="preserve">Fundamentos y operación diaria del sistema Evarisbot</w:t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</w:tblGrid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EE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6235E"/>
                <w:sz w:val="18"/>
                <w:szCs w:val="18"/>
              </w:rPr>
              <w:t xml:space="preserve">Código del documento</w:t>
            </w:r>
          </w:p>
        </w:tc>
        <w:tc>
          <w:tcPr>
            <w:tcW w:type="dxa" w:w="40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433"/>
                <w:sz w:val="18"/>
                <w:szCs w:val="18"/>
              </w:rPr>
              <w:t xml:space="preserve">EVB-DOC-05</w:t>
            </w:r>
          </w:p>
        </w:tc>
      </w:tr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EE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6235E"/>
                <w:sz w:val="18"/>
                <w:szCs w:val="18"/>
              </w:rPr>
              <w:t xml:space="preserve">Versión</w:t>
            </w:r>
          </w:p>
        </w:tc>
        <w:tc>
          <w:tcPr>
            <w:tcW w:type="dxa" w:w="40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4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EE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6235E"/>
                <w:sz w:val="18"/>
                <w:szCs w:val="18"/>
              </w:rPr>
              <w:t xml:space="preserve">Fecha de emisión</w:t>
            </w:r>
          </w:p>
        </w:tc>
        <w:tc>
          <w:tcPr>
            <w:tcW w:type="dxa" w:w="40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433"/>
                <w:sz w:val="18"/>
                <w:szCs w:val="18"/>
              </w:rPr>
              <w:t xml:space="preserve">22 de mayo de 2026</w:t>
            </w:r>
          </w:p>
        </w:tc>
      </w:tr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EE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6235E"/>
                <w:sz w:val="18"/>
                <w:szCs w:val="18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433"/>
                <w:sz w:val="18"/>
                <w:szCs w:val="18"/>
              </w:rPr>
              <w:t xml:space="preserve">Vigente</w:t>
            </w:r>
          </w:p>
        </w:tc>
      </w:tr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EE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6235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40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433"/>
                <w:sz w:val="18"/>
                <w:szCs w:val="18"/>
              </w:rPr>
              <w:t xml:space="preserve">Uso interno · Material formativo</w:t>
            </w:r>
          </w:p>
        </w:tc>
      </w:tr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EE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6235E"/>
                <w:sz w:val="18"/>
                <w:szCs w:val="18"/>
              </w:rPr>
              <w:t xml:space="preserve">Dirigido a</w:t>
            </w:r>
          </w:p>
        </w:tc>
        <w:tc>
          <w:tcPr>
            <w:tcW w:type="dxa" w:w="40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433"/>
                <w:sz w:val="18"/>
                <w:szCs w:val="18"/>
              </w:rPr>
              <w:t xml:space="preserve">Asesores de atención en proceso de capacitación</w:t>
            </w:r>
          </w:p>
        </w:tc>
      </w:tr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EE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6235E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40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F2433"/>
                <w:sz w:val="18"/>
                <w:szCs w:val="18"/>
              </w:rPr>
              <w:t xml:space="preserve">Innovación y Desarrollo — HUV</w:t>
            </w:r>
          </w:p>
        </w:tc>
      </w:tr>
    </w:tbl>
    <w:p>
      <w:pPr>
        <w:spacing w:after="1400"/>
      </w:pPr>
    </w:p>
    <w:p>
      <w:pPr>
        <w:pBdr>
          <w:bottom w:val="single" w:color="2E3F84" w:sz="40" w:space="0"/>
        </w:pBdr>
        <w:shd w:fill="2E3F84" w:val="clear"/>
        <w:spacing w:after="0" w:before="0"/>
      </w:pPr>
      <w:r>
        <w:rPr>
          <w:color w:val="1F2433"/>
          <w:sz w:val="2"/>
          <w:szCs w:val="2"/>
        </w:rPr>
        <w:t xml:space="preserve"> </w:t>
      </w:r>
    </w:p>
    <w:p>
      <w:pPr>
        <w:spacing w:before="120"/>
        <w:jc w:val="center"/>
      </w:pPr>
      <w:r>
        <w:rPr>
          <w:color w:val="5A6478"/>
          <w:sz w:val="16"/>
          <w:szCs w:val="16"/>
        </w:rPr>
        <w:t xml:space="preserve">Documento confidencial — Prohibida su reproducción o distribución sin autorización.</w:t>
      </w:r>
    </w:p>
    <w:p>
      <w:pPr>
        <w:spacing w:before="40"/>
        <w:jc w:val="center"/>
      </w:pPr>
      <w:r>
        <w:rPr>
          <w:color w:val="5A6478"/>
          <w:sz w:val="16"/>
          <w:szCs w:val="16"/>
        </w:rPr>
        <w:t xml:space="preserve">Santiago de Cali, Colombia · 22 de mayo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color w:val="2E3F84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color w:val="2E3F84"/>
        </w:rPr>
        <w:t xml:space="preserve">1. Presentación de la sesión</w:t>
      </w:r>
    </w:p>
    <w:p>
      <w:pPr>
        <w:spacing w:after="200" w:line="288"/>
      </w:pPr>
      <w:r>
        <w:rPr>
          <w:i/>
          <w:iCs/>
          <w:color w:val="5A6478"/>
          <w:sz w:val="22"/>
          <w:szCs w:val="22"/>
        </w:rPr>
        <w:t xml:space="preserve">Esta primera sesión de entrenamiento introduce al asesor en el uso de Evarisbot y lo prepara para atender a los pacientes del hospital por WhatsApp en su labor diaria. No se requieren conocimientos técnicos previos.</w:t>
      </w:r>
    </w:p>
    <w:p>
      <w:pPr>
        <w:pStyle w:val="Heading2"/>
        <w:spacing w:after="140" w:before="260"/>
      </w:pPr>
      <w:r>
        <w:rPr>
          <w:color w:val="2E3F84"/>
        </w:rPr>
        <w:t xml:space="preserve">1.1. Objetivos de aprendizaje</w:t>
      </w:r>
    </w:p>
    <w:p>
      <w:pPr>
        <w:spacing w:after="120" w:before="0" w:line="276"/>
      </w:pPr>
      <w:r>
        <w:rPr>
          <w:color w:val="1F2433"/>
        </w:rPr>
        <w:t xml:space="preserve">Al finalizar la sesión, el participante estará en capacidad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Comprender qué es Evarisbot y para qué sirve.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Ingresar al sistema de forma segura.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Reconocer las partes de la pantalla de Conversaciones.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Abrir, leer y responder la conversación de un paciente.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Enviar mensajes de texto, archivos y plantillas de respuesta rápida.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Cambiar el estado de una conversación y clasificarla.</w:t>
      </w:r>
    </w:p>
    <w:p>
      <w:pPr>
        <w:pStyle w:val="Heading2"/>
        <w:spacing w:after="140" w:before="260"/>
      </w:pPr>
      <w:r>
        <w:rPr>
          <w:color w:val="2E3F84"/>
        </w:rPr>
        <w:t xml:space="preserve">1.2. Duración y modalidad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2E3F8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2E3F8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Duración estimada</w:t>
            </w:r>
          </w:p>
        </w:tc>
        <w:tc>
          <w:tcPr>
            <w:tcW w:type="dxa" w:w="67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2 horas (1 hora de teoría, 1 hora de práctica).</w:t>
            </w:r>
          </w:p>
        </w:tc>
      </w:tr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Modalidad</w:t>
            </w:r>
          </w:p>
        </w:tc>
        <w:tc>
          <w:tcPr>
            <w:tcW w:type="dxa" w:w="67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Presencial con computador, o virtual con pantalla compartida.</w:t>
            </w:r>
          </w:p>
        </w:tc>
      </w:tr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Material necesario</w:t>
            </w:r>
          </w:p>
        </w:tc>
        <w:tc>
          <w:tcPr>
            <w:tcW w:type="dxa" w:w="67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Un computador con acceso al sistema y una cuenta de prueba.</w:t>
            </w:r>
          </w:p>
        </w:tc>
      </w:tr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Evaluación</w:t>
            </w:r>
          </w:p>
        </w:tc>
        <w:tc>
          <w:tcPr>
            <w:tcW w:type="dxa" w:w="67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Lista de verificación práctica al final de la sesión.</w:t>
            </w:r>
          </w:p>
        </w:tc>
      </w:tr>
    </w:tbl>
    <w:p>
      <w:pPr>
        <w:spacing w:after="220" w:before="60"/>
        <w:jc w:val="center"/>
      </w:pPr>
      <w:r>
        <w:rPr>
          <w:i/>
          <w:iCs/>
          <w:color w:val="5A6478"/>
          <w:sz w:val="18"/>
          <w:szCs w:val="18"/>
        </w:rPr>
        <w:t xml:space="preserve">Tabla 1. Ficha de la sesión de entrenamiento.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2E3F84"/>
        </w:rPr>
        <w:t xml:space="preserve">2. Módulo 1 — ¿Qué es Evarisbot?</w:t>
      </w:r>
    </w:p>
    <w:p>
      <w:pPr>
        <w:spacing w:after="120" w:before="0" w:line="276"/>
      </w:pPr>
      <w:r>
        <w:rPr>
          <w:color w:val="1F2433"/>
        </w:rPr>
        <w:t xml:space="preserve">Evarisbot es la plataforma que el Hospital Universitario del Valle utiliza para comunicarse con sus pacientes a través de WhatsApp. Reúne en un solo lugar todos los mensajes de los pacientes y permite al equipo de atención responderlos de forma organizada.</w:t>
      </w:r>
    </w:p>
    <w:p>
      <w:pPr>
        <w:pStyle w:val="Heading2"/>
        <w:spacing w:after="140" w:before="260"/>
      </w:pPr>
      <w:r>
        <w:rPr>
          <w:color w:val="2E3F84"/>
        </w:rPr>
        <w:t xml:space="preserve">2.1. ¿Para qué se usa?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Atender las preguntas y solicitudes de los pacientes por WhatsApp.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Enviar recordatorios de las citas médicas.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Informar a los pacientes sobre cancelaciones, reprogramaciones y novedades de sus citas.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Llevar un registro ordenado de cada conversación.</w:t>
      </w:r>
    </w:p>
    <w:p>
      <w:pPr>
        <w:pStyle w:val="Heading2"/>
        <w:spacing w:after="140" w:before="260"/>
      </w:pPr>
      <w:r>
        <w:rPr>
          <w:color w:val="2E3F84"/>
        </w:rPr>
        <w:t xml:space="preserve">2.2. ¿Por qué es importante el trabajo del asesor?</w:t>
      </w:r>
    </w:p>
    <w:p>
      <w:pPr>
        <w:spacing w:after="120" w:before="0" w:line="276"/>
      </w:pPr>
      <w:r>
        <w:rPr>
          <w:color w:val="1F2433"/>
        </w:rPr>
        <w:t xml:space="preserve">El asesor es la voz del hospital ante el paciente. Una atención clara, amable y oportuna mejora la experiencia del paciente y reduce la inasistencia a las citas. Evarisbot es la herramienta que hace posible esa atención, pero la calidad la pone el asesor.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CFB" w:sz="2"/>
              <w:left w:val="single" w:color="1D4ED8" w:sz="24"/>
              <w:bottom w:val="single" w:color="E6ECFB" w:sz="2"/>
              <w:right w:val="single" w:color="E6ECFB" w:sz="2"/>
            </w:tcBorders>
            <w:shd w:fill="E6ECFB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Idea clave</w:t>
            </w:r>
          </w:p>
          <w:p>
            <w:pPr>
              <w:spacing w:after="0" w:line="272"/>
            </w:pPr>
            <w:r>
              <w:rPr>
                <w:color w:val="1F2433"/>
                <w:sz w:val="20"/>
                <w:szCs w:val="20"/>
              </w:rPr>
              <w:t xml:space="preserve">Evarisbot organiza el trabajo; el asesor aporta el trato humano. Las dos cosas juntas hacen una buena atención.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color w:val="2E3F84"/>
        </w:rPr>
        <w:t xml:space="preserve">3. Módulo 2 — Ingreso al sistema</w:t>
      </w:r>
    </w:p>
    <w:p>
      <w:pPr>
        <w:pStyle w:val="Heading2"/>
        <w:spacing w:after="140" w:before="260"/>
      </w:pPr>
      <w:r>
        <w:rPr>
          <w:color w:val="2E3F84"/>
        </w:rPr>
        <w:t xml:space="preserve">3.1. Cómo iniciar sesión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F2433"/>
        </w:rPr>
        <w:t xml:space="preserve">Abrir el navegador (Chrome o Edge) e ingresar la dirección del sistema.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F2433"/>
        </w:rPr>
        <w:t xml:space="preserve">Escribir el correo electrónico y la contraseña asignados.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F2433"/>
        </w:rPr>
        <w:t xml:space="preserve">Pulsar el botón de ingreso.</w:t>
      </w:r>
    </w:p>
    <w:p>
      <w:pPr>
        <w:pStyle w:val="Heading2"/>
        <w:spacing w:after="140" w:before="260"/>
      </w:pPr>
      <w:r>
        <w:rPr>
          <w:color w:val="2E3F84"/>
        </w:rPr>
        <w:t xml:space="preserve">3.2. Recomendaciones de seguridad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No compartir la contraseña con nadie, ni siquiera con compañeros de trabajo.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Cerrar sesión al terminar el turno o al alejarse del computador.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Si el sistema solicita un código de verificación, tenerlo a la mano (verificación en dos pasos).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Si olvida la contraseña, usar el enlace «¿Olvidó su contraseña?» para recuperarla.</w:t>
      </w:r>
    </w:p>
    <w:p>
      <w:pPr>
        <w:pStyle w:val="Heading2"/>
        <w:spacing w:after="140" w:before="260"/>
      </w:pPr>
      <w:r>
        <w:rPr>
          <w:color w:val="2E3F84"/>
        </w:rPr>
        <w:t xml:space="preserve">3.3. Práctica guiada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4EC" w:sz="2"/>
              <w:left w:val="single" w:color="1B7F4B" w:sz="24"/>
              <w:bottom w:val="single" w:color="E7F4EC" w:sz="2"/>
              <w:right w:val="single" w:color="E7F4EC" w:sz="2"/>
            </w:tcBorders>
            <w:shd w:fill="E7F4EC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1B7F4B"/>
                <w:sz w:val="21"/>
                <w:szCs w:val="21"/>
              </w:rPr>
              <w:t xml:space="preserve">Ejercicio</w:t>
            </w:r>
          </w:p>
          <w:p>
            <w:pPr>
              <w:spacing w:after="60" w:line="272"/>
            </w:pPr>
            <w:r>
              <w:rPr>
                <w:color w:val="1F2433"/>
                <w:sz w:val="20"/>
                <w:szCs w:val="20"/>
              </w:rPr>
              <w:t xml:space="preserve">1. Ingrese al sistema con su cuenta de prueba.</w:t>
            </w:r>
          </w:p>
          <w:p>
            <w:pPr>
              <w:spacing w:after="60" w:line="272"/>
            </w:pPr>
            <w:r>
              <w:rPr>
                <w:color w:val="1F2433"/>
                <w:sz w:val="20"/>
                <w:szCs w:val="20"/>
              </w:rPr>
              <w:t xml:space="preserve">2. Cambie el idioma a inglés y luego nuevamente a español.</w:t>
            </w:r>
          </w:p>
          <w:p>
            <w:pPr>
              <w:spacing w:after="0" w:line="272"/>
            </w:pPr>
            <w:r>
              <w:rPr>
                <w:color w:val="1F2433"/>
                <w:sz w:val="20"/>
                <w:szCs w:val="20"/>
              </w:rPr>
              <w:t xml:space="preserve">3. Localice el menú de usuario y observe la opción de cerrar sesión (sin pulsarla todavía).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color w:val="2E3F84"/>
        </w:rPr>
        <w:t xml:space="preserve">4. Módulo 3 — La bandeja de conversaciones</w:t>
      </w:r>
    </w:p>
    <w:p>
      <w:pPr>
        <w:spacing w:after="120" w:before="0" w:line="276"/>
      </w:pPr>
      <w:r>
        <w:rPr>
          <w:color w:val="1F2433"/>
        </w:rPr>
        <w:t xml:space="preserve">Al ingresar, el sistema muestra la pantalla de Conversaciones. Es el lugar donde el asesor pasa la mayor parte de su jornada.</w:t>
      </w:r>
    </w:p>
    <w:p>
      <w:pPr>
        <w:pStyle w:val="Heading2"/>
        <w:spacing w:after="140" w:before="260"/>
      </w:pPr>
      <w:r>
        <w:rPr>
          <w:color w:val="2E3F84"/>
        </w:rPr>
        <w:t xml:space="preserve">4.1. Las partes de la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2E3F8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63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2E3F8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30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Menú lateral de iconos</w:t>
            </w:r>
          </w:p>
        </w:tc>
        <w:tc>
          <w:tcPr>
            <w:tcW w:type="dxa" w:w="63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Acceder a los distintos módulos del sistema.</w:t>
            </w:r>
          </w:p>
        </w:tc>
      </w:tr>
      <w:tr>
        <w:tc>
          <w:tcPr>
            <w:tcW w:type="dxa" w:w="30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Lista de conversaciones</w:t>
            </w:r>
          </w:p>
        </w:tc>
        <w:tc>
          <w:tcPr>
            <w:tcW w:type="dxa" w:w="63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Ver todas las conversaciones; la más reciente aparece arriba.</w:t>
            </w:r>
          </w:p>
        </w:tc>
      </w:tr>
      <w:tr>
        <w:tc>
          <w:tcPr>
            <w:tcW w:type="dxa" w:w="30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Panel de chat</w:t>
            </w:r>
          </w:p>
        </w:tc>
        <w:tc>
          <w:tcPr>
            <w:tcW w:type="dxa" w:w="63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Leer y responder los mensajes de la conversación seleccionada.</w:t>
            </w:r>
          </w:p>
        </w:tc>
      </w:tr>
      <w:tr>
        <w:tc>
          <w:tcPr>
            <w:tcW w:type="dxa" w:w="30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Panel de información</w:t>
            </w:r>
          </w:p>
        </w:tc>
        <w:tc>
          <w:tcPr>
            <w:tcW w:type="dxa" w:w="63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Ver y editar los datos, etiquetas y notas de la conversación.</w:t>
            </w:r>
          </w:p>
        </w:tc>
      </w:tr>
    </w:tbl>
    <w:p>
      <w:pPr>
        <w:spacing w:after="220" w:before="60"/>
        <w:jc w:val="center"/>
      </w:pPr>
      <w:r>
        <w:rPr>
          <w:i/>
          <w:iCs/>
          <w:color w:val="5A6478"/>
          <w:sz w:val="18"/>
          <w:szCs w:val="18"/>
        </w:rPr>
        <w:t xml:space="preserve">Tabla 2. Partes de la pantalla de Conversaciones.</w:t>
      </w:r>
    </w:p>
    <w:p>
      <w:pPr>
        <w:pStyle w:val="Heading2"/>
        <w:spacing w:after="140" w:before="260"/>
      </w:pPr>
      <w:r>
        <w:rPr>
          <w:color w:val="2E3F84"/>
        </w:rPr>
        <w:t xml:space="preserve">4.2. Cómo encontrar una conversación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Buscar: escribir el nombre o el teléfono del paciente en la casilla de búsqueda.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Filtrar por estado: ver, por ejemplo, solo las conversaciones «sin responder».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Filtrar por etiqueta o especialidad: ver solo las conversaciones de una categoría.</w:t>
      </w:r>
    </w:p>
    <w:p>
      <w:pPr>
        <w:pStyle w:val="Heading2"/>
        <w:spacing w:after="140" w:before="260"/>
      </w:pPr>
      <w:r>
        <w:rPr>
          <w:color w:val="2E3F84"/>
        </w:rPr>
        <w:t xml:space="preserve">4.3. Señales visuales importantes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Un círculo con un número: mensajes sin leer de esa conversación.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Una etiqueta de color: la categoría asignada a la conversación.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Una conversación en la parte superior con un icono de fijado: fue marcada como prioritaria.</w:t>
      </w:r>
    </w:p>
    <w:p>
      <w:pPr>
        <w:pStyle w:val="Heading2"/>
        <w:spacing w:after="140" w:before="260"/>
      </w:pPr>
      <w:r>
        <w:rPr>
          <w:color w:val="2E3F84"/>
        </w:rPr>
        <w:t xml:space="preserve">4.4. Práctica guiada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4EC" w:sz="2"/>
              <w:left w:val="single" w:color="1B7F4B" w:sz="24"/>
              <w:bottom w:val="single" w:color="E7F4EC" w:sz="2"/>
              <w:right w:val="single" w:color="E7F4EC" w:sz="2"/>
            </w:tcBorders>
            <w:shd w:fill="E7F4EC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1B7F4B"/>
                <w:sz w:val="21"/>
                <w:szCs w:val="21"/>
              </w:rPr>
              <w:t xml:space="preserve">Ejercicio</w:t>
            </w:r>
          </w:p>
          <w:p>
            <w:pPr>
              <w:spacing w:after="60" w:line="272"/>
            </w:pPr>
            <w:r>
              <w:rPr>
                <w:color w:val="1F2433"/>
                <w:sz w:val="20"/>
                <w:szCs w:val="20"/>
              </w:rPr>
              <w:t xml:space="preserve">1. Identifique en su pantalla las cuatro partes descritas en la tabla 2.</w:t>
            </w:r>
          </w:p>
          <w:p>
            <w:pPr>
              <w:spacing w:after="60" w:line="272"/>
            </w:pPr>
            <w:r>
              <w:rPr>
                <w:color w:val="1F2433"/>
                <w:sz w:val="20"/>
                <w:szCs w:val="20"/>
              </w:rPr>
              <w:t xml:space="preserve">2. Use la casilla de búsqueda para encontrar una conversación por nombre.</w:t>
            </w:r>
          </w:p>
          <w:p>
            <w:pPr>
              <w:spacing w:after="60" w:line="272"/>
            </w:pPr>
            <w:r>
              <w:rPr>
                <w:color w:val="1F2433"/>
                <w:sz w:val="20"/>
                <w:szCs w:val="20"/>
              </w:rPr>
              <w:t xml:space="preserve">3. Aplique el filtro de estado «sin responder» y observe cómo cambia la lista.</w:t>
            </w:r>
          </w:p>
          <w:p>
            <w:pPr>
              <w:spacing w:after="0" w:line="272"/>
            </w:pPr>
            <w:r>
              <w:rPr>
                <w:color w:val="1F2433"/>
                <w:sz w:val="20"/>
                <w:szCs w:val="20"/>
              </w:rPr>
              <w:t xml:space="preserve">4. Retire el filtro para volver a ver todas las conversaciones.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color w:val="2E3F84"/>
        </w:rPr>
        <w:t xml:space="preserve">5. Módulo 4 — Atender a un paciente</w:t>
      </w:r>
    </w:p>
    <w:p>
      <w:pPr>
        <w:spacing w:after="120" w:before="0" w:line="276"/>
      </w:pPr>
      <w:r>
        <w:rPr>
          <w:color w:val="1F2433"/>
        </w:rPr>
        <w:t xml:space="preserve">Este es el procedimiento central del trabajo del asesor.</w:t>
      </w:r>
    </w:p>
    <w:p>
      <w:pPr>
        <w:pStyle w:val="Heading2"/>
        <w:spacing w:after="140" w:before="260"/>
      </w:pPr>
      <w:r>
        <w:rPr>
          <w:color w:val="2E3F84"/>
        </w:rPr>
        <w:t xml:space="preserve">5.1. Abrir y leer la conversación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F2433"/>
        </w:rPr>
        <w:t xml:space="preserve">Pulsar la conversación en la lista.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F2433"/>
        </w:rPr>
        <w:t xml:space="preserve">Leer el historial completo de mensajes en el panel de chat.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F2433"/>
        </w:rPr>
        <w:t xml:space="preserve">Comprender qué necesita el paciente antes de responder.</w:t>
      </w:r>
    </w:p>
    <w:p>
      <w:pPr>
        <w:pStyle w:val="Heading2"/>
        <w:spacing w:after="140" w:before="260"/>
      </w:pPr>
      <w:r>
        <w:rPr>
          <w:color w:val="2E3F84"/>
        </w:rPr>
        <w:t xml:space="preserve">5.2. Responder al paciente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F2433"/>
        </w:rPr>
        <w:t xml:space="preserve">Escribir la respuesta en la casilla de texto inferior.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F2433"/>
        </w:rPr>
        <w:t xml:space="preserve">Revisar que el mensaje sea claro y respetuoso.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F2433"/>
        </w:rPr>
        <w:t xml:space="preserve">Pulsar el botón de envío.</w:t>
      </w:r>
    </w:p>
    <w:p>
      <w:pPr>
        <w:pStyle w:val="Heading2"/>
        <w:spacing w:after="140" w:before="260"/>
      </w:pPr>
      <w:r>
        <w:rPr>
          <w:color w:val="2E3F84"/>
        </w:rPr>
        <w:t xml:space="preserve">5.3. La asignación automática</w:t>
      </w:r>
    </w:p>
    <w:p>
      <w:pPr>
        <w:spacing w:after="120" w:before="0" w:line="276"/>
      </w:pPr>
      <w:r>
        <w:rPr>
          <w:color w:val="1F2433"/>
        </w:rPr>
        <w:t xml:space="preserve">Cuando un asesor responde una conversación que no estaba asignada, el sistema se la asigna automáticamente. Desde ese momento, esa conversación es su responsabilidad y desaparece de la bandeja de los demás. Esto evita que dos personas atiendan al mismo paciente.</w:t>
      </w:r>
    </w:p>
    <w:p>
      <w:pPr>
        <w:pStyle w:val="Heading2"/>
        <w:spacing w:after="140" w:before="260"/>
      </w:pPr>
      <w:r>
        <w:rPr>
          <w:color w:val="2E3F84"/>
        </w:rPr>
        <w:t xml:space="preserve">5.4. Entender los estados del mensaje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2E3F8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7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2E3F8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 que...</w:t>
            </w:r>
          </w:p>
        </w:tc>
      </w:tr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Reloj</w:t>
            </w:r>
          </w:p>
        </w:tc>
        <w:tc>
          <w:tcPr>
            <w:tcW w:type="dxa" w:w="67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El mensaje aún se está enviando.</w:t>
            </w:r>
          </w:p>
        </w:tc>
      </w:tr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Un visto</w:t>
            </w:r>
          </w:p>
        </w:tc>
        <w:tc>
          <w:tcPr>
            <w:tcW w:type="dxa" w:w="67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El mensaje salió hacia WhatsApp.</w:t>
            </w:r>
          </w:p>
        </w:tc>
      </w:tr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Doble visto gris</w:t>
            </w:r>
          </w:p>
        </w:tc>
        <w:tc>
          <w:tcPr>
            <w:tcW w:type="dxa" w:w="67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El mensaje llegó al teléfono del paciente.</w:t>
            </w:r>
          </w:p>
        </w:tc>
      </w:tr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Doble visto azul</w:t>
            </w:r>
          </w:p>
        </w:tc>
        <w:tc>
          <w:tcPr>
            <w:tcW w:type="dxa" w:w="67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El paciente leyó el mensaje.</w:t>
            </w:r>
          </w:p>
        </w:tc>
      </w:tr>
      <w:tr>
        <w:tc>
          <w:tcPr>
            <w:tcW w:type="dxa" w:w="2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Equis roja</w:t>
            </w:r>
          </w:p>
        </w:tc>
        <w:tc>
          <w:tcPr>
            <w:tcW w:type="dxa" w:w="67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El mensaje falló; revise el motivo.</w:t>
            </w:r>
          </w:p>
        </w:tc>
      </w:tr>
    </w:tbl>
    <w:p>
      <w:pPr>
        <w:spacing w:after="220" w:before="60"/>
        <w:jc w:val="center"/>
      </w:pPr>
      <w:r>
        <w:rPr>
          <w:i/>
          <w:iCs/>
          <w:color w:val="5A6478"/>
          <w:sz w:val="18"/>
          <w:szCs w:val="18"/>
        </w:rPr>
        <w:t xml:space="preserve">Tabla 3. Estados de entrega de los mensajes.</w:t>
      </w:r>
    </w:p>
    <w:p>
      <w:pPr>
        <w:pStyle w:val="Heading2"/>
        <w:spacing w:after="140" w:before="260"/>
      </w:pPr>
      <w:r>
        <w:rPr>
          <w:color w:val="2E3F84"/>
        </w:rPr>
        <w:t xml:space="preserve">5.5. La regla de las 24 horas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1D9" w:sz="2"/>
              <w:left w:val="single" w:color="9A6700" w:sz="24"/>
              <w:bottom w:val="single" w:color="FBF1D9" w:sz="2"/>
              <w:right w:val="single" w:color="FBF1D9" w:sz="2"/>
            </w:tcBorders>
            <w:shd w:fill="FBF1D9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9A6700"/>
                <w:sz w:val="21"/>
                <w:szCs w:val="21"/>
              </w:rPr>
              <w:t xml:space="preserve">Regla importante de WhatsApp</w:t>
            </w:r>
          </w:p>
          <w:p>
            <w:pPr>
              <w:spacing w:after="0" w:line="272"/>
            </w:pPr>
            <w:r>
              <w:rPr>
                <w:color w:val="1F2433"/>
                <w:sz w:val="20"/>
                <w:szCs w:val="20"/>
              </w:rPr>
              <w:t xml:space="preserve">Solo se puede escribir libremente a un paciente durante las 24 horas siguientes a su último mensaje. Si ese plazo venció, el sistema lo advertirá y será necesario usar una plantilla de WhatsApp. Esto se verá en detalle en la Sesión 2.</w:t>
            </w:r>
          </w:p>
        </w:tc>
      </w:tr>
    </w:tbl>
    <w:p>
      <w:pPr>
        <w:pStyle w:val="Heading2"/>
        <w:spacing w:after="140" w:before="260"/>
      </w:pPr>
      <w:r>
        <w:rPr>
          <w:color w:val="2E3F84"/>
        </w:rPr>
        <w:t xml:space="preserve">5.6. Práctica guiada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4EC" w:sz="2"/>
              <w:left w:val="single" w:color="1B7F4B" w:sz="24"/>
              <w:bottom w:val="single" w:color="E7F4EC" w:sz="2"/>
              <w:right w:val="single" w:color="E7F4EC" w:sz="2"/>
            </w:tcBorders>
            <w:shd w:fill="E7F4EC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1B7F4B"/>
                <w:sz w:val="21"/>
                <w:szCs w:val="21"/>
              </w:rPr>
              <w:t xml:space="preserve">Ejercicio</w:t>
            </w:r>
          </w:p>
          <w:p>
            <w:pPr>
              <w:spacing w:after="60" w:line="272"/>
            </w:pPr>
            <w:r>
              <w:rPr>
                <w:color w:val="1F2433"/>
                <w:sz w:val="20"/>
                <w:szCs w:val="20"/>
              </w:rPr>
              <w:t xml:space="preserve">1. Abra una conversación de prueba y lea su historial.</w:t>
            </w:r>
          </w:p>
          <w:p>
            <w:pPr>
              <w:spacing w:after="60" w:line="272"/>
            </w:pPr>
            <w:r>
              <w:rPr>
                <w:color w:val="1F2433"/>
                <w:sz w:val="20"/>
                <w:szCs w:val="20"/>
              </w:rPr>
              <w:t xml:space="preserve">2. Envíe un mensaje de respuesta al paciente de prueba.</w:t>
            </w:r>
          </w:p>
          <w:p>
            <w:pPr>
              <w:spacing w:after="60" w:line="272"/>
            </w:pPr>
            <w:r>
              <w:rPr>
                <w:color w:val="1F2433"/>
                <w:sz w:val="20"/>
                <w:szCs w:val="20"/>
              </w:rPr>
              <w:t xml:space="preserve">3. Observe cómo cambia el indicador de estado del mensaje.</w:t>
            </w:r>
          </w:p>
          <w:p>
            <w:pPr>
              <w:spacing w:after="0" w:line="272"/>
            </w:pPr>
            <w:r>
              <w:rPr>
                <w:color w:val="1F2433"/>
                <w:sz w:val="20"/>
                <w:szCs w:val="20"/>
              </w:rPr>
              <w:t xml:space="preserve">4. Verifique que la conversación quedó asignada a su nombre.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color w:val="2E3F84"/>
        </w:rPr>
        <w:t xml:space="preserve">6. Módulo 5 — Mensajes, archivos y plantillas</w:t>
      </w:r>
    </w:p>
    <w:p>
      <w:pPr>
        <w:pStyle w:val="Heading2"/>
        <w:spacing w:after="140" w:before="260"/>
      </w:pPr>
      <w:r>
        <w:rPr>
          <w:color w:val="2E3F84"/>
        </w:rPr>
        <w:t xml:space="preserve">6.1. Enviar archivos</w:t>
      </w:r>
    </w:p>
    <w:p>
      <w:pPr>
        <w:spacing w:after="120" w:before="0" w:line="276"/>
      </w:pPr>
      <w:r>
        <w:rPr>
          <w:color w:val="1F2433"/>
        </w:rPr>
        <w:t xml:space="preserve">Además de texto, se pueden enviar imágenes, documentos, videos y audios. Se usa el botón de adjuntar, se elige el archivo y, opcionalmente, se agrega un texto que lo acompañe.</w:t>
      </w:r>
    </w:p>
    <w:p>
      <w:pPr>
        <w:pStyle w:val="Heading2"/>
        <w:spacing w:after="140" w:before="260"/>
      </w:pPr>
      <w:r>
        <w:rPr>
          <w:color w:val="2E3F84"/>
        </w:rPr>
        <w:t xml:space="preserve">6.2. Plantillas de respuesta rápida</w:t>
      </w:r>
    </w:p>
    <w:p>
      <w:pPr>
        <w:spacing w:after="120" w:before="0" w:line="276"/>
      </w:pPr>
      <w:r>
        <w:rPr>
          <w:color w:val="1F2433"/>
        </w:rPr>
        <w:t xml:space="preserve">Las plantillas de respuesta rápida son mensajes ya escritos para las preguntas más frecuentes. Ahorran tiempo y aseguran respuestas uniformes.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color w:val="1F2433"/>
        </w:rPr>
        <w:t xml:space="preserve">Abrir el selector de plantillas desde la casilla de mensaje.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color w:val="1F2433"/>
        </w:rPr>
        <w:t xml:space="preserve">Elegir la plantilla adecuada a la situación.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color w:val="1F2433"/>
        </w:rPr>
        <w:t xml:space="preserve">Revisar y, si es necesario, ajustar el texto.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color w:val="1F2433"/>
        </w:rPr>
        <w:t xml:space="preserve">Enviar.</w:t>
      </w:r>
    </w:p>
    <w:p>
      <w:pPr>
        <w:pStyle w:val="Heading2"/>
        <w:spacing w:after="140" w:before="260"/>
      </w:pPr>
      <w:r>
        <w:rPr>
          <w:color w:val="2E3F84"/>
        </w:rPr>
        <w:t xml:space="preserve">6.3. Notas de voz de los pacientes</w:t>
      </w:r>
    </w:p>
    <w:p>
      <w:pPr>
        <w:spacing w:after="120" w:before="0" w:line="276"/>
      </w:pPr>
      <w:r>
        <w:rPr>
          <w:color w:val="1F2433"/>
        </w:rPr>
        <w:t xml:space="preserve">Si un paciente envía una nota de voz, el sistema la transcribe a texto automáticamente. El asesor puede leer la transcripción sin necesidad de escuchar el audio completo.</w:t>
      </w:r>
    </w:p>
    <w:p>
      <w:pPr>
        <w:pStyle w:val="Heading2"/>
        <w:spacing w:after="140" w:before="260"/>
      </w:pPr>
      <w:r>
        <w:rPr>
          <w:color w:val="2E3F84"/>
        </w:rPr>
        <w:t xml:space="preserve">6.4. Práctica guiada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4EC" w:sz="2"/>
              <w:left w:val="single" w:color="1B7F4B" w:sz="24"/>
              <w:bottom w:val="single" w:color="E7F4EC" w:sz="2"/>
              <w:right w:val="single" w:color="E7F4EC" w:sz="2"/>
            </w:tcBorders>
            <w:shd w:fill="E7F4EC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1B7F4B"/>
                <w:sz w:val="21"/>
                <w:szCs w:val="21"/>
              </w:rPr>
              <w:t xml:space="preserve">Ejercicio</w:t>
            </w:r>
          </w:p>
          <w:p>
            <w:pPr>
              <w:spacing w:after="60" w:line="272"/>
            </w:pPr>
            <w:r>
              <w:rPr>
                <w:color w:val="1F2433"/>
                <w:sz w:val="20"/>
                <w:szCs w:val="20"/>
              </w:rPr>
              <w:t xml:space="preserve">1. Envíe una imagen de prueba en una conversación.</w:t>
            </w:r>
          </w:p>
          <w:p>
            <w:pPr>
              <w:spacing w:after="60" w:line="272"/>
            </w:pPr>
            <w:r>
              <w:rPr>
                <w:color w:val="1F2433"/>
                <w:sz w:val="20"/>
                <w:szCs w:val="20"/>
              </w:rPr>
              <w:t xml:space="preserve">2. Inserte una plantilla de respuesta rápida y envíela.</w:t>
            </w:r>
          </w:p>
          <w:p>
            <w:pPr>
              <w:spacing w:after="0" w:line="272"/>
            </w:pPr>
            <w:r>
              <w:rPr>
                <w:color w:val="1F2433"/>
                <w:sz w:val="20"/>
                <w:szCs w:val="20"/>
              </w:rPr>
              <w:t xml:space="preserve">3. Ubique una nota de voz y lea su transcripción.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color w:val="2E3F84"/>
        </w:rPr>
        <w:t xml:space="preserve">7. Módulo 6 — Organizar y cerrar la atención</w:t>
      </w:r>
    </w:p>
    <w:p>
      <w:pPr>
        <w:pStyle w:val="Heading2"/>
        <w:spacing w:after="140" w:before="260"/>
      </w:pPr>
      <w:r>
        <w:rPr>
          <w:color w:val="2E3F84"/>
        </w:rPr>
        <w:t xml:space="preserve">7.1. Estados de la conversación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2E3F8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2E3F8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Cuándo aplicarlo</w:t>
            </w:r>
          </w:p>
        </w:tc>
      </w:tr>
      <w:tr>
        <w:tc>
          <w:tcPr>
            <w:tcW w:type="dxa" w:w="22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Activa</w:t>
            </w:r>
          </w:p>
        </w:tc>
        <w:tc>
          <w:tcPr>
            <w:tcW w:type="dxa" w:w="71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Mientras se está atendiendo al paciente.</w:t>
            </w:r>
          </w:p>
        </w:tc>
      </w:tr>
      <w:tr>
        <w:tc>
          <w:tcPr>
            <w:tcW w:type="dxa" w:w="22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En espera</w:t>
            </w:r>
          </w:p>
        </w:tc>
        <w:tc>
          <w:tcPr>
            <w:tcW w:type="dxa" w:w="71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Cuando se aguarda una respuesta o una gestión.</w:t>
            </w:r>
          </w:p>
        </w:tc>
      </w:tr>
      <w:tr>
        <w:tc>
          <w:tcPr>
            <w:tcW w:type="dxa" w:w="22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Resuelta</w:t>
            </w:r>
          </w:p>
        </w:tc>
        <w:tc>
          <w:tcPr>
            <w:tcW w:type="dxa" w:w="71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Cuando la atención terminó.</w:t>
            </w:r>
          </w:p>
        </w:tc>
      </w:tr>
      <w:tr>
        <w:tc>
          <w:tcPr>
            <w:tcW w:type="dxa" w:w="22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Agendada</w:t>
            </w:r>
          </w:p>
        </w:tc>
        <w:tc>
          <w:tcPr>
            <w:tcW w:type="dxa" w:w="71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Cuando la cita del paciente quedó programada.</w:t>
            </w:r>
          </w:p>
        </w:tc>
      </w:tr>
    </w:tbl>
    <w:p>
      <w:pPr>
        <w:spacing w:after="220" w:before="60"/>
        <w:jc w:val="center"/>
      </w:pPr>
      <w:r>
        <w:rPr>
          <w:i/>
          <w:iCs/>
          <w:color w:val="5A6478"/>
          <w:sz w:val="18"/>
          <w:szCs w:val="18"/>
        </w:rPr>
        <w:t xml:space="preserve">Tabla 4. Estados de una conversación y su uso.</w:t>
      </w:r>
    </w:p>
    <w:p>
      <w:pPr>
        <w:pStyle w:val="Heading2"/>
        <w:spacing w:after="140" w:before="260"/>
      </w:pPr>
      <w:r>
        <w:rPr>
          <w:color w:val="2E3F84"/>
        </w:rPr>
        <w:t xml:space="preserve">7.2. Clasificar la conversación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Etiquetas: marcar la conversación con una categoría de color.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Especialidad: indicar la especialidad médica relacionada.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Notas internas: dejar anotaciones visibles solo para el personal del hospital.</w:t>
      </w:r>
    </w:p>
    <w:p>
      <w:pPr>
        <w:pStyle w:val="Heading2"/>
        <w:spacing w:after="140" w:before="260"/>
      </w:pPr>
      <w:r>
        <w:rPr>
          <w:color w:val="2E3F84"/>
        </w:rPr>
        <w:t xml:space="preserve">7.3. Cerrar correctamente una atención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color w:val="1F2433"/>
        </w:rPr>
        <w:t xml:space="preserve">Confirmar que la solicitud del paciente fue resuelta.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color w:val="1F2433"/>
        </w:rPr>
        <w:t xml:space="preserve">Dejar una nota interna si la atención lo amerita.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color w:val="1F2433"/>
        </w:rPr>
        <w:t xml:space="preserve">Cambiar el estado de la conversación a «Resuelta» o «Agendada» según corresponda.</w:t>
      </w:r>
    </w:p>
    <w:p>
      <w:pPr>
        <w:pStyle w:val="Heading2"/>
        <w:spacing w:after="140" w:before="260"/>
      </w:pPr>
      <w:r>
        <w:rPr>
          <w:color w:val="2E3F84"/>
        </w:rPr>
        <w:t xml:space="preserve">7.4. Práctica guiada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4EC" w:sz="2"/>
              <w:left w:val="single" w:color="1B7F4B" w:sz="24"/>
              <w:bottom w:val="single" w:color="E7F4EC" w:sz="2"/>
              <w:right w:val="single" w:color="E7F4EC" w:sz="2"/>
            </w:tcBorders>
            <w:shd w:fill="E7F4EC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1B7F4B"/>
                <w:sz w:val="21"/>
                <w:szCs w:val="21"/>
              </w:rPr>
              <w:t xml:space="preserve">Ejercicio</w:t>
            </w:r>
          </w:p>
          <w:p>
            <w:pPr>
              <w:spacing w:after="60" w:line="272"/>
            </w:pPr>
            <w:r>
              <w:rPr>
                <w:color w:val="1F2433"/>
                <w:sz w:val="20"/>
                <w:szCs w:val="20"/>
              </w:rPr>
              <w:t xml:space="preserve">1. Asigne una etiqueta a una conversación de prueba.</w:t>
            </w:r>
          </w:p>
          <w:p>
            <w:pPr>
              <w:spacing w:after="60" w:line="272"/>
            </w:pPr>
            <w:r>
              <w:rPr>
                <w:color w:val="1F2433"/>
                <w:sz w:val="20"/>
                <w:szCs w:val="20"/>
              </w:rPr>
              <w:t xml:space="preserve">2. Escriba una nota interna.</w:t>
            </w:r>
          </w:p>
          <w:p>
            <w:pPr>
              <w:spacing w:after="0" w:line="272"/>
            </w:pPr>
            <w:r>
              <w:rPr>
                <w:color w:val="1F2433"/>
                <w:sz w:val="20"/>
                <w:szCs w:val="20"/>
              </w:rPr>
              <w:t xml:space="preserve">3. Cambie el estado de la conversación a «Resuelta».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color w:val="2E3F84"/>
        </w:rPr>
        <w:t xml:space="preserve">8. Buenas prácticas de atención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Saludar al paciente e identificarse como personal del hospital.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Usar un lenguaje claro, sencillo y respetuoso.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Responder con prontitud; las conversaciones sin responder deben atenderse cuanto antes.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Confirmar siempre que el paciente comprendió la información.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No compartir información de un paciente con personas ajenas a su atención.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Registrar en notas internas los datos relevantes de la gestión.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3"/>
        </w:rPr>
        <w:t xml:space="preserve">Cerrar la conversación con un estado correcto al finalizar la atención.</w:t>
      </w:r>
    </w:p>
    <w:p>
      <w:pPr>
        <w:pStyle w:val="Heading1"/>
        <w:spacing w:after="160" w:before="320"/>
      </w:pPr>
      <w:r>
        <w:rPr>
          <w:color w:val="2E3F84"/>
        </w:rPr>
        <w:t xml:space="preserve">9. Evaluación de la Sesión 1</w:t>
      </w:r>
    </w:p>
    <w:p>
      <w:pPr>
        <w:spacing w:after="120" w:before="0" w:line="276"/>
      </w:pPr>
      <w:r>
        <w:rPr>
          <w:color w:val="1F2433"/>
        </w:rPr>
        <w:t xml:space="preserve">El participante debe demostrar que puede realizar, sin ayuda, las siguientes acciones: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2E3F8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N.°</w:t>
            </w:r>
          </w:p>
        </w:tc>
        <w:tc>
          <w:tcPr>
            <w:tcW w:type="dxa" w:w="69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2E3F8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a demostrar</w:t>
            </w:r>
          </w:p>
        </w:tc>
        <w:tc>
          <w:tcPr>
            <w:tcW w:type="dxa" w:w="1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2E3F8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Logrado</w:t>
            </w:r>
          </w:p>
        </w:tc>
      </w:tr>
      <w:tr>
        <w:tc>
          <w:tcPr>
            <w:tcW w:type="dxa" w:w="8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1</w:t>
            </w:r>
          </w:p>
        </w:tc>
        <w:tc>
          <w:tcPr>
            <w:tcW w:type="dxa" w:w="69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Iniciar sesión y cerrar sesión correctamente.</w:t>
            </w:r>
          </w:p>
        </w:tc>
        <w:tc>
          <w:tcPr>
            <w:tcW w:type="dxa" w:w="1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2</w:t>
            </w:r>
          </w:p>
        </w:tc>
        <w:tc>
          <w:tcPr>
            <w:tcW w:type="dxa" w:w="69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Identificar las partes de la pantalla de Conversaciones.</w:t>
            </w:r>
          </w:p>
        </w:tc>
        <w:tc>
          <w:tcPr>
            <w:tcW w:type="dxa" w:w="1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3</w:t>
            </w:r>
          </w:p>
        </w:tc>
        <w:tc>
          <w:tcPr>
            <w:tcW w:type="dxa" w:w="69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Buscar y filtrar conversaciones.</w:t>
            </w:r>
          </w:p>
        </w:tc>
        <w:tc>
          <w:tcPr>
            <w:tcW w:type="dxa" w:w="1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4</w:t>
            </w:r>
          </w:p>
        </w:tc>
        <w:tc>
          <w:tcPr>
            <w:tcW w:type="dxa" w:w="69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Abrir una conversación y responder a un paciente.</w:t>
            </w:r>
          </w:p>
        </w:tc>
        <w:tc>
          <w:tcPr>
            <w:tcW w:type="dxa" w:w="1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5</w:t>
            </w:r>
          </w:p>
        </w:tc>
        <w:tc>
          <w:tcPr>
            <w:tcW w:type="dxa" w:w="69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Enviar un archivo y una plantilla de respuesta rápida.</w:t>
            </w:r>
          </w:p>
        </w:tc>
        <w:tc>
          <w:tcPr>
            <w:tcW w:type="dxa" w:w="1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6</w:t>
            </w:r>
          </w:p>
        </w:tc>
        <w:tc>
          <w:tcPr>
            <w:tcW w:type="dxa" w:w="69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Asignar una etiqueta y escribir una nota interna.</w:t>
            </w:r>
          </w:p>
        </w:tc>
        <w:tc>
          <w:tcPr>
            <w:tcW w:type="dxa" w:w="1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7</w:t>
            </w:r>
          </w:p>
        </w:tc>
        <w:tc>
          <w:tcPr>
            <w:tcW w:type="dxa" w:w="696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>Cambiar el estado de una conversación.</w:t>
            </w:r>
          </w:p>
        </w:tc>
        <w:tc>
          <w:tcPr>
            <w:tcW w:type="dxa" w:w="1600"/>
            <w:tcBorders>
              <w:top w:val="single" w:color="C9D0E3" w:sz="2"/>
              <w:left w:val="single" w:color="C9D0E3" w:sz="2"/>
              <w:bottom w:val="single" w:color="C9D0E3" w:sz="2"/>
              <w:right w:val="single" w:color="C9D0E3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64"/>
            </w:pPr>
            <w:r>
              <w:rPr>
                <w:color w:val="1F2433"/>
                <w:sz w:val="19"/>
                <w:szCs w:val="19"/>
              </w:rPr>
              <w:t xml:space="preserve"/>
            </w:r>
          </w:p>
        </w:tc>
      </w:tr>
    </w:tbl>
    <w:p>
      <w:pPr>
        <w:spacing w:after="220" w:before="60"/>
        <w:jc w:val="center"/>
      </w:pPr>
      <w:r>
        <w:rPr>
          <w:i/>
          <w:iCs/>
          <w:color w:val="5A6478"/>
          <w:sz w:val="18"/>
          <w:szCs w:val="18"/>
        </w:rPr>
        <w:t xml:space="preserve">Tabla 5. Lista de verificación de la Sesión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CFB" w:sz="2"/>
              <w:left w:val="single" w:color="1D4ED8" w:sz="24"/>
              <w:bottom w:val="single" w:color="E6ECFB" w:sz="2"/>
              <w:right w:val="single" w:color="E6ECFB" w:sz="2"/>
            </w:tcBorders>
            <w:shd w:fill="E6ECFB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Siguiente paso</w:t>
            </w:r>
          </w:p>
          <w:p>
            <w:pPr>
              <w:spacing w:after="0" w:line="272"/>
            </w:pPr>
            <w:r>
              <w:rPr>
                <w:color w:val="1F2433"/>
                <w:sz w:val="20"/>
                <w:szCs w:val="20"/>
              </w:rPr>
              <w:t xml:space="preserve">La Sesión 2 (documento EVB-DOC-06) aborda las funciones avanzadas: envíos masivos, plantillas de WhatsApp, citas, estadísticas y herramientas de administración.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0E3" w:sz="4" w:space="4"/>
      </w:pBdr>
      <w:tabs>
        <w:tab w:val="right" w:pos="9360"/>
      </w:tabs>
      <w:spacing w:before="0"/>
    </w:pPr>
    <w:r>
      <w:rPr>
        <w:color w:val="5A6478"/>
        <w:sz w:val="15"/>
        <w:szCs w:val="15"/>
      </w:rPr>
      <w:t xml:space="preserve">EVB-DOC-05 · Hospital Universitario del Valle</w:t>
    </w:r>
    <w:r>
      <w:rPr>
        <w:color w:val="5A6478"/>
        <w:sz w:val="15"/>
        <w:szCs w:val="15"/>
      </w:rPr>
      <w:t xml:space="preserve">	Página </w:t>
    </w:r>
    <w:r>
      <w:rPr>
        <w:color w:val="5A647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A6478"/>
        <w:sz w:val="15"/>
        <w:szCs w:val="15"/>
      </w:rPr>
      <w:t xml:space="preserve"> de </w:t>
    </w:r>
    <w:r>
      <w:rPr>
        <w:color w:val="5A647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0E3" w:sz="4" w:space="4"/>
      </w:pBdr>
      <w:tabs>
        <w:tab w:val="right" w:pos="9360"/>
      </w:tabs>
      <w:spacing w:after="0"/>
    </w:pPr>
    <w:r>
      <w:rPr>
        <w:b/>
        <w:bCs/>
        <w:color w:val="2E3F84"/>
        <w:sz w:val="16"/>
        <w:szCs w:val="16"/>
      </w:rPr>
      <w:t xml:space="preserve">EVARISBOT</w:t>
    </w:r>
    <w:r>
      <w:rPr>
        <w:color w:val="5A6478"/>
        <w:sz w:val="16"/>
        <w:szCs w:val="16"/>
      </w:rPr>
      <w:t xml:space="preserve">	Material de Entrenamiento — Sesión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2E3F84"/>
      </w:rPr>
    </w:lvl>
    <w:lvl w:ilvl="1" w15:tentative="1">
      <w:start w:val="1"/>
      <w:numFmt w:val="bullet"/>
      <w:lvlText w:val="–"/>
      <w:lvlJc w:val="left"/>
      <w:pPr>
        <w:ind w:left="880" w:hanging="280"/>
      </w:pPr>
      <w:rPr>
        <w:color w:val="2E3F8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2E3F8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3F84" w:sz="8" w:space="3"/>
      </w:pBdr>
      <w:spacing w:after="160" w:before="320"/>
      <w:outlineLvl w:val="0"/>
    </w:pPr>
    <w:rPr>
      <w:rFonts w:ascii="Arial" w:cs="Arial" w:eastAsia="Arial" w:hAnsi="Arial"/>
      <w:b/>
      <w:bCs/>
      <w:color w:val="2E3F8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Arial" w:cs="Arial" w:eastAsia="Arial" w:hAnsi="Arial"/>
      <w:b/>
      <w:bCs/>
      <w:color w:val="2E3F8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623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de Entrenamiento — Sesión 1</dc:title>
  <dc:creator>Innovación y Desarrollo - HUV</dc:creator>
  <dc:description>Documentación del sistema Evarisbot</dc:description>
  <cp:lastModifiedBy>Un-named</cp:lastModifiedBy>
  <cp:revision>1</cp:revision>
  <dcterms:created xsi:type="dcterms:W3CDTF">2026-05-22T13:14:19.505Z</dcterms:created>
  <dcterms:modified xsi:type="dcterms:W3CDTF">2026-05-22T13:14:19.507Z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