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3F84" w:sz="40" w:space="0"/>
        </w:pBdr>
        <w:shd w:fill="2E3F84" w:val="clear"/>
        <w:spacing w:after="0" w:before="0"/>
      </w:pPr>
      <w:r>
        <w:rPr>
          <w:color w:val="1F2433"/>
          <w:sz w:val="2"/>
          <w:szCs w:val="2"/>
        </w:rPr>
        <w:t xml:space="preserve"> </w:t>
      </w:r>
    </w:p>
    <w:p>
      <w:pPr>
        <w:spacing w:after="900"/>
      </w:pPr>
    </w:p>
    <w:p>
      <w:pPr>
        <w:spacing w:after="40"/>
        <w:jc w:val="center"/>
      </w:pPr>
      <w:r>
        <w:rPr>
          <w:b/>
          <w:bCs/>
          <w:color w:val="16235E"/>
          <w:sz w:val="30"/>
          <w:szCs w:val="30"/>
        </w:rPr>
        <w:t xml:space="preserve">HOSPITAL UNIVERSITARIO DEL VALLE</w:t>
      </w:r>
    </w:p>
    <w:p>
      <w:pPr>
        <w:spacing w:after="30"/>
        <w:jc w:val="center"/>
      </w:pPr>
      <w:r>
        <w:rPr>
          <w:b/>
          <w:bCs/>
          <w:color w:val="16235E"/>
          <w:sz w:val="24"/>
          <w:szCs w:val="24"/>
        </w:rPr>
        <w:t xml:space="preserve">«EVARISTO GARCÍA» E.S.E.</w:t>
      </w:r>
    </w:p>
    <w:p>
      <w:pPr>
        <w:spacing w:after="700"/>
        <w:jc w:val="center"/>
      </w:pPr>
      <w:r>
        <w:rPr>
          <w:i/>
          <w:iCs/>
          <w:color w:val="5A6478"/>
          <w:sz w:val="21"/>
          <w:szCs w:val="21"/>
        </w:rPr>
        <w:t xml:space="preserve">Oficina de Innovación y Desarrollo</w:t>
      </w:r>
    </w:p>
    <w:p>
      <w:pPr>
        <w:spacing w:after="0"/>
        <w:jc w:val="center"/>
      </w:pPr>
      <w:r>
        <w:rPr>
          <w:b/>
          <w:bCs/>
          <w:color w:val="2E3F84"/>
          <w:sz w:val="64"/>
          <w:szCs w:val="64"/>
        </w:rPr>
        <w:t xml:space="preserve">E V A R I S B O T</w:t>
      </w:r>
    </w:p>
    <w:p>
      <w:pPr>
        <w:spacing w:after="520"/>
        <w:jc w:val="center"/>
      </w:pPr>
      <w:r>
        <w:rPr>
          <w:color w:val="5A6478"/>
          <w:sz w:val="20"/>
          <w:szCs w:val="20"/>
        </w:rPr>
        <w:t xml:space="preserve">Plataforma de mensajería WhatsApp para gestión de pacientes</w:t>
      </w:r>
    </w:p>
    <w:p>
      <w:pPr>
        <w:pBdr>
          <w:top w:val="single" w:color="2E3F84" w:sz="12"/>
          <w:bottom w:val="single" w:color="2E3F84" w:sz="12"/>
        </w:pBdr>
        <w:spacing w:after="0"/>
        <w:jc w:val="center"/>
      </w:pPr>
      <w:r>
        <w:rPr>
          <w:b/>
          <w:bCs/>
          <w:color w:val="16235E"/>
          <w:sz w:val="38"/>
          <w:szCs w:val="38"/>
        </w:rPr>
        <w:t xml:space="preserve">  MATERIAL DE ENTRENAMIENTO — SESIÓN 2  </w:t>
      </w:r>
    </w:p>
    <w:p>
      <w:pPr>
        <w:spacing w:after="760" w:before="160"/>
        <w:jc w:val="center"/>
      </w:pPr>
      <w:r>
        <w:rPr>
          <w:color w:val="5A6478"/>
          <w:sz w:val="22"/>
          <w:szCs w:val="22"/>
        </w:rPr>
        <w:t xml:space="preserve">Funciones avanzadas y administración del sistema Evarisbot</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tblGrid>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Código del documento</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EVB-DOC-06</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Versión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1.0</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Fecha de emisión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22 de mayo de 2026</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Estado</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Vigente</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Clasificación</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Uso interno · Material formativo</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Dirigido a</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Asesores avanzados y administradores en proceso de capacitación</w:t>
            </w:r>
          </w:p>
        </w:tc>
      </w:tr>
      <w:tr>
        <w:tc>
          <w:tcPr>
            <w:tcW w:type="dxa" w:w="2600"/>
            <w:tcBorders>
              <w:top w:val="single" w:color="C9D0E3" w:sz="2"/>
              <w:left w:val="single" w:color="C9D0E3" w:sz="2"/>
              <w:bottom w:val="single" w:color="C9D0E3" w:sz="2"/>
              <w:right w:val="single" w:color="C9D0E3" w:sz="2"/>
            </w:tcBorders>
            <w:shd w:fill="EEF1F8" w:val="clear"/>
            <w:tcMar>
              <w:top w:type="dxa" w:w="70"/>
              <w:left w:type="dxa" w:w="120"/>
              <w:bottom w:type="dxa" w:w="70"/>
              <w:right w:type="dxa" w:w="120"/>
            </w:tcMar>
          </w:tcPr>
          <w:p>
            <w:r>
              <w:rPr>
                <w:b/>
                <w:bCs/>
                <w:color w:val="16235E"/>
                <w:sz w:val="18"/>
                <w:szCs w:val="18"/>
              </w:rPr>
              <w:t xml:space="preserve">Elaborado por</w:t>
            </w:r>
          </w:p>
        </w:tc>
        <w:tc>
          <w:tcPr>
            <w:tcW w:type="dxa" w:w="4000"/>
            <w:tcBorders>
              <w:top w:val="single" w:color="C9D0E3" w:sz="2"/>
              <w:left w:val="single" w:color="C9D0E3" w:sz="2"/>
              <w:bottom w:val="single" w:color="C9D0E3" w:sz="2"/>
              <w:right w:val="single" w:color="C9D0E3" w:sz="2"/>
            </w:tcBorders>
            <w:shd w:fill="FFFFFF" w:val="clear"/>
            <w:tcMar>
              <w:top w:type="dxa" w:w="70"/>
              <w:left w:type="dxa" w:w="120"/>
              <w:bottom w:type="dxa" w:w="70"/>
              <w:right w:type="dxa" w:w="120"/>
            </w:tcMar>
          </w:tcPr>
          <w:p>
            <w:r>
              <w:rPr>
                <w:color w:val="1F2433"/>
                <w:sz w:val="18"/>
                <w:szCs w:val="18"/>
              </w:rPr>
              <w:t xml:space="preserve">Innovación y Desarrollo — HUV</w:t>
            </w:r>
          </w:p>
        </w:tc>
      </w:tr>
    </w:tbl>
    <w:p>
      <w:pPr>
        <w:spacing w:after="1400"/>
      </w:pPr>
    </w:p>
    <w:p>
      <w:pPr>
        <w:pBdr>
          <w:bottom w:val="single" w:color="2E3F84" w:sz="40" w:space="0"/>
        </w:pBdr>
        <w:shd w:fill="2E3F84" w:val="clear"/>
        <w:spacing w:after="0" w:before="0"/>
      </w:pPr>
      <w:r>
        <w:rPr>
          <w:color w:val="1F2433"/>
          <w:sz w:val="2"/>
          <w:szCs w:val="2"/>
        </w:rPr>
        <w:t xml:space="preserve"> </w:t>
      </w:r>
    </w:p>
    <w:p>
      <w:pPr>
        <w:spacing w:before="120"/>
        <w:jc w:val="center"/>
      </w:pPr>
      <w:r>
        <w:rPr>
          <w:color w:val="5A6478"/>
          <w:sz w:val="16"/>
          <w:szCs w:val="16"/>
        </w:rPr>
        <w:t xml:space="preserve">Documento confidencial — Prohibida su reproducción o distribución sin autorización.</w:t>
      </w:r>
    </w:p>
    <w:p>
      <w:pPr>
        <w:spacing w:before="40"/>
        <w:jc w:val="center"/>
      </w:pPr>
      <w:r>
        <w:rPr>
          <w:color w:val="5A6478"/>
          <w:sz w:val="16"/>
          <w:szCs w:val="16"/>
        </w:rPr>
        <w:t xml:space="preserve">Santiago de Cali, Colombia · 22 de mayo de 2026</w:t>
      </w:r>
    </w:p>
    <w:p>
      <w:pPr>
        <w:sectPr>
          <w:pgSz w:w="12240" w:h="15840" w:orient="portrait"/>
          <w:pgMar w:top="1440" w:right="1440" w:bottom="1440" w:left="1440" w:header="708" w:footer="708" w:gutter="0"/>
          <w:pgNumType/>
          <w:docGrid w:linePitch="360"/>
        </w:sectPr>
      </w:pPr>
    </w:p>
    <w:p>
      <w:pPr>
        <w:pStyle w:val="Heading1"/>
      </w:pPr>
      <w:r>
        <w:rPr>
          <w:color w:val="2E3F8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color w:val="2E3F84"/>
        </w:rPr>
        <w:t xml:space="preserve">1. Presentación de la sesión</w:t>
      </w:r>
    </w:p>
    <w:p>
      <w:pPr>
        <w:spacing w:after="200" w:line="288"/>
      </w:pPr>
      <w:r>
        <w:rPr>
          <w:i/>
          <w:iCs/>
          <w:color w:val="5A6478"/>
          <w:sz w:val="22"/>
          <w:szCs w:val="22"/>
        </w:rPr>
        <w:t xml:space="preserve">La segunda sesión de entrenamiento profundiza en las funciones avanzadas de Evarisbot: el manejo de plantillas de WhatsApp, los envíos masivos, la gestión de citas, las estadísticas y las herramientas de administración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9" w:sz="2"/>
              <w:left w:val="single" w:color="9A6700" w:sz="24"/>
              <w:bottom w:val="single" w:color="FBF1D9" w:sz="2"/>
              <w:right w:val="single" w:color="FBF1D9" w:sz="2"/>
            </w:tcBorders>
            <w:shd w:fill="FBF1D9" w:val="clear"/>
            <w:tcMar>
              <w:top w:type="dxa" w:w="130"/>
              <w:left w:type="dxa" w:w="200"/>
              <w:bottom w:type="dxa" w:w="130"/>
              <w:right w:type="dxa" w:w="160"/>
            </w:tcMar>
          </w:tcPr>
          <w:p>
            <w:pPr>
              <w:spacing w:after="70"/>
            </w:pPr>
            <w:r>
              <w:rPr>
                <w:b/>
                <w:bCs/>
                <w:color w:val="9A6700"/>
                <w:sz w:val="21"/>
                <w:szCs w:val="21"/>
              </w:rPr>
              <w:t xml:space="preserve">Requisito previo</w:t>
            </w:r>
          </w:p>
          <w:p>
            <w:pPr>
              <w:spacing w:after="0" w:line="272"/>
            </w:pPr>
            <w:r>
              <w:rPr>
                <w:color w:val="1F2433"/>
                <w:sz w:val="20"/>
                <w:szCs w:val="20"/>
              </w:rPr>
              <w:t xml:space="preserve">Para esta sesión se requiere haber completado la Sesión 1 (documento EVB-DOC-05) y dominar la atención básica de conversaciones.</w:t>
            </w:r>
          </w:p>
        </w:tc>
      </w:tr>
    </w:tbl>
    <w:p>
      <w:pPr>
        <w:pStyle w:val="Heading2"/>
        <w:spacing w:after="140" w:before="260"/>
      </w:pPr>
      <w:r>
        <w:rPr>
          <w:color w:val="2E3F84"/>
        </w:rPr>
        <w:t xml:space="preserve">1.1. Objetivos de aprendizaje</w:t>
      </w:r>
    </w:p>
    <w:p>
      <w:pPr>
        <w:spacing w:after="120" w:before="0" w:line="276"/>
      </w:pPr>
      <w:r>
        <w:rPr>
          <w:color w:val="1F2433"/>
        </w:rPr>
        <w:t xml:space="preserve">Al finalizar la sesión, el participante estará en capacidad de:</w:t>
      </w:r>
    </w:p>
    <w:p>
      <w:pPr>
        <w:pStyle w:val="ListParagraph"/>
        <w:numPr>
          <w:ilvl w:val="0"/>
          <w:numId w:val="2"/>
        </w:numPr>
        <w:spacing w:after="60" w:line="276"/>
      </w:pPr>
      <w:r>
        <w:rPr>
          <w:color w:val="1F2433"/>
        </w:rPr>
        <w:t xml:space="preserve">Comprender la diferencia entre los dos tipos de plantillas del sistema.</w:t>
      </w:r>
    </w:p>
    <w:p>
      <w:pPr>
        <w:pStyle w:val="ListParagraph"/>
        <w:numPr>
          <w:ilvl w:val="0"/>
          <w:numId w:val="2"/>
        </w:numPr>
        <w:spacing w:after="60" w:line="276"/>
      </w:pPr>
      <w:r>
        <w:rPr>
          <w:color w:val="1F2433"/>
        </w:rPr>
        <w:t xml:space="preserve">Entender la regla de la ventana de 24 horas y cómo actuar cuando expira.</w:t>
      </w:r>
    </w:p>
    <w:p>
      <w:pPr>
        <w:pStyle w:val="ListParagraph"/>
        <w:numPr>
          <w:ilvl w:val="0"/>
          <w:numId w:val="2"/>
        </w:numPr>
        <w:spacing w:after="60" w:line="276"/>
      </w:pPr>
      <w:r>
        <w:rPr>
          <w:color w:val="1F2433"/>
        </w:rPr>
        <w:t xml:space="preserve">Realizar un envío masivo correctamente, con especial atención al mapeo de columnas.</w:t>
      </w:r>
    </w:p>
    <w:p>
      <w:pPr>
        <w:pStyle w:val="ListParagraph"/>
        <w:numPr>
          <w:ilvl w:val="0"/>
          <w:numId w:val="2"/>
        </w:numPr>
        <w:spacing w:after="60" w:line="276"/>
      </w:pPr>
      <w:r>
        <w:rPr>
          <w:color w:val="1F2433"/>
        </w:rPr>
        <w:t xml:space="preserve">Cargar citas y gestionar el envío de recordatorios.</w:t>
      </w:r>
    </w:p>
    <w:p>
      <w:pPr>
        <w:pStyle w:val="ListParagraph"/>
        <w:numPr>
          <w:ilvl w:val="0"/>
          <w:numId w:val="2"/>
        </w:numPr>
        <w:spacing w:after="60" w:line="276"/>
      </w:pPr>
      <w:r>
        <w:rPr>
          <w:color w:val="1F2433"/>
        </w:rPr>
        <w:t xml:space="preserve">Interpretar los indicadores de la pantalla de estadísticas.</w:t>
      </w:r>
    </w:p>
    <w:p>
      <w:pPr>
        <w:pStyle w:val="ListParagraph"/>
        <w:numPr>
          <w:ilvl w:val="0"/>
          <w:numId w:val="2"/>
        </w:numPr>
        <w:spacing w:after="60" w:line="276"/>
      </w:pPr>
      <w:r>
        <w:rPr>
          <w:color w:val="1F2433"/>
        </w:rPr>
        <w:t xml:space="preserve">Conocer las herramientas de administración: usuarios, ajustes y turnos.</w:t>
      </w:r>
    </w:p>
    <w:p>
      <w:pPr>
        <w:pStyle w:val="ListParagraph"/>
        <w:numPr>
          <w:ilvl w:val="0"/>
          <w:numId w:val="2"/>
        </w:numPr>
        <w:spacing w:after="60" w:line="276"/>
      </w:pPr>
      <w:r>
        <w:rPr>
          <w:color w:val="1F2433"/>
        </w:rPr>
        <w:t xml:space="preserve">Resolver los problemas más frecuentes.</w:t>
      </w:r>
    </w:p>
    <w:p>
      <w:pPr>
        <w:pStyle w:val="Heading2"/>
        <w:spacing w:after="140" w:before="260"/>
      </w:pPr>
      <w:r>
        <w:rPr>
          <w:color w:val="2E3F84"/>
        </w:rPr>
        <w:t xml:space="preserve">1.2. Ficha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Aspecto</w:t>
            </w:r>
          </w:p>
        </w:tc>
        <w:tc>
          <w:tcPr>
            <w:tcW w:type="dxa" w:w="67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Detalle</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Duración estimada</w:t>
            </w:r>
          </w:p>
        </w:tc>
        <w:tc>
          <w:tcPr>
            <w:tcW w:type="dxa" w:w="6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2,5 horas (1,5 de teoría, 1 de práctica).</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Modalidad</w:t>
            </w:r>
          </w:p>
        </w:tc>
        <w:tc>
          <w:tcPr>
            <w:tcW w:type="dxa" w:w="6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Presencial o virtual con computador.</w:t>
            </w:r>
          </w:p>
        </w:tc>
      </w:tr>
      <w:tr>
        <w:tc>
          <w:tcPr>
            <w:tcW w:type="dxa" w:w="2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Material necesario</w:t>
            </w:r>
          </w:p>
        </w:tc>
        <w:tc>
          <w:tcPr>
            <w:tcW w:type="dxa" w:w="67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Cuenta de prueba y un archivo de Excel de ejemplo.</w:t>
            </w:r>
          </w:p>
        </w:tc>
      </w:tr>
      <w:tr>
        <w:tc>
          <w:tcPr>
            <w:tcW w:type="dxa" w:w="2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Evaluación</w:t>
            </w:r>
          </w:p>
        </w:tc>
        <w:tc>
          <w:tcPr>
            <w:tcW w:type="dxa" w:w="67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Lista de verificación práctica al final de la sesión.</w:t>
            </w:r>
          </w:p>
        </w:tc>
      </w:tr>
    </w:tbl>
    <w:p>
      <w:pPr>
        <w:spacing w:after="220" w:before="60"/>
        <w:jc w:val="center"/>
      </w:pPr>
      <w:r>
        <w:rPr>
          <w:i/>
          <w:iCs/>
          <w:color w:val="5A6478"/>
          <w:sz w:val="18"/>
          <w:szCs w:val="18"/>
        </w:rPr>
        <w:t xml:space="preserve">Tabla 1. Ficha de la sesión de entrenamiento.</w:t>
      </w:r>
    </w:p>
    <w:p>
      <w:r>
        <w:br w:type="page"/>
      </w:r>
    </w:p>
    <w:p>
      <w:pPr>
        <w:pStyle w:val="Heading1"/>
        <w:spacing w:after="160" w:before="320"/>
      </w:pPr>
      <w:r>
        <w:rPr>
          <w:color w:val="2E3F84"/>
        </w:rPr>
        <w:t xml:space="preserve">2. Módulo 1 — Etiquetas y especialidades</w:t>
      </w:r>
    </w:p>
    <w:p>
      <w:pPr>
        <w:spacing w:after="120" w:before="0" w:line="276"/>
      </w:pPr>
      <w:r>
        <w:rPr>
          <w:color w:val="1F2433"/>
        </w:rPr>
        <w:t xml:space="preserve">Una bandeja organizada es una atención más eficiente. Las etiquetas y las especialidades son las herramientas para clasificar las conversaciones.</w:t>
      </w:r>
    </w:p>
    <w:p>
      <w:pPr>
        <w:pStyle w:val="Heading2"/>
        <w:spacing w:after="140" w:before="260"/>
      </w:pPr>
      <w:r>
        <w:rPr>
          <w:color w:val="2E3F84"/>
        </w:rPr>
        <w:t xml:space="preserve">2.1. Etiquetas</w:t>
      </w:r>
    </w:p>
    <w:p>
      <w:pPr>
        <w:spacing w:after="120" w:before="0" w:line="276"/>
      </w:pPr>
      <w:r>
        <w:rPr>
          <w:color w:val="1F2433"/>
        </w:rPr>
        <w:t xml:space="preserve">Las etiquetas son marcas de color que agrupan conversaciones por un criterio común: la EPS del paciente, el estado de una gestión, el asesor responsable de un caso, etc. Una conversación puede tener varias etiquetas.</w:t>
      </w:r>
    </w:p>
    <w:p>
      <w:pPr>
        <w:pStyle w:val="Heading2"/>
        <w:spacing w:after="140" w:before="260"/>
      </w:pPr>
      <w:r>
        <w:rPr>
          <w:color w:val="2E3F84"/>
        </w:rPr>
        <w:t xml:space="preserve">2.2. Especialidades</w:t>
      </w:r>
    </w:p>
    <w:p>
      <w:pPr>
        <w:spacing w:after="120" w:before="0" w:line="276"/>
      </w:pPr>
      <w:r>
        <w:rPr>
          <w:color w:val="1F2433"/>
        </w:rPr>
        <w:t xml:space="preserve">La especialidad indica el área médica relacionada con la conversación. Permite, por ejemplo, encontrar rápidamente todas las conversaciones de Cardiología o de Ortopedia mediante el filtro de especialidades.</w:t>
      </w:r>
    </w:p>
    <w:p>
      <w:pPr>
        <w:pStyle w:val="Heading2"/>
        <w:spacing w:after="140" w:before="260"/>
      </w:pPr>
      <w:r>
        <w:rPr>
          <w:color w:val="2E3F84"/>
        </w:rPr>
        <w:t xml:space="preserve">2.3. Práctica guiada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4EC" w:sz="2"/>
              <w:left w:val="single" w:color="1B7F4B" w:sz="24"/>
              <w:bottom w:val="single" w:color="E7F4EC" w:sz="2"/>
              <w:right w:val="single" w:color="E7F4EC" w:sz="2"/>
            </w:tcBorders>
            <w:shd w:fill="E7F4EC" w:val="clear"/>
            <w:tcMar>
              <w:top w:type="dxa" w:w="130"/>
              <w:left w:type="dxa" w:w="200"/>
              <w:bottom w:type="dxa" w:w="130"/>
              <w:right w:type="dxa" w:w="160"/>
            </w:tcMar>
          </w:tcPr>
          <w:p>
            <w:pPr>
              <w:spacing w:after="70"/>
            </w:pPr>
            <w:r>
              <w:rPr>
                <w:b/>
                <w:bCs/>
                <w:color w:val="1B7F4B"/>
                <w:sz w:val="21"/>
                <w:szCs w:val="21"/>
              </w:rPr>
              <w:t xml:space="preserve">Ejercicio</w:t>
            </w:r>
          </w:p>
          <w:p>
            <w:pPr>
              <w:spacing w:after="60" w:line="272"/>
            </w:pPr>
            <w:r>
              <w:rPr>
                <w:color w:val="1F2433"/>
                <w:sz w:val="20"/>
                <w:szCs w:val="20"/>
              </w:rPr>
              <w:t xml:space="preserve">1. Cree una etiqueta nueva y asígnela a una conversación de prueba.</w:t>
            </w:r>
          </w:p>
          <w:p>
            <w:pPr>
              <w:spacing w:after="60" w:line="272"/>
            </w:pPr>
            <w:r>
              <w:rPr>
                <w:color w:val="1F2433"/>
                <w:sz w:val="20"/>
                <w:szCs w:val="20"/>
              </w:rPr>
              <w:t xml:space="preserve">2. Asigne una especialidad a esa conversación.</w:t>
            </w:r>
          </w:p>
          <w:p>
            <w:pPr>
              <w:spacing w:after="0" w:line="272"/>
            </w:pPr>
            <w:r>
              <w:rPr>
                <w:color w:val="1F2433"/>
                <w:sz w:val="20"/>
                <w:szCs w:val="20"/>
              </w:rPr>
              <w:t xml:space="preserve">3. Use el filtro de etiquetas y el de especialidades para ubicarla.</w:t>
            </w:r>
          </w:p>
        </w:tc>
      </w:tr>
    </w:tbl>
    <w:p>
      <w:r>
        <w:br w:type="page"/>
      </w:r>
    </w:p>
    <w:p>
      <w:pPr>
        <w:pStyle w:val="Heading1"/>
        <w:spacing w:after="160" w:before="320"/>
      </w:pPr>
      <w:r>
        <w:rPr>
          <w:color w:val="2E3F84"/>
        </w:rPr>
        <w:t xml:space="preserve">3. Módulo 2 — Plantillas de WhatsApp y la ventana de 24 horas</w:t>
      </w:r>
    </w:p>
    <w:p>
      <w:pPr>
        <w:pStyle w:val="Heading2"/>
        <w:spacing w:after="140" w:before="260"/>
      </w:pPr>
      <w:r>
        <w:rPr>
          <w:color w:val="2E3F84"/>
        </w:rPr>
        <w:t xml:space="preserve">3.1. Los dos tipos de 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Tipo</w:t>
            </w:r>
          </w:p>
        </w:tc>
        <w:tc>
          <w:tcPr>
            <w:tcW w:type="dxa" w:w="3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Qué es</w:t>
            </w:r>
          </w:p>
        </w:tc>
        <w:tc>
          <w:tcPr>
            <w:tcW w:type="dxa" w:w="3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Cuándo se usa</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Respuesta rápida (interna)</w:t>
            </w:r>
          </w:p>
        </w:tc>
        <w:tc>
          <w:tcPr>
            <w:tcW w:type="dxa" w:w="3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Texto predefinido del hospital, sin aprobación de Meta.</w:t>
            </w:r>
          </w:p>
        </w:tc>
        <w:tc>
          <w:tcPr>
            <w:tcW w:type="dxa" w:w="3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Dentro de una conversación activa, para responder más rápido.</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Plantilla de WhatsApp (Meta)</w:t>
            </w:r>
          </w:p>
        </w:tc>
        <w:tc>
          <w:tcPr>
            <w:tcW w:type="dxa" w:w="3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 aprobado por Meta.</w:t>
            </w:r>
          </w:p>
        </w:tc>
        <w:tc>
          <w:tcPr>
            <w:tcW w:type="dxa" w:w="3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Para envíos masivos y para contactar a un paciente fuera de las 24 horas.</w:t>
            </w:r>
          </w:p>
        </w:tc>
      </w:tr>
    </w:tbl>
    <w:p>
      <w:pPr>
        <w:spacing w:after="220" w:before="60"/>
        <w:jc w:val="center"/>
      </w:pPr>
      <w:r>
        <w:rPr>
          <w:i/>
          <w:iCs/>
          <w:color w:val="5A6478"/>
          <w:sz w:val="18"/>
          <w:szCs w:val="18"/>
        </w:rPr>
        <w:t xml:space="preserve">Tabla 2. Diferencia entre los dos tipos de plantilla.</w:t>
      </w:r>
    </w:p>
    <w:p>
      <w:pPr>
        <w:pStyle w:val="Heading2"/>
        <w:spacing w:after="140" w:before="260"/>
      </w:pPr>
      <w:r>
        <w:rPr>
          <w:color w:val="2E3F84"/>
        </w:rPr>
        <w:t xml:space="preserve">3.2. La regla de la ventana de 24 horas</w:t>
      </w:r>
    </w:p>
    <w:p>
      <w:pPr>
        <w:spacing w:after="120" w:before="0" w:line="276"/>
      </w:pPr>
      <w:r>
        <w:rPr>
          <w:color w:val="1F2433"/>
        </w:rPr>
        <w:t xml:space="preserve">WhatsApp solo permite escribir libremente a un paciente durante las 24 horas posteriores a su último mensaje. Esta regla la establece Meta, no el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1D9" w:sz="2"/>
              <w:left w:val="single" w:color="9A6700" w:sz="24"/>
              <w:bottom w:val="single" w:color="FBF1D9" w:sz="2"/>
              <w:right w:val="single" w:color="FBF1D9" w:sz="2"/>
            </w:tcBorders>
            <w:shd w:fill="FBF1D9" w:val="clear"/>
            <w:tcMar>
              <w:top w:type="dxa" w:w="130"/>
              <w:left w:type="dxa" w:w="200"/>
              <w:bottom w:type="dxa" w:w="130"/>
              <w:right w:type="dxa" w:w="160"/>
            </w:tcMar>
          </w:tcPr>
          <w:p>
            <w:pPr>
              <w:spacing w:after="70"/>
            </w:pPr>
            <w:r>
              <w:rPr>
                <w:b/>
                <w:bCs/>
                <w:color w:val="9A6700"/>
                <w:sz w:val="21"/>
                <w:szCs w:val="21"/>
              </w:rPr>
              <w:t xml:space="preserve">Cómo actuar cuando la ventana expiró</w:t>
            </w:r>
          </w:p>
          <w:p>
            <w:pPr>
              <w:spacing w:after="0" w:line="272"/>
            </w:pPr>
            <w:r>
              <w:rPr>
                <w:color w:val="1F2433"/>
                <w:sz w:val="20"/>
                <w:szCs w:val="20"/>
              </w:rPr>
              <w:t xml:space="preserve">Si necesita contactar a un paciente y han pasado más de 24 horas desde su último mensaje, el sistema lo advertirá. La única forma de reactivar el contacto es enviar una plantilla de WhatsApp aprobada desde el botón de plantillas de WhatsApp dentro de la conversación.</w:t>
            </w:r>
          </w:p>
        </w:tc>
      </w:tr>
    </w:tbl>
    <w:p>
      <w:pPr>
        <w:pStyle w:val="Heading2"/>
        <w:spacing w:after="140" w:before="260"/>
      </w:pPr>
      <w:r>
        <w:rPr>
          <w:color w:val="2E3F84"/>
        </w:rPr>
        <w:t xml:space="preserve">3.3. Práctica guiada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4EC" w:sz="2"/>
              <w:left w:val="single" w:color="1B7F4B" w:sz="24"/>
              <w:bottom w:val="single" w:color="E7F4EC" w:sz="2"/>
              <w:right w:val="single" w:color="E7F4EC" w:sz="2"/>
            </w:tcBorders>
            <w:shd w:fill="E7F4EC" w:val="clear"/>
            <w:tcMar>
              <w:top w:type="dxa" w:w="130"/>
              <w:left w:type="dxa" w:w="200"/>
              <w:bottom w:type="dxa" w:w="130"/>
              <w:right w:type="dxa" w:w="160"/>
            </w:tcMar>
          </w:tcPr>
          <w:p>
            <w:pPr>
              <w:spacing w:after="70"/>
            </w:pPr>
            <w:r>
              <w:rPr>
                <w:b/>
                <w:bCs/>
                <w:color w:val="1B7F4B"/>
                <w:sz w:val="21"/>
                <w:szCs w:val="21"/>
              </w:rPr>
              <w:t xml:space="preserve">Ejercicio</w:t>
            </w:r>
          </w:p>
          <w:p>
            <w:pPr>
              <w:spacing w:after="60" w:line="272"/>
            </w:pPr>
            <w:r>
              <w:rPr>
                <w:color w:val="1F2433"/>
                <w:sz w:val="20"/>
                <w:szCs w:val="20"/>
              </w:rPr>
              <w:t xml:space="preserve">1. Abra una conversación y ubique el botón de plantillas de WhatsApp.</w:t>
            </w:r>
          </w:p>
          <w:p>
            <w:pPr>
              <w:spacing w:after="60" w:line="272"/>
            </w:pPr>
            <w:r>
              <w:rPr>
                <w:color w:val="1F2433"/>
                <w:sz w:val="20"/>
                <w:szCs w:val="20"/>
              </w:rPr>
              <w:t xml:space="preserve">2. Seleccione una plantilla aprobada y observe cómo se completan sus parámetros.</w:t>
            </w:r>
          </w:p>
          <w:p>
            <w:pPr>
              <w:spacing w:after="0" w:line="272"/>
            </w:pPr>
            <w:r>
              <w:rPr>
                <w:color w:val="1F2433"/>
                <w:sz w:val="20"/>
                <w:szCs w:val="20"/>
              </w:rPr>
              <w:t xml:space="preserve">3. Identifique la advertencia de la ventana de 24 horas en una conversación antigua.</w:t>
            </w:r>
          </w:p>
        </w:tc>
      </w:tr>
    </w:tbl>
    <w:p>
      <w:r>
        <w:br w:type="page"/>
      </w:r>
    </w:p>
    <w:p>
      <w:pPr>
        <w:pStyle w:val="Heading1"/>
        <w:spacing w:after="160" w:before="320"/>
      </w:pPr>
      <w:r>
        <w:rPr>
          <w:color w:val="2E3F84"/>
        </w:rPr>
        <w:t xml:space="preserve">4. Módulo 3 — Envíos masivos</w:t>
      </w:r>
    </w:p>
    <w:p>
      <w:pPr>
        <w:spacing w:after="120" w:before="0" w:line="276"/>
      </w:pPr>
      <w:r>
        <w:rPr>
          <w:color w:val="1F2433"/>
        </w:rPr>
        <w:t xml:space="preserve">El envío masivo permite enviar una plantilla de WhatsApp a muchos pacientes a la vez, a partir de un archivo de Excel. Es una función poderosa que debe usarse con cuidado.</w:t>
      </w:r>
    </w:p>
    <w:p>
      <w:pPr>
        <w:pStyle w:val="Heading2"/>
        <w:spacing w:after="140" w:before="260"/>
      </w:pPr>
      <w:r>
        <w:rPr>
          <w:color w:val="2E3F84"/>
        </w:rPr>
        <w:t xml:space="preserve">4.1. Procedimiento paso a paso</w:t>
      </w:r>
    </w:p>
    <w:p>
      <w:pPr>
        <w:pStyle w:val="ListParagraph"/>
        <w:numPr>
          <w:ilvl w:val="0"/>
          <w:numId w:val="3"/>
        </w:numPr>
        <w:spacing w:after="80" w:line="276"/>
      </w:pPr>
      <w:r>
        <w:rPr>
          <w:color w:val="1F2433"/>
        </w:rPr>
        <w:t xml:space="preserve">Ingresar al módulo «Envíos masivos», pestaña «Enviar».</w:t>
      </w:r>
    </w:p>
    <w:p>
      <w:pPr>
        <w:pStyle w:val="ListParagraph"/>
        <w:numPr>
          <w:ilvl w:val="0"/>
          <w:numId w:val="3"/>
        </w:numPr>
        <w:spacing w:after="80" w:line="276"/>
      </w:pPr>
      <w:r>
        <w:rPr>
          <w:color w:val="1F2433"/>
        </w:rPr>
        <w:t xml:space="preserve">Escribir un nombre para identificar la campaña.</w:t>
      </w:r>
    </w:p>
    <w:p>
      <w:pPr>
        <w:pStyle w:val="ListParagraph"/>
        <w:numPr>
          <w:ilvl w:val="0"/>
          <w:numId w:val="3"/>
        </w:numPr>
        <w:spacing w:after="80" w:line="276"/>
      </w:pPr>
      <w:r>
        <w:rPr>
          <w:color w:val="1F2433"/>
        </w:rPr>
        <w:t xml:space="preserve">Seleccionar la plantilla de WhatsApp.</w:t>
      </w:r>
    </w:p>
    <w:p>
      <w:pPr>
        <w:pStyle w:val="ListParagraph"/>
        <w:numPr>
          <w:ilvl w:val="0"/>
          <w:numId w:val="3"/>
        </w:numPr>
        <w:spacing w:after="80" w:line="276"/>
      </w:pPr>
      <w:r>
        <w:rPr>
          <w:color w:val="1F2433"/>
        </w:rPr>
        <w:t xml:space="preserve">Cargar el archivo de Excel con los destinatarios.</w:t>
      </w:r>
    </w:p>
    <w:p>
      <w:pPr>
        <w:pStyle w:val="ListParagraph"/>
        <w:numPr>
          <w:ilvl w:val="0"/>
          <w:numId w:val="3"/>
        </w:numPr>
        <w:spacing w:after="80" w:line="276"/>
      </w:pPr>
      <w:r>
        <w:rPr>
          <w:color w:val="1F2433"/>
        </w:rPr>
        <w:t xml:space="preserve">Asociar cada parámetro de la plantilla con la columna correcta del Excel.</w:t>
      </w:r>
    </w:p>
    <w:p>
      <w:pPr>
        <w:pStyle w:val="ListParagraph"/>
        <w:numPr>
          <w:ilvl w:val="0"/>
          <w:numId w:val="3"/>
        </w:numPr>
        <w:spacing w:after="80" w:line="276"/>
      </w:pPr>
      <w:r>
        <w:rPr>
          <w:color w:val="1F2433"/>
        </w:rPr>
        <w:t xml:space="preserve">Revisar la vista previa con los datos del primer destinatario.</w:t>
      </w:r>
    </w:p>
    <w:p>
      <w:pPr>
        <w:pStyle w:val="ListParagraph"/>
        <w:numPr>
          <w:ilvl w:val="0"/>
          <w:numId w:val="3"/>
        </w:numPr>
        <w:spacing w:after="80" w:line="276"/>
      </w:pPr>
      <w:r>
        <w:rPr>
          <w:color w:val="1F2433"/>
        </w:rPr>
        <w:t xml:space="preserve">Pulsar «Enviar» y confirmar.</w:t>
      </w:r>
    </w:p>
    <w:p>
      <w:pPr>
        <w:pStyle w:val="Heading2"/>
        <w:spacing w:after="140" w:before="260"/>
      </w:pPr>
      <w:r>
        <w:rPr>
          <w:color w:val="2E3F84"/>
        </w:rPr>
        <w:t xml:space="preserve">4.2. El mapeo de columnas: el paso más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2"/>
              <w:left w:val="single" w:color="B42318" w:sz="24"/>
              <w:bottom w:val="single" w:color="FBE9E7" w:sz="2"/>
              <w:right w:val="single" w:color="FBE9E7" w:sz="2"/>
            </w:tcBorders>
            <w:shd w:fill="FBE9E7" w:val="clear"/>
            <w:tcMar>
              <w:top w:type="dxa" w:w="130"/>
              <w:left w:type="dxa" w:w="200"/>
              <w:bottom w:type="dxa" w:w="130"/>
              <w:right w:type="dxa" w:w="160"/>
            </w:tcMar>
          </w:tcPr>
          <w:p>
            <w:pPr>
              <w:spacing w:after="70"/>
            </w:pPr>
            <w:r>
              <w:rPr>
                <w:b/>
                <w:bCs/>
                <w:color w:val="B42318"/>
                <w:sz w:val="21"/>
                <w:szCs w:val="21"/>
              </w:rPr>
              <w:t xml:space="preserve">Atención — punto crítico</w:t>
            </w:r>
          </w:p>
          <w:p>
            <w:pPr>
              <w:spacing w:after="60" w:line="272"/>
            </w:pPr>
            <w:r>
              <w:rPr>
                <w:color w:val="1F2433"/>
                <w:sz w:val="20"/>
                <w:szCs w:val="20"/>
              </w:rPr>
              <w:t xml:space="preserve">Cada parámetro de la plantilla (nombre, fecha, hora, etc.) debe asociarse manualmente a la columna correcta del Excel. Si el mapeo es incorrecto, TODOS los pacientes recibirán datos equivocados.</w:t>
            </w:r>
          </w:p>
          <w:p>
            <w:pPr>
              <w:spacing w:after="60" w:line="272"/>
            </w:pPr>
            <w:r>
              <w:rPr>
                <w:color w:val="1F2433"/>
                <w:sz w:val="20"/>
                <w:szCs w:val="20"/>
              </w:rPr>
              <w:t xml:space="preserve">Por seguridad, el botón de envío permanece bloqueado hasta que todos los parámetros estén asociados.</w:t>
            </w:r>
          </w:p>
          <w:p>
            <w:pPr>
              <w:spacing w:after="0" w:line="272"/>
            </w:pPr>
            <w:r>
              <w:rPr>
                <w:color w:val="1F2433"/>
                <w:sz w:val="20"/>
                <w:szCs w:val="20"/>
              </w:rPr>
              <w:t xml:space="preserve">Regla de oro: nunca pulse «Enviar» sin haber revisado la vista previa del mensaje.</w:t>
            </w:r>
          </w:p>
        </w:tc>
      </w:tr>
    </w:tbl>
    <w:p>
      <w:pPr>
        <w:pStyle w:val="Heading2"/>
        <w:spacing w:after="140" w:before="260"/>
      </w:pPr>
      <w:r>
        <w:rPr>
          <w:color w:val="2E3F84"/>
        </w:rPr>
        <w:t xml:space="preserve">4.3. Seguimiento de la campaña</w:t>
      </w:r>
    </w:p>
    <w:p>
      <w:pPr>
        <w:spacing w:after="120" w:before="0" w:line="276"/>
      </w:pPr>
      <w:r>
        <w:rPr>
          <w:color w:val="1F2433"/>
        </w:rPr>
        <w:t xml:space="preserve">Durante el envío, una barra de progreso muestra el avance. Al finalizar, la campaña queda en el historial, donde se puede revisar el detalle de cada destinatario (enviado o fallido) y el motivo de los fallos.</w:t>
      </w:r>
    </w:p>
    <w:p>
      <w:pPr>
        <w:pStyle w:val="Heading2"/>
        <w:spacing w:after="140" w:before="260"/>
      </w:pPr>
      <w:r>
        <w:rPr>
          <w:color w:val="2E3F84"/>
        </w:rPr>
        <w:t xml:space="preserve">4.4. Práctica guiada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4EC" w:sz="2"/>
              <w:left w:val="single" w:color="1B7F4B" w:sz="24"/>
              <w:bottom w:val="single" w:color="E7F4EC" w:sz="2"/>
              <w:right w:val="single" w:color="E7F4EC" w:sz="2"/>
            </w:tcBorders>
            <w:shd w:fill="E7F4EC" w:val="clear"/>
            <w:tcMar>
              <w:top w:type="dxa" w:w="130"/>
              <w:left w:type="dxa" w:w="200"/>
              <w:bottom w:type="dxa" w:w="130"/>
              <w:right w:type="dxa" w:w="160"/>
            </w:tcMar>
          </w:tcPr>
          <w:p>
            <w:pPr>
              <w:spacing w:after="70"/>
            </w:pPr>
            <w:r>
              <w:rPr>
                <w:b/>
                <w:bCs/>
                <w:color w:val="1B7F4B"/>
                <w:sz w:val="21"/>
                <w:szCs w:val="21"/>
              </w:rPr>
              <w:t xml:space="preserve">Ejercicio</w:t>
            </w:r>
          </w:p>
          <w:p>
            <w:pPr>
              <w:spacing w:after="60" w:line="272"/>
            </w:pPr>
            <w:r>
              <w:rPr>
                <w:color w:val="1F2433"/>
                <w:sz w:val="20"/>
                <w:szCs w:val="20"/>
              </w:rPr>
              <w:t xml:space="preserve">1. Con el archivo de Excel de ejemplo, inicie un envío masivo de prueba.</w:t>
            </w:r>
          </w:p>
          <w:p>
            <w:pPr>
              <w:spacing w:after="60" w:line="272"/>
            </w:pPr>
            <w:r>
              <w:rPr>
                <w:color w:val="1F2433"/>
                <w:sz w:val="20"/>
                <w:szCs w:val="20"/>
              </w:rPr>
              <w:t xml:space="preserve">2. Realice el mapeo de columnas y verifique la vista previa.</w:t>
            </w:r>
          </w:p>
          <w:p>
            <w:pPr>
              <w:spacing w:after="0" w:line="272"/>
            </w:pPr>
            <w:r>
              <w:rPr>
                <w:color w:val="1F2433"/>
                <w:sz w:val="20"/>
                <w:szCs w:val="20"/>
              </w:rPr>
              <w:t xml:space="preserve">3. Observe la barra de progreso y, al terminar, revise el detalle en el historial.</w:t>
            </w:r>
          </w:p>
        </w:tc>
      </w:tr>
    </w:tbl>
    <w:p>
      <w:r>
        <w:br w:type="page"/>
      </w:r>
    </w:p>
    <w:p>
      <w:pPr>
        <w:pStyle w:val="Heading1"/>
        <w:spacing w:after="160" w:before="320"/>
      </w:pPr>
      <w:r>
        <w:rPr>
          <w:color w:val="2E3F84"/>
        </w:rPr>
        <w:t xml:space="preserve">5. Módulo 4 — Citas y recordatorios</w:t>
      </w:r>
    </w:p>
    <w:p>
      <w:pPr>
        <w:spacing w:after="120" w:before="0" w:line="276"/>
      </w:pPr>
      <w:r>
        <w:rPr>
          <w:color w:val="1F2433"/>
        </w:rPr>
        <w:t xml:space="preserve">El módulo de Citas permite cargar la programación de citas del hospital y enviar recordatorios automáticos. Es una función de administración.</w:t>
      </w:r>
    </w:p>
    <w:p>
      <w:pPr>
        <w:pStyle w:val="Heading2"/>
        <w:spacing w:after="140" w:before="260"/>
      </w:pPr>
      <w:r>
        <w:rPr>
          <w:color w:val="2E3F84"/>
        </w:rPr>
        <w:t xml:space="preserve">5.1. Cargar las citas</w:t>
      </w:r>
    </w:p>
    <w:p>
      <w:pPr>
        <w:spacing w:after="120" w:before="0" w:line="276"/>
      </w:pPr>
      <w:r>
        <w:rPr>
          <w:color w:val="1F2433"/>
        </w:rPr>
        <w:t xml:space="preserve">Las citas se cargan desde un archivo de Excel con la programación. El sistema procesa el archivo, descarta los registros duplicados e informa el total de citas cargadas.</w:t>
      </w:r>
    </w:p>
    <w:p>
      <w:pPr>
        <w:pStyle w:val="Heading2"/>
        <w:spacing w:after="140" w:before="260"/>
      </w:pPr>
      <w:r>
        <w:rPr>
          <w:color w:val="2E3F84"/>
        </w:rPr>
        <w:t xml:space="preserve">5.2. Enviar los recordatorios</w:t>
      </w:r>
    </w:p>
    <w:p>
      <w:pPr>
        <w:spacing w:after="120" w:before="0" w:line="276"/>
      </w:pPr>
      <w:r>
        <w:rPr>
          <w:color w:val="1F2433"/>
        </w:rPr>
        <w:t xml:space="preserve">Tras cargar las citas, se inicia el envío de recordatorios. El sistema envía un mensaje a cada paciente con cita próxima. El envío puede pausarse, reanudarse o detenerse, y su progreso se muestra en pantalla.</w:t>
      </w:r>
    </w:p>
    <w:p>
      <w:pPr>
        <w:pStyle w:val="Heading2"/>
        <w:spacing w:after="140" w:before="260"/>
      </w:pPr>
      <w:r>
        <w:rPr>
          <w:color w:val="2E3F84"/>
        </w:rPr>
        <w:t xml:space="preserve">5.3. Respuestas de los pacientes</w:t>
      </w:r>
    </w:p>
    <w:p>
      <w:pPr>
        <w:spacing w:after="120" w:before="0" w:line="276"/>
      </w:pPr>
      <w:r>
        <w:rPr>
          <w:color w:val="1F2433"/>
        </w:rPr>
        <w:t xml:space="preserve">Cuando el paciente responde confirmando o cancelando la cita, el sistema actualiza automáticamente el estado de la cita. Las cancelaciones quedan registradas para que el hospital pueda gestionarlas.</w:t>
      </w:r>
    </w:p>
    <w:p>
      <w:pPr>
        <w:pStyle w:val="Heading2"/>
        <w:spacing w:after="140" w:before="260"/>
      </w:pPr>
      <w:r>
        <w:rPr>
          <w:color w:val="2E3F84"/>
        </w:rPr>
        <w:t xml:space="preserve">5.4. Práctica guiada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4EC" w:sz="2"/>
              <w:left w:val="single" w:color="1B7F4B" w:sz="24"/>
              <w:bottom w:val="single" w:color="E7F4EC" w:sz="2"/>
              <w:right w:val="single" w:color="E7F4EC" w:sz="2"/>
            </w:tcBorders>
            <w:shd w:fill="E7F4EC" w:val="clear"/>
            <w:tcMar>
              <w:top w:type="dxa" w:w="130"/>
              <w:left w:type="dxa" w:w="200"/>
              <w:bottom w:type="dxa" w:w="130"/>
              <w:right w:type="dxa" w:w="160"/>
            </w:tcMar>
          </w:tcPr>
          <w:p>
            <w:pPr>
              <w:spacing w:after="70"/>
            </w:pPr>
            <w:r>
              <w:rPr>
                <w:b/>
                <w:bCs/>
                <w:color w:val="1B7F4B"/>
                <w:sz w:val="21"/>
                <w:szCs w:val="21"/>
              </w:rPr>
              <w:t xml:space="preserve">Ejercicio</w:t>
            </w:r>
          </w:p>
          <w:p>
            <w:pPr>
              <w:spacing w:after="60" w:line="272"/>
            </w:pPr>
            <w:r>
              <w:rPr>
                <w:color w:val="1F2433"/>
                <w:sz w:val="20"/>
                <w:szCs w:val="20"/>
              </w:rPr>
              <w:t xml:space="preserve">1. Revise la pantalla de Citas y ubique los indicadores de recordatorios.</w:t>
            </w:r>
          </w:p>
          <w:p>
            <w:pPr>
              <w:spacing w:after="60" w:line="272"/>
            </w:pPr>
            <w:r>
              <w:rPr>
                <w:color w:val="1F2433"/>
                <w:sz w:val="20"/>
                <w:szCs w:val="20"/>
              </w:rPr>
              <w:t xml:space="preserve">2. Identifique los botones de pausar, reanudar y detener.</w:t>
            </w:r>
          </w:p>
          <w:p>
            <w:pPr>
              <w:spacing w:after="0" w:line="272"/>
            </w:pPr>
            <w:r>
              <w:rPr>
                <w:color w:val="1F2433"/>
                <w:sz w:val="20"/>
                <w:szCs w:val="20"/>
              </w:rPr>
              <w:t xml:space="preserve">3. Localice una cita confirmada y una cancelada en el listado.</w:t>
            </w:r>
          </w:p>
        </w:tc>
      </w:tr>
    </w:tbl>
    <w:p>
      <w:r>
        <w:br w:type="page"/>
      </w:r>
    </w:p>
    <w:p>
      <w:pPr>
        <w:pStyle w:val="Heading1"/>
        <w:spacing w:after="160" w:before="320"/>
      </w:pPr>
      <w:r>
        <w:rPr>
          <w:color w:val="2E3F84"/>
        </w:rPr>
        <w:t xml:space="preserve">6. Módulo 5 — Estadísticas e indicadores</w:t>
      </w:r>
    </w:p>
    <w:p>
      <w:pPr>
        <w:spacing w:after="120" w:before="0" w:line="276"/>
      </w:pPr>
      <w:r>
        <w:rPr>
          <w:color w:val="1F2433"/>
        </w:rPr>
        <w:t xml:space="preserve">La pantalla de Estadísticas presenta el desempeño del sistema y del equipo. Permite tomar decisiones con base en datos.</w:t>
      </w:r>
    </w:p>
    <w:p>
      <w:pPr>
        <w:pStyle w:val="Heading2"/>
        <w:spacing w:after="140" w:before="260"/>
      </w:pPr>
      <w:r>
        <w:rPr>
          <w:color w:val="2E3F84"/>
        </w:rPr>
        <w:t xml:space="preserve">6.1. Qué indicadores ofrece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Indicador</w:t>
            </w:r>
          </w:p>
        </w:tc>
        <w:tc>
          <w:tcPr>
            <w:tcW w:type="dxa" w:w="6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Qué muestra</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Mensajería</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Volumen de mensajes enviados y recibidos, y su estado de entrega.</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Conversaciones</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Cantidad de conversaciones por estado (activas, resueltas, etc.).</w:t>
            </w:r>
          </w:p>
        </w:tc>
      </w:tr>
      <w:tr>
        <w:tc>
          <w:tcPr>
            <w:tcW w:type="dxa" w:w="2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Citas</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Resultado de los recordatorios: confirmadas, canceladas, pendientes.</w:t>
            </w:r>
          </w:p>
        </w:tc>
      </w:tr>
      <w:tr>
        <w:tc>
          <w:tcPr>
            <w:tcW w:type="dxa" w:w="2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Asesores</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Desempeño individual: conversaciones, mensajes y tiempo de respuesta.</w:t>
            </w:r>
          </w:p>
        </w:tc>
      </w:tr>
    </w:tbl>
    <w:p>
      <w:pPr>
        <w:spacing w:after="220" w:before="60"/>
        <w:jc w:val="center"/>
      </w:pPr>
      <w:r>
        <w:rPr>
          <w:i/>
          <w:iCs/>
          <w:color w:val="5A6478"/>
          <w:sz w:val="18"/>
          <w:szCs w:val="18"/>
        </w:rPr>
        <w:t xml:space="preserve">Tabla 3. Indicadores de la pantalla de Estadísticas.</w:t>
      </w:r>
    </w:p>
    <w:p>
      <w:pPr>
        <w:pStyle w:val="Heading2"/>
        <w:spacing w:after="140" w:before="260"/>
      </w:pPr>
      <w:r>
        <w:rPr>
          <w:color w:val="2E3F84"/>
        </w:rPr>
        <w:t xml:space="preserve">6.2. Filtros y exportación</w:t>
      </w:r>
    </w:p>
    <w:p>
      <w:pPr>
        <w:spacing w:after="120" w:before="0" w:line="276"/>
      </w:pPr>
      <w:r>
        <w:rPr>
          <w:color w:val="1F2433"/>
        </w:rPr>
        <w:t xml:space="preserve">Los indicadores se pueden filtrar por periodo (día, semana, mes, año o rango personalizado), visualizar como tabla o como gráficos, y exportar a un archivo de Excel para informes.</w:t>
      </w:r>
    </w:p>
    <w:p>
      <w:pPr>
        <w:pStyle w:val="Heading2"/>
        <w:spacing w:after="140" w:before="260"/>
      </w:pPr>
      <w:r>
        <w:rPr>
          <w:color w:val="2E3F84"/>
        </w:rPr>
        <w:t xml:space="preserve">6.3. Práctica guiada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4EC" w:sz="2"/>
              <w:left w:val="single" w:color="1B7F4B" w:sz="24"/>
              <w:bottom w:val="single" w:color="E7F4EC" w:sz="2"/>
              <w:right w:val="single" w:color="E7F4EC" w:sz="2"/>
            </w:tcBorders>
            <w:shd w:fill="E7F4EC" w:val="clear"/>
            <w:tcMar>
              <w:top w:type="dxa" w:w="130"/>
              <w:left w:type="dxa" w:w="200"/>
              <w:bottom w:type="dxa" w:w="130"/>
              <w:right w:type="dxa" w:w="160"/>
            </w:tcMar>
          </w:tcPr>
          <w:p>
            <w:pPr>
              <w:spacing w:after="70"/>
            </w:pPr>
            <w:r>
              <w:rPr>
                <w:b/>
                <w:bCs/>
                <w:color w:val="1B7F4B"/>
                <w:sz w:val="21"/>
                <w:szCs w:val="21"/>
              </w:rPr>
              <w:t xml:space="preserve">Ejercicio</w:t>
            </w:r>
          </w:p>
          <w:p>
            <w:pPr>
              <w:spacing w:after="60" w:line="272"/>
            </w:pPr>
            <w:r>
              <w:rPr>
                <w:color w:val="1F2433"/>
                <w:sz w:val="20"/>
                <w:szCs w:val="20"/>
              </w:rPr>
              <w:t xml:space="preserve">1. Abra la pantalla de Estadísticas y aplique el filtro de periodo «mes».</w:t>
            </w:r>
          </w:p>
          <w:p>
            <w:pPr>
              <w:spacing w:after="60" w:line="272"/>
            </w:pPr>
            <w:r>
              <w:rPr>
                <w:color w:val="1F2433"/>
                <w:sz w:val="20"/>
                <w:szCs w:val="20"/>
              </w:rPr>
              <w:t xml:space="preserve">2. Alterne entre la vista de tabla y la de gráficos.</w:t>
            </w:r>
          </w:p>
          <w:p>
            <w:pPr>
              <w:spacing w:after="0" w:line="272"/>
            </w:pPr>
            <w:r>
              <w:rPr>
                <w:color w:val="1F2433"/>
                <w:sz w:val="20"/>
                <w:szCs w:val="20"/>
              </w:rPr>
              <w:t xml:space="preserve">3. Despliegue el detalle de un asesor y observe sus indicadores.</w:t>
            </w:r>
          </w:p>
        </w:tc>
      </w:tr>
    </w:tbl>
    <w:p>
      <w:r>
        <w:br w:type="page"/>
      </w:r>
    </w:p>
    <w:p>
      <w:pPr>
        <w:pStyle w:val="Heading1"/>
        <w:spacing w:after="160" w:before="320"/>
      </w:pPr>
      <w:r>
        <w:rPr>
          <w:color w:val="2E3F84"/>
        </w:rPr>
        <w:t xml:space="preserve">7. Módulo 6 — Herramientas de administración</w:t>
      </w:r>
    </w:p>
    <w:p>
      <w:pPr>
        <w:spacing w:after="120" w:before="0" w:line="276"/>
      </w:pPr>
      <w:r>
        <w:rPr>
          <w:color w:val="1F2433"/>
        </w:rPr>
        <w:t xml:space="preserve">Este módulo está dirigido a los administradores del sistema.</w:t>
      </w:r>
    </w:p>
    <w:p>
      <w:pPr>
        <w:pStyle w:val="Heading2"/>
        <w:spacing w:after="140" w:before="260"/>
      </w:pPr>
      <w:r>
        <w:rPr>
          <w:color w:val="2E3F84"/>
        </w:rPr>
        <w:t xml:space="preserve">7.1. Gestión de usuarios</w:t>
      </w:r>
    </w:p>
    <w:p>
      <w:pPr>
        <w:pStyle w:val="ListParagraph"/>
        <w:numPr>
          <w:ilvl w:val="0"/>
          <w:numId w:val="2"/>
        </w:numPr>
        <w:spacing w:after="60" w:line="276"/>
      </w:pPr>
      <w:r>
        <w:rPr>
          <w:color w:val="1F2433"/>
        </w:rPr>
        <w:t xml:space="preserve">Crear cuentas para el personal nuevo, definiendo nombre, correo, contraseña y rol.</w:t>
      </w:r>
    </w:p>
    <w:p>
      <w:pPr>
        <w:pStyle w:val="ListParagraph"/>
        <w:numPr>
          <w:ilvl w:val="0"/>
          <w:numId w:val="2"/>
        </w:numPr>
        <w:spacing w:after="60" w:line="276"/>
      </w:pPr>
      <w:r>
        <w:rPr>
          <w:color w:val="1F2433"/>
        </w:rPr>
        <w:t xml:space="preserve">Editar o desactivar cuentas existentes.</w:t>
      </w:r>
    </w:p>
    <w:p>
      <w:pPr>
        <w:pStyle w:val="ListParagraph"/>
        <w:numPr>
          <w:ilvl w:val="0"/>
          <w:numId w:val="2"/>
        </w:numPr>
        <w:spacing w:after="60" w:line="276"/>
      </w:pPr>
      <w:r>
        <w:rPr>
          <w:color w:val="1F2433"/>
        </w:rPr>
        <w:t xml:space="preserve">Conceder o retirar el permiso de envíos masivos a un asesor.</w:t>
      </w:r>
    </w:p>
    <w:p>
      <w:pPr>
        <w:pStyle w:val="Heading2"/>
        <w:spacing w:after="140" w:before="260"/>
      </w:pPr>
      <w:r>
        <w:rPr>
          <w:color w:val="2E3F84"/>
        </w:rPr>
        <w:t xml:space="preserve">7.2. Asesores de turno</w:t>
      </w:r>
    </w:p>
    <w:p>
      <w:pPr>
        <w:spacing w:after="120" w:before="0" w:line="276"/>
      </w:pPr>
      <w:r>
        <w:rPr>
          <w:color w:val="1F2433"/>
        </w:rPr>
        <w:t xml:space="preserve">Desde Ajustes se define qué asesores están «de turno». Esto es clave para el reparto del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Situación</w:t>
            </w:r>
          </w:p>
        </w:tc>
        <w:tc>
          <w:tcPr>
            <w:tcW w:type="dxa" w:w="6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Conversaciones que recibe</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Asesor de turno</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Las conversaciones nuevas sin asignar, además de las suyas.</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 fuera de turno</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Solo las conversaciones que ya tiene asignadas.</w:t>
            </w:r>
          </w:p>
        </w:tc>
      </w:tr>
    </w:tbl>
    <w:p>
      <w:pPr>
        <w:spacing w:after="220" w:before="60"/>
        <w:jc w:val="center"/>
      </w:pPr>
      <w:r>
        <w:rPr>
          <w:i/>
          <w:iCs/>
          <w:color w:val="5A6478"/>
          <w:sz w:val="18"/>
          <w:szCs w:val="18"/>
        </w:rPr>
        <w:t xml:space="preserve">Tabla 4. Efecto del estado de turno en el reparto de conversaciones.</w:t>
      </w:r>
    </w:p>
    <w:p>
      <w:pPr>
        <w:pStyle w:val="Heading2"/>
        <w:spacing w:after="140" w:before="260"/>
      </w:pPr>
      <w:r>
        <w:rPr>
          <w:color w:val="2E3F84"/>
        </w:rPr>
        <w:t xml:space="preserve">7.3. Configuración del sistema</w:t>
      </w:r>
    </w:p>
    <w:p>
      <w:pPr>
        <w:spacing w:after="120" w:before="0" w:line="276"/>
      </w:pPr>
      <w:r>
        <w:rPr>
          <w:color w:val="1F2433"/>
        </w:rPr>
        <w:t xml:space="preserve">La pantalla de Ajustes concentra la configuración de la API de WhatsApp, la clave del servicio de inteligencia artificial y la definición de los asesores de turno. Estos parámetros solo deben ser modificados por personal autorizado.</w:t>
      </w:r>
    </w:p>
    <w:p>
      <w:pPr>
        <w:pStyle w:val="Heading2"/>
        <w:spacing w:after="140" w:before="260"/>
      </w:pPr>
      <w:r>
        <w:rPr>
          <w:color w:val="2E3F84"/>
        </w:rPr>
        <w:t xml:space="preserve">7.4. Práctica guiada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F4EC" w:sz="2"/>
              <w:left w:val="single" w:color="1B7F4B" w:sz="24"/>
              <w:bottom w:val="single" w:color="E7F4EC" w:sz="2"/>
              <w:right w:val="single" w:color="E7F4EC" w:sz="2"/>
            </w:tcBorders>
            <w:shd w:fill="E7F4EC" w:val="clear"/>
            <w:tcMar>
              <w:top w:type="dxa" w:w="130"/>
              <w:left w:type="dxa" w:w="200"/>
              <w:bottom w:type="dxa" w:w="130"/>
              <w:right w:type="dxa" w:w="160"/>
            </w:tcMar>
          </w:tcPr>
          <w:p>
            <w:pPr>
              <w:spacing w:after="70"/>
            </w:pPr>
            <w:r>
              <w:rPr>
                <w:b/>
                <w:bCs/>
                <w:color w:val="1B7F4B"/>
                <w:sz w:val="21"/>
                <w:szCs w:val="21"/>
              </w:rPr>
              <w:t xml:space="preserve">Ejercicio</w:t>
            </w:r>
          </w:p>
          <w:p>
            <w:pPr>
              <w:spacing w:after="60" w:line="272"/>
            </w:pPr>
            <w:r>
              <w:rPr>
                <w:color w:val="1F2433"/>
                <w:sz w:val="20"/>
                <w:szCs w:val="20"/>
              </w:rPr>
              <w:t xml:space="preserve">1. En el módulo de Usuarios, revise la lista de cuentas y los roles.</w:t>
            </w:r>
          </w:p>
          <w:p>
            <w:pPr>
              <w:spacing w:after="60" w:line="272"/>
            </w:pPr>
            <w:r>
              <w:rPr>
                <w:color w:val="1F2433"/>
                <w:sz w:val="20"/>
                <w:szCs w:val="20"/>
              </w:rPr>
              <w:t xml:space="preserve">2. En Ajustes, ubique la sección de asesores de turno.</w:t>
            </w:r>
          </w:p>
          <w:p>
            <w:pPr>
              <w:spacing w:after="0" w:line="272"/>
            </w:pPr>
            <w:r>
              <w:rPr>
                <w:color w:val="1F2433"/>
                <w:sz w:val="20"/>
                <w:szCs w:val="20"/>
              </w:rPr>
              <w:t xml:space="preserve">3. Identifique la opción de prueba de conexión de WhatsApp.</w:t>
            </w:r>
          </w:p>
        </w:tc>
      </w:tr>
    </w:tbl>
    <w:p>
      <w:r>
        <w:br w:type="page"/>
      </w:r>
    </w:p>
    <w:p>
      <w:pPr>
        <w:pStyle w:val="Heading1"/>
        <w:spacing w:after="160" w:before="320"/>
      </w:pPr>
      <w:r>
        <w:rPr>
          <w:color w:val="2E3F84"/>
        </w:rPr>
        <w:t xml:space="preserve">8. Módulo 7 — Solución de 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Situación</w:t>
            </w:r>
          </w:p>
        </w:tc>
        <w:tc>
          <w:tcPr>
            <w:tcW w:type="dxa" w:w="6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Qué hacer</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No puedo escribir a un paciente</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La ventana de 24 horas expiró. Usar una plantilla de WhatsApp.</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Un mensaje falló (equis roja)</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Revisar el motivo; suele ser un número inválido o sin WhatsApp.</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Una conversación desapareció</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Otro asesor la tomó o fue resuelta. Buscarla con el filtro de estado.</w:t>
            </w:r>
          </w:p>
        </w:tc>
      </w:tr>
      <w:tr>
        <w:tc>
          <w:tcPr>
            <w:tcW w:type="dxa" w:w="30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El envío masivo no avanza</w:t>
            </w:r>
          </w:p>
        </w:tc>
        <w:tc>
          <w:tcPr>
            <w:tcW w:type="dxa" w:w="6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Avisar al administrador: el procesador de colas puede estar detenido.</w:t>
            </w:r>
          </w:p>
        </w:tc>
      </w:tr>
      <w:tr>
        <w:tc>
          <w:tcPr>
            <w:tcW w:type="dxa" w:w="30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No veo un módulo en el menú</w:t>
            </w:r>
          </w:p>
        </w:tc>
        <w:tc>
          <w:tcPr>
            <w:tcW w:type="dxa" w:w="6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El menú depende del rol; los asesores no ven módulos de administración.</w:t>
            </w:r>
          </w:p>
        </w:tc>
      </w:tr>
    </w:tbl>
    <w:p>
      <w:pPr>
        <w:spacing w:after="220" w:before="60"/>
        <w:jc w:val="center"/>
      </w:pPr>
      <w:r>
        <w:rPr>
          <w:i/>
          <w:iCs/>
          <w:color w:val="5A6478"/>
          <w:sz w:val="18"/>
          <w:szCs w:val="18"/>
        </w:rPr>
        <w:t xml:space="preserve">Tabla 5. Problemas frecuentes y su solución.</w:t>
      </w:r>
    </w:p>
    <w:p>
      <w:pPr>
        <w:pStyle w:val="Heading1"/>
        <w:spacing w:after="160" w:before="320"/>
      </w:pPr>
      <w:r>
        <w:rPr>
          <w:color w:val="2E3F84"/>
        </w:rPr>
        <w:t xml:space="preserve">9. Evaluación de la Sesión 2</w:t>
      </w:r>
    </w:p>
    <w:p>
      <w:pPr>
        <w:spacing w:after="120" w:before="0" w:line="276"/>
      </w:pPr>
      <w:r>
        <w:rPr>
          <w:color w:val="1F2433"/>
        </w:rPr>
        <w:t xml:space="preserve">El participante debe demostrar que puede realizar las siguientes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rPr>
          <w:tblHeader/>
        </w:trPr>
        <w:tc>
          <w:tcPr>
            <w:tcW w:type="dxa" w:w="8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N.°</w:t>
            </w:r>
          </w:p>
        </w:tc>
        <w:tc>
          <w:tcPr>
            <w:tcW w:type="dxa" w:w="6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Acción a demostrar</w:t>
            </w:r>
          </w:p>
        </w:tc>
        <w:tc>
          <w:tcPr>
            <w:tcW w:type="dxa" w:w="16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Logrado</w:t>
            </w:r>
          </w:p>
        </w:tc>
      </w:tr>
      <w:tr>
        <w:tc>
          <w:tcPr>
            <w:tcW w:type="dxa" w:w="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Crear y aplicar una etiqueta y una especialidad.</w:t>
            </w:r>
          </w:p>
        </w:tc>
        <w:tc>
          <w:tcPr>
            <w:tcW w:type="dxa" w:w="1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
            </w:r>
          </w:p>
        </w:tc>
      </w:tr>
      <w:tr>
        <w:tc>
          <w:tcPr>
            <w:tcW w:type="dxa" w:w="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Explicar la regla de las 24 horas y usar una plantilla de WhatsApp.</w:t>
            </w:r>
          </w:p>
        </w:tc>
        <w:tc>
          <w:tcPr>
            <w:tcW w:type="dxa" w:w="1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
            </w:r>
          </w:p>
        </w:tc>
      </w:tr>
      <w:tr>
        <w:tc>
          <w:tcPr>
            <w:tcW w:type="dxa" w:w="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Realizar un envío masivo con el mapeo de columnas correcto.</w:t>
            </w:r>
          </w:p>
        </w:tc>
        <w:tc>
          <w:tcPr>
            <w:tcW w:type="dxa" w:w="1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
            </w:r>
          </w:p>
        </w:tc>
      </w:tr>
      <w:tr>
        <w:tc>
          <w:tcPr>
            <w:tcW w:type="dxa" w:w="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4</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Describir el proceso de carga de citas y envío de recordatorios.</w:t>
            </w:r>
          </w:p>
        </w:tc>
        <w:tc>
          <w:tcPr>
            <w:tcW w:type="dxa" w:w="1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
            </w:r>
          </w:p>
        </w:tc>
      </w:tr>
      <w:tr>
        <w:tc>
          <w:tcPr>
            <w:tcW w:type="dxa" w:w="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5</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Interpretar los indicadores de la pantalla de estadísticas.</w:t>
            </w:r>
          </w:p>
        </w:tc>
        <w:tc>
          <w:tcPr>
            <w:tcW w:type="dxa" w:w="1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
            </w:r>
          </w:p>
        </w:tc>
      </w:tr>
      <w:tr>
        <w:tc>
          <w:tcPr>
            <w:tcW w:type="dxa" w:w="8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6</w:t>
            </w:r>
          </w:p>
        </w:tc>
        <w:tc>
          <w:tcPr>
            <w:tcW w:type="dxa" w:w="6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Explicar el efecto del estado «de turno» en el reparto de conversaciones.</w:t>
            </w:r>
          </w:p>
        </w:tc>
        <w:tc>
          <w:tcPr>
            <w:tcW w:type="dxa" w:w="16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
            </w:r>
          </w:p>
        </w:tc>
      </w:tr>
      <w:tr>
        <w:tc>
          <w:tcPr>
            <w:tcW w:type="dxa" w:w="8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7</w:t>
            </w:r>
          </w:p>
        </w:tc>
        <w:tc>
          <w:tcPr>
            <w:tcW w:type="dxa" w:w="6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Resolver al menos tres de los problemas frecuentes de la tabla 5.</w:t>
            </w:r>
          </w:p>
        </w:tc>
        <w:tc>
          <w:tcPr>
            <w:tcW w:type="dxa" w:w="16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
            </w:r>
          </w:p>
        </w:tc>
      </w:tr>
    </w:tbl>
    <w:p>
      <w:pPr>
        <w:spacing w:after="220" w:before="60"/>
        <w:jc w:val="center"/>
      </w:pPr>
      <w:r>
        <w:rPr>
          <w:i/>
          <w:iCs/>
          <w:color w:val="5A6478"/>
          <w:sz w:val="18"/>
          <w:szCs w:val="18"/>
        </w:rPr>
        <w:t xml:space="preserve">Tabla 6. Lista de verificación de la Sesión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Cierre del entrenamiento</w:t>
            </w:r>
          </w:p>
          <w:p>
            <w:pPr>
              <w:spacing w:after="0" w:line="272"/>
            </w:pPr>
            <w:r>
              <w:rPr>
                <w:color w:val="1F2433"/>
                <w:sz w:val="20"/>
                <w:szCs w:val="20"/>
              </w:rPr>
              <w:t xml:space="preserve">Al completar las dos sesiones, el participante está capacitado para operar Evarisbot. Como material de consulta permanente debe utilizar el Manual de Usuario (documento EVB-DOC-04).</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0E3" w:sz="4" w:space="4"/>
      </w:pBdr>
      <w:tabs>
        <w:tab w:val="right" w:pos="9360"/>
      </w:tabs>
      <w:spacing w:before="0"/>
    </w:pPr>
    <w:r>
      <w:rPr>
        <w:color w:val="5A6478"/>
        <w:sz w:val="15"/>
        <w:szCs w:val="15"/>
      </w:rPr>
      <w:t xml:space="preserve">EVB-DOC-06 · Hospital Universitario del Valle</w:t>
    </w:r>
    <w:r>
      <w:rPr>
        <w:color w:val="5A6478"/>
        <w:sz w:val="15"/>
        <w:szCs w:val="15"/>
      </w:rPr>
      <w:t xml:space="preserve">	Página </w:t>
    </w:r>
    <w:r>
      <w:rPr>
        <w:color w:val="5A6478"/>
        <w:sz w:val="15"/>
        <w:szCs w:val="15"/>
      </w:rPr>
      <w:fldChar w:fldCharType="begin"/>
      <w:instrText xml:space="preserve">PAGE</w:instrText>
      <w:fldChar w:fldCharType="separate"/>
      <w:fldChar w:fldCharType="end"/>
    </w:r>
    <w:r>
      <w:rPr>
        <w:color w:val="5A6478"/>
        <w:sz w:val="15"/>
        <w:szCs w:val="15"/>
      </w:rPr>
      <w:t xml:space="preserve"> de </w:t>
    </w:r>
    <w:r>
      <w:rPr>
        <w:color w:val="5A647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0E3" w:sz="4" w:space="4"/>
      </w:pBdr>
      <w:tabs>
        <w:tab w:val="right" w:pos="9360"/>
      </w:tabs>
      <w:spacing w:after="0"/>
    </w:pPr>
    <w:r>
      <w:rPr>
        <w:b/>
        <w:bCs/>
        <w:color w:val="2E3F84"/>
        <w:sz w:val="16"/>
        <w:szCs w:val="16"/>
      </w:rPr>
      <w:t xml:space="preserve">EVARISBOT</w:t>
    </w:r>
    <w:r>
      <w:rPr>
        <w:color w:val="5A6478"/>
        <w:sz w:val="16"/>
        <w:szCs w:val="16"/>
      </w:rPr>
      <w:t xml:space="preserve">	Material de Entrenamiento — Sesión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3F84"/>
      </w:rPr>
    </w:lvl>
    <w:lvl w:ilvl="1" w15:tentative="1">
      <w:start w:val="1"/>
      <w:numFmt w:val="bullet"/>
      <w:lvlText w:val="–"/>
      <w:lvlJc w:val="left"/>
      <w:pPr>
        <w:ind w:left="880" w:hanging="280"/>
      </w:pPr>
      <w:rPr>
        <w:color w:val="2E3F84"/>
      </w:rPr>
    </w:lvl>
  </w:abstractNum>
  <w:abstractNum w:abstractNumId="3" w15:restartNumberingAfterBreak="0">
    <w:multiLevelType w:val="hybridMultilevel"/>
    <w:lvl w:ilvl="0" w15:tentative="1">
      <w:start w:val="1"/>
      <w:numFmt w:val="decimal"/>
      <w:lvlText w:val="%1."/>
      <w:lvlJc w:val="left"/>
      <w:pPr>
        <w:ind w:left="460" w:hanging="320"/>
      </w:pPr>
      <w:rPr>
        <w:b/>
        <w:bCs/>
        <w:color w:val="2E3F8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F84" w:sz="8" w:space="3"/>
      </w:pBdr>
      <w:spacing w:after="160" w:before="320"/>
      <w:outlineLvl w:val="0"/>
    </w:pPr>
    <w:rPr>
      <w:rFonts w:ascii="Arial" w:cs="Arial" w:eastAsia="Arial" w:hAnsi="Arial"/>
      <w:b/>
      <w:bCs/>
      <w:color w:val="2E3F84"/>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2E3F8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23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de Entrenamiento — Sesión 2</dc:title>
  <dc:creator>Innovación y Desarrollo - HUV</dc:creator>
  <dc:description>Documentación del sistema Evarisbot</dc:description>
  <cp:lastModifiedBy>Un-named</cp:lastModifiedBy>
  <cp:revision>1</cp:revision>
  <dcterms:created xsi:type="dcterms:W3CDTF">2026-05-22T13:14:19.701Z</dcterms:created>
  <dcterms:modified xsi:type="dcterms:W3CDTF">2026-05-22T13:14:19.702Z</dcterms:modified>
</cp:coreProperties>
</file>

<file path=docProps/custom.xml><?xml version="1.0" encoding="utf-8"?>
<Properties xmlns="http://schemas.openxmlformats.org/officeDocument/2006/custom-properties" xmlns:vt="http://schemas.openxmlformats.org/officeDocument/2006/docPropsVTypes"/>
</file>