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60"/>
        <w:jc w:val="center"/>
      </w:pPr>
      <w:r>
        <w:rPr>
          <w:b/>
          <w:bCs/>
          <w:color w:val="5A6478"/>
          <w:sz w:val="20"/>
          <w:szCs w:val="20"/>
        </w:rPr>
        <w:t xml:space="preserve">DOCUMENTACIÓN DEL SISTEMA</w:t>
      </w:r>
    </w:p>
    <w:p>
      <w:pPr>
        <w:spacing w:after="0"/>
        <w:jc w:val="center"/>
      </w:pPr>
      <w:r>
        <w:rPr>
          <w:b/>
          <w:bCs/>
          <w:color w:val="2E3F84"/>
          <w:sz w:val="66"/>
          <w:szCs w:val="66"/>
        </w:rPr>
        <w:t xml:space="preserve">E V A R I S B O T</w:t>
      </w:r>
    </w:p>
    <w:p>
      <w:pPr>
        <w:spacing w:after="560" w:before="60"/>
        <w:jc w:val="center"/>
      </w:pPr>
      <w:r>
        <w:rPr>
          <w:color w:val="5A6478"/>
          <w:sz w:val="20"/>
          <w:szCs w:val="20"/>
        </w:rPr>
        <w:t xml:space="preserve">Plataforma de mensajería WhatsApp para la gestión de pacientes</w:t>
      </w:r>
    </w:p>
    <w:p>
      <w:pPr>
        <w:pBdr>
          <w:top w:val="single" w:color="2E3F84" w:sz="14"/>
          <w:bottom w:val="single" w:color="2E3F84" w:sz="14"/>
        </w:pBdr>
        <w:spacing w:after="0"/>
        <w:jc w:val="center"/>
      </w:pPr>
      <w:r>
        <w:rPr>
          <w:b/>
          <w:bCs/>
          <w:color w:val="16235E"/>
          <w:sz w:val="40"/>
          <w:szCs w:val="40"/>
        </w:rPr>
        <w:t xml:space="preserve">  ESTADÍSTICA  </w:t>
      </w:r>
    </w:p>
    <w:p>
      <w:pPr>
        <w:spacing w:after="620" w:before="170"/>
        <w:jc w:val="center"/>
      </w:pPr>
      <w:r>
        <w:rPr>
          <w:color w:val="5A6478"/>
          <w:sz w:val="21"/>
          <w:szCs w:val="21"/>
        </w:rPr>
        <w:t xml:space="preserve">Informe estadístico de la operación del sistema · noviembre 2025 a mayo 2026</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tblGrid>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Código del documento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EVB-DOC-08</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Versión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1.0</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Fecha de emisión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22 de mayo de 2026</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Estado</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Vigente</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Clasificación</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Uso interno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Dirigido a</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Dirección, coordinación de atención y equipo técnico</w:t>
            </w:r>
          </w:p>
        </w:tc>
      </w:tr>
      <w:tr>
        <w:tc>
          <w:tcPr>
            <w:tcW w:type="dxa" w:w="2700"/>
            <w:tcBorders>
              <w:top w:val="single" w:color="C9D0E3" w:sz="2"/>
              <w:left w:val="single" w:color="C9D0E3" w:sz="2"/>
              <w:bottom w:val="single" w:color="C9D0E3" w:sz="2"/>
              <w:right w:val="single" w:color="C9D0E3" w:sz="2"/>
            </w:tcBorders>
            <w:shd w:fill="EEF1F8" w:val="clear"/>
            <w:tcMar>
              <w:top w:type="dxa" w:w="70"/>
              <w:left w:type="dxa" w:w="130"/>
              <w:bottom w:type="dxa" w:w="70"/>
              <w:right w:type="dxa" w:w="130"/>
            </w:tcMar>
          </w:tcPr>
          <w:p>
            <w:r>
              <w:rPr>
                <w:b/>
                <w:bCs/>
                <w:color w:val="16235E"/>
                <w:sz w:val="18"/>
                <w:szCs w:val="18"/>
              </w:rPr>
              <w:t xml:space="preserve">Elaborado por</w:t>
            </w:r>
          </w:p>
        </w:tc>
        <w:tc>
          <w:tcPr>
            <w:tcW w:type="dxa" w:w="4100"/>
            <w:tcBorders>
              <w:top w:val="single" w:color="C9D0E3" w:sz="2"/>
              <w:left w:val="single" w:color="C9D0E3" w:sz="2"/>
              <w:bottom w:val="single" w:color="C9D0E3" w:sz="2"/>
              <w:right w:val="single" w:color="C9D0E3" w:sz="2"/>
            </w:tcBorders>
            <w:shd w:fill="FFFFFF" w:val="clear"/>
            <w:tcMar>
              <w:top w:type="dxa" w:w="70"/>
              <w:left w:type="dxa" w:w="130"/>
              <w:bottom w:type="dxa" w:w="70"/>
              <w:right w:type="dxa" w:w="130"/>
            </w:tcMar>
          </w:tcPr>
          <w:p>
            <w:r>
              <w:rPr>
                <w:color w:val="1F2433"/>
                <w:sz w:val="18"/>
                <w:szCs w:val="18"/>
              </w:rPr>
              <w:t xml:space="preserve">Oficina de Innovación y Desarrollo — HUV</w:t>
            </w:r>
          </w:p>
        </w:tc>
      </w:tr>
    </w:tbl>
    <w:p>
      <w:pPr>
        <w:spacing w:after="640"/>
      </w:pPr>
    </w:p>
    <w:p>
      <w:pPr>
        <w:spacing w:after="40"/>
        <w:jc w:val="center"/>
      </w:pPr>
      <w:r>
        <w:rPr>
          <w:b/>
          <w:bCs/>
          <w:color w:val="16235E"/>
          <w:sz w:val="19"/>
          <w:szCs w:val="19"/>
        </w:rPr>
        <w:t xml:space="preserve">Hospital Universitario del Valle «Evaristo García» E.S.E.</w:t>
      </w:r>
    </w:p>
    <w:p>
      <w:pPr>
        <w:spacing w:after="0"/>
        <w:jc w:val="center"/>
      </w:pPr>
      <w:r>
        <w:rPr>
          <w:color w:val="5A6478"/>
          <w:sz w:val="16"/>
          <w:szCs w:val="16"/>
        </w:rPr>
        <w:t xml:space="preserve">Documento confidencial — Prohibida su reproducción o distribución sin autorización.</w:t>
      </w:r>
    </w:p>
    <w:p>
      <w:pPr>
        <w:spacing w:before="40"/>
        <w:jc w:val="center"/>
      </w:pPr>
      <w:r>
        <w:rPr>
          <w:color w:val="5A6478"/>
          <w:sz w:val="16"/>
          <w:szCs w:val="16"/>
        </w:rPr>
        <w:t xml:space="preserve">Santiago de Cali, Colombia · 22 de mayo de 2026</w:t>
      </w:r>
    </w:p>
    <w:p>
      <w:pPr>
        <w:sectPr>
          <w:headerReference w:type="default" r:id="rId7"/>
          <w:pgSz w:w="12240" w:h="15840" w:orient="portrait"/>
          <w:pgMar w:top="2774" w:right="1134" w:bottom="1700" w:left="1701" w:header="283" w:footer="1417" w:gutter="0"/>
          <w:pgNumType/>
          <w:docGrid w:linePitch="360"/>
        </w:sectPr>
      </w:pPr>
    </w:p>
    <w:p>
      <w:pPr>
        <w:pStyle w:val="Heading1"/>
      </w:pPr>
      <w:r>
        <w:rPr>
          <w:color w:val="2E3F84"/>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color w:val="2E3F84"/>
        </w:rPr>
        <w:t xml:space="preserve">1. Resumen ejecutivo</w:t>
      </w:r>
    </w:p>
    <w:p>
      <w:pPr>
        <w:spacing w:after="200" w:line="288"/>
      </w:pPr>
      <w:r>
        <w:rPr>
          <w:i/>
          <w:iCs/>
          <w:color w:val="5A6478"/>
          <w:sz w:val="22"/>
          <w:szCs w:val="22"/>
        </w:rPr>
        <w:t xml:space="preserve">Este informe presenta los principales indicadores estadísticos de la operación de Evarisbot durante sus primeros seis meses de funcionamiento. Todos los datos provienen directamente de la base de datos del sistema y corresponden al periodo comprendido entre el 18 de noviembre de 2025 y el 22 de mayo de 2026.</w:t>
      </w:r>
    </w:p>
    <w:p>
      <w:pPr>
        <w:pStyle w:val="Heading2"/>
        <w:spacing w:after="140" w:before="260"/>
      </w:pPr>
      <w:r>
        <w:rPr>
          <w:color w:val="2E3F84"/>
        </w:rPr>
        <w:t xml:space="preserve">1.1. Indicadores destacados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468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intercambiados</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147.957</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con pacientes</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33.480</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Citas gestionadas</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62.766</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Campañas de envío masivo</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66</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Promedio diario de pacientes atendidos</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 357</w:t>
            </w:r>
          </w:p>
        </w:tc>
      </w:tr>
      <w:tr>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Tasa de lectura de los mensajes enviados</w:t>
            </w:r>
          </w:p>
        </w:tc>
        <w:tc>
          <w:tcPr>
            <w:tcW w:type="dxa" w:w="468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71,1 %</w:t>
            </w:r>
          </w:p>
        </w:tc>
      </w:tr>
      <w:tr>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Equipo de trabajo</w:t>
            </w:r>
          </w:p>
        </w:tc>
        <w:tc>
          <w:tcPr>
            <w:tcW w:type="dxa" w:w="468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32 usuarios (4 administradores, 28 asesores)</w:t>
            </w:r>
          </w:p>
        </w:tc>
      </w:tr>
    </w:tbl>
    <w:p>
      <w:pPr>
        <w:spacing w:after="220" w:before="60"/>
        <w:jc w:val="center"/>
      </w:pPr>
      <w:r>
        <w:rPr>
          <w:i/>
          <w:iCs/>
          <w:color w:val="5A6478"/>
          <w:sz w:val="18"/>
          <w:szCs w:val="18"/>
        </w:rPr>
        <w:t xml:space="preserve">Tabla 1. Indicadores destacados del periodo.</w:t>
      </w:r>
    </w:p>
    <w:p>
      <w:r>
        <w:br w:type="page"/>
      </w:r>
    </w:p>
    <w:p>
      <w:pPr>
        <w:pStyle w:val="Heading1"/>
        <w:spacing w:after="160" w:before="320"/>
      </w:pPr>
      <w:r>
        <w:rPr>
          <w:color w:val="2E3F84"/>
        </w:rPr>
        <w:t xml:space="preserve">2. Indicadores de mensajería</w:t>
      </w:r>
    </w:p>
    <w:p>
      <w:pPr>
        <w:pStyle w:val="Heading2"/>
        <w:spacing w:after="140" w:before="260"/>
      </w:pPr>
      <w:r>
        <w:rPr>
          <w:color w:val="2E3F84"/>
        </w:rPr>
        <w:t xml:space="preserve">2.1. Volumen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recibidos de pacientes</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72.529</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49,0 %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enviados por el hospital</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75.428</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51,0 %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Total de mensajes</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147.957</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100 %</w:t>
            </w:r>
          </w:p>
        </w:tc>
      </w:tr>
    </w:tbl>
    <w:p>
      <w:pPr>
        <w:spacing w:after="220" w:before="60"/>
        <w:jc w:val="center"/>
      </w:pPr>
      <w:r>
        <w:rPr>
          <w:i/>
          <w:iCs/>
          <w:color w:val="5A6478"/>
          <w:sz w:val="18"/>
          <w:szCs w:val="18"/>
        </w:rPr>
        <w:t xml:space="preserve">Tabla 2. Volumen total de mensajería.</w:t>
      </w:r>
    </w:p>
    <w:p>
      <w:pPr>
        <w:spacing w:after="120" w:before="0" w:line="276"/>
      </w:pPr>
      <w:r>
        <w:rPr>
          <w:color w:val="1F2433"/>
        </w:rPr>
        <w:t xml:space="preserve">El volumen de mensajes recibidos y enviados es prácticamente igual, lo que confirma que el sistema se utiliza de forma conversacional —con diálogo real entre el paciente y el asesor— y no únicamente como canal de difusión unidireccional.</w:t>
      </w:r>
    </w:p>
    <w:p>
      <w:pPr>
        <w:pStyle w:val="Heading2"/>
        <w:spacing w:after="140" w:before="260"/>
      </w:pPr>
      <w:r>
        <w:rPr>
          <w:color w:val="2E3F84"/>
        </w:rPr>
        <w:t xml:space="preserve">2.2. Composición por tipo de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Texto</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136.239</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92,1 %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Imagen</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5.699</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3,9 %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Documento</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4.567</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3,1 %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Audio (notas de voz)</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1.114</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0,8 %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Otros (sticker, video, contacto, ubicación)</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338</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0,2 %</w:t>
            </w:r>
          </w:p>
        </w:tc>
      </w:tr>
    </w:tbl>
    <w:p>
      <w:pPr>
        <w:spacing w:after="220" w:before="60"/>
        <w:jc w:val="center"/>
      </w:pPr>
      <w:r>
        <w:rPr>
          <w:i/>
          <w:iCs/>
          <w:color w:val="5A6478"/>
          <w:sz w:val="18"/>
          <w:szCs w:val="18"/>
        </w:rPr>
        <w:t xml:space="preserve">Tabla 3. Composición de los mensajes por tipo.</w:t>
      </w:r>
    </w:p>
    <w:p>
      <w:pPr>
        <w:pStyle w:val="Heading2"/>
        <w:spacing w:after="140" w:before="260"/>
      </w:pPr>
      <w:r>
        <w:rPr>
          <w:color w:val="2E3F84"/>
        </w:rPr>
        <w:t xml:space="preserve">2.3. Calidad de entrega de los mensajes enviados</w:t>
      </w:r>
    </w:p>
    <w:p>
      <w:pPr>
        <w:spacing w:after="120" w:before="0" w:line="276"/>
      </w:pPr>
      <w:r>
        <w:rPr>
          <w:color w:val="1F2433"/>
        </w:rPr>
        <w:t xml:space="preserve">De los 75.428 mensajes enviados por el hospital, el estado de entrega final se distribuye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Estado de entrega</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Leídos por el paciente</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53.624</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71,1 %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Entregados (sin confirmación de lectura)</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11.866</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15,7 %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Enviados (en tránsito)</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2.530</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3,4 %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Fallidos</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7.404</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9,8 %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Pendientes</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0,0 %</w:t>
            </w:r>
          </w:p>
        </w:tc>
      </w:tr>
    </w:tbl>
    <w:p>
      <w:pPr>
        <w:spacing w:after="220" w:before="60"/>
        <w:jc w:val="center"/>
      </w:pPr>
      <w:r>
        <w:rPr>
          <w:i/>
          <w:iCs/>
          <w:color w:val="5A6478"/>
          <w:sz w:val="18"/>
          <w:szCs w:val="18"/>
        </w:rPr>
        <w:t xml:space="preserve">Tabla 4. Estado de entrega de los mensajes enviados.</w:t>
      </w:r>
    </w:p>
    <w:p>
      <w:pPr>
        <w:spacing w:after="120" w:before="0" w:line="276"/>
      </w:pPr>
      <w:r>
        <w:rPr>
          <w:color w:val="1F2433"/>
        </w:rPr>
        <w:t xml:space="preserve">El 86,8 % de los mensajes enviados llegó efectivamente al teléfono del paciente (entregados más leídos), y el 71,1 % fue leído. La tasa de fallo del 9,8 % se asocia principalmente a números sin WhatsApp o registrados de forma incorrecta en las bases de datos de origen.</w:t>
      </w:r>
    </w:p>
    <w:p>
      <w:r>
        <w:br w:type="page"/>
      </w:r>
    </w:p>
    <w:p>
      <w:pPr>
        <w:pStyle w:val="Heading1"/>
        <w:spacing w:after="160" w:before="320"/>
      </w:pPr>
      <w:r>
        <w:rPr>
          <w:color w:val="2E3F84"/>
        </w:rPr>
        <w:t xml:space="preserve">3. Indicadores de conversaciones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Conversaciones resueltas</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32.792</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97,9 %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Conversaciones activas</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473</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1,4 %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Conversaciones agendadas</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215</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0,7 %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Total de conversaciones</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33.480</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100 %</w:t>
            </w:r>
          </w:p>
        </w:tc>
      </w:tr>
    </w:tbl>
    <w:p>
      <w:pPr>
        <w:spacing w:after="220" w:before="60"/>
        <w:jc w:val="center"/>
      </w:pPr>
      <w:r>
        <w:rPr>
          <w:i/>
          <w:iCs/>
          <w:color w:val="5A6478"/>
          <w:sz w:val="18"/>
          <w:szCs w:val="18"/>
        </w:rPr>
        <w:t xml:space="preserve">Tabla 5. Estado de las conversaciones.</w:t>
      </w:r>
    </w:p>
    <w:p>
      <w:pPr>
        <w:spacing w:after="120" w:before="0" w:line="276"/>
      </w:pPr>
      <w:r>
        <w:rPr>
          <w:color w:val="1F2433"/>
        </w:rPr>
        <w:t xml:space="preserve">El 97,9 % de las conversaciones se encuentra en estado «resuelta», lo que indica que la gran mayoría de las atenciones llegó a su cierre. La cifra de conversaciones activas (473) corresponde a la carga de trabajo en curso al momento del corte.</w:t>
      </w:r>
    </w:p>
    <w:p>
      <w:pPr>
        <w:pStyle w:val="Heading2"/>
        <w:spacing w:after="140" w:before="260"/>
      </w:pPr>
      <w:r>
        <w:rPr>
          <w:color w:val="2E3F84"/>
        </w:rPr>
        <w:t xml:space="preserve">3.1. Datos adicionales de conversaciones</w:t>
      </w:r>
    </w:p>
    <w:p>
      <w:pPr>
        <w:pStyle w:val="ListParagraph"/>
        <w:numPr>
          <w:ilvl w:val="0"/>
          <w:numId w:val="2"/>
        </w:numPr>
        <w:spacing w:after="60" w:line="276"/>
      </w:pPr>
      <w:r>
        <w:rPr>
          <w:color w:val="1F2433"/>
        </w:rPr>
        <w:t xml:space="preserve">Conversaciones asignadas a un asesor responsable: 3.193.</w:t>
      </w:r>
    </w:p>
    <w:p>
      <w:pPr>
        <w:pStyle w:val="ListParagraph"/>
        <w:numPr>
          <w:ilvl w:val="0"/>
          <w:numId w:val="2"/>
        </w:numPr>
        <w:spacing w:after="60" w:line="276"/>
      </w:pPr>
      <w:r>
        <w:rPr>
          <w:color w:val="1F2433"/>
        </w:rPr>
        <w:t xml:space="preserve">Conversaciones con especialidad médica registrada: 147.</w:t>
      </w:r>
    </w:p>
    <w:p>
      <w:pPr>
        <w:pStyle w:val="ListParagraph"/>
        <w:numPr>
          <w:ilvl w:val="0"/>
          <w:numId w:val="2"/>
        </w:numPr>
        <w:spacing w:after="60" w:line="276"/>
      </w:pPr>
      <w:r>
        <w:rPr>
          <w:color w:val="1F2433"/>
        </w:rPr>
        <w:t xml:space="preserve">Contactos bloqueados: 2.</w:t>
      </w:r>
    </w:p>
    <w:p>
      <w:r>
        <w:br w:type="page"/>
      </w:r>
    </w:p>
    <w:p>
      <w:pPr>
        <w:pStyle w:val="Heading1"/>
        <w:spacing w:after="160" w:before="320"/>
      </w:pPr>
      <w:r>
        <w:rPr>
          <w:color w:val="2E3F84"/>
        </w:rPr>
        <w:t xml:space="preserve">4. Promedios diarios de atención</w:t>
      </w:r>
    </w:p>
    <w:p>
      <w:pPr>
        <w:spacing w:after="120" w:before="0" w:line="276"/>
      </w:pPr>
      <w:r>
        <w:rPr>
          <w:color w:val="1F2433"/>
        </w:rPr>
        <w:t xml:space="preserve">Los siguientes promedios se calcularon sobre los 114 días en los que el sistema registró actividad durante el periodo. Reflejan la carga de trabajo de una jornada típica de operación.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 diario</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Promedio</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Pacientes atendidos por día</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357</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Pacientes que escriben por día</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257</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Pacientes con actividad por día</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395</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recibidos por día</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636</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enviados por día</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661</w:t>
            </w:r>
          </w:p>
        </w:tc>
      </w:tr>
    </w:tbl>
    <w:p>
      <w:pPr>
        <w:spacing w:after="220" w:before="60"/>
        <w:jc w:val="center"/>
      </w:pPr>
      <w:r>
        <w:rPr>
          <w:i/>
          <w:iCs/>
          <w:color w:val="5A6478"/>
          <w:sz w:val="18"/>
          <w:szCs w:val="18"/>
        </w:rPr>
        <w:t xml:space="preserve">Tabla 6. Promedios diarios de atención.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Interpretación de los indicadores diarios</w:t>
            </w:r>
          </w:p>
          <w:p>
            <w:pPr>
              <w:spacing w:after="60" w:line="272"/>
            </w:pPr>
            <w:r>
              <w:rPr>
                <w:color w:val="1F2433"/>
                <w:sz w:val="20"/>
                <w:szCs w:val="20"/>
              </w:rPr>
              <w:t xml:space="preserve">«Pacientes atendidos» (≈357/día) cuenta a todo paciente que recibió al menos un mensaje del hospital, incluidos los recordatorios y campañas masivas.</w:t>
            </w:r>
          </w:p>
          <w:p>
            <w:pPr>
              <w:spacing w:after="0" w:line="272"/>
            </w:pPr>
            <w:r>
              <w:rPr>
                <w:color w:val="1F2433"/>
                <w:sz w:val="20"/>
                <w:szCs w:val="20"/>
              </w:rPr>
              <w:t xml:space="preserve">«Pacientes que escriben» (≈257/día) corresponde a la atención conversacional genuina: pacientes que enviaron al menos un mensaje y obtuvieron respuesta.</w:t>
            </w:r>
          </w:p>
        </w:tc>
      </w:tr>
    </w:tbl>
    <w:p>
      <w:r>
        <w:br w:type="page"/>
      </w:r>
    </w:p>
    <w:p>
      <w:pPr>
        <w:pStyle w:val="Heading1"/>
        <w:spacing w:after="160" w:before="320"/>
      </w:pPr>
      <w:r>
        <w:rPr>
          <w:color w:val="2E3F84"/>
        </w:rPr>
        <w:t xml:space="preserve">5. Indicadores de citas y recordatorios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Estado de la cita</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c>
          <w:tcPr>
            <w:tcW w:type="dxa" w:w="25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Participación</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Confirmadas por el paciente</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24.162</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38,5 %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Recordatorio pendiente de envío</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20.462</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32,6 %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Recordatorio enviado (en espera de respuesta)</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13.165</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21,0 %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Recordatorio fallido</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3.175</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5,1 %</w:t>
            </w:r>
          </w:p>
        </w:tc>
      </w:tr>
      <w:tr>
        <w:tc>
          <w:tcPr>
            <w:tcW w:type="dxa" w:w="43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Canceladas por el paciente</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1.802</w:t>
            </w:r>
          </w:p>
        </w:tc>
        <w:tc>
          <w:tcPr>
            <w:tcW w:type="dxa" w:w="25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2,9 %</w:t>
            </w:r>
          </w:p>
        </w:tc>
      </w:tr>
      <w:tr>
        <w:tc>
          <w:tcPr>
            <w:tcW w:type="dxa" w:w="43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TOTAL</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62.766</w:t>
            </w:r>
          </w:p>
        </w:tc>
        <w:tc>
          <w:tcPr>
            <w:tcW w:type="dxa" w:w="25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b/>
                <w:bCs/>
                <w:color w:val="1F2433"/>
                <w:sz w:val="19"/>
                <w:szCs w:val="19"/>
              </w:rPr>
              <w:t xml:space="preserve">100 %</w:t>
            </w:r>
          </w:p>
        </w:tc>
      </w:tr>
    </w:tbl>
    <w:p>
      <w:pPr>
        <w:spacing w:after="220" w:before="60"/>
        <w:jc w:val="center"/>
      </w:pPr>
      <w:r>
        <w:rPr>
          <w:i/>
          <w:iCs/>
          <w:color w:val="5A6478"/>
          <w:sz w:val="18"/>
          <w:szCs w:val="18"/>
        </w:rPr>
        <w:t xml:space="preserve">Tabla 7. Estado de las citas gestionadas.</w:t>
      </w:r>
    </w:p>
    <w:p>
      <w:pPr>
        <w:spacing w:after="120" w:before="0" w:line="276"/>
      </w:pPr>
      <w:r>
        <w:rPr>
          <w:color w:val="1F2433"/>
        </w:rPr>
        <w:t xml:space="preserve">Considerando únicamente las citas en las que el paciente dio una respuesta definitiva (25.964 citas entre confirmadas y canceladas), el 93,1 % fueron confirmaciones y el 6,9 % cancelaciones. Este resultado evidencia que el recordatorio por WhatsApp es una herramienta eficaz para asegurar la asistencia de los pacientes y reducir la inasistencia a las citas.</w:t>
      </w:r>
    </w:p>
    <w:p>
      <w:r>
        <w:br w:type="page"/>
      </w:r>
    </w:p>
    <w:p>
      <w:pPr>
        <w:pStyle w:val="Heading1"/>
        <w:spacing w:after="160" w:before="320"/>
      </w:pPr>
      <w:r>
        <w:rPr>
          <w:color w:val="2E3F84"/>
        </w:rPr>
        <w:t xml:space="preserve">6. Indicadores de envíos masivos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Indicador</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Valor</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Campañas ejecutadas</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66</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Destinatarios procesados</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7.913</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Mensajes entregados con éxito</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6.923</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Mensajes fallidos</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990</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Tasa de éxito de las campañas</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87,5 %</w:t>
            </w:r>
          </w:p>
        </w:tc>
      </w:tr>
    </w:tbl>
    <w:p>
      <w:pPr>
        <w:spacing w:after="220" w:before="60"/>
        <w:jc w:val="center"/>
      </w:pPr>
      <w:r>
        <w:rPr>
          <w:i/>
          <w:iCs/>
          <w:color w:val="5A6478"/>
          <w:sz w:val="18"/>
          <w:szCs w:val="18"/>
        </w:rPr>
        <w:t xml:space="preserve">Tabla 8. Indicadores consolidados de envíos masivos.</w:t>
      </w:r>
    </w:p>
    <w:p>
      <w:pPr>
        <w:spacing w:after="120" w:before="0" w:line="276"/>
      </w:pPr>
      <w:r>
        <w:rPr>
          <w:color w:val="1F2433"/>
        </w:rPr>
        <w:t xml:space="preserve">Las 66 campañas alcanzaron una tasa de éxito del 87,5 %. La plantilla más empleada fue la de cancelación de cita, lo que confirma el uso del envío masivo como canal oficial para notificar a los pacientes los cambios en la programación médica.</w:t>
      </w:r>
    </w:p>
    <w:p>
      <w:r>
        <w:br w:type="page"/>
      </w:r>
    </w:p>
    <w:p>
      <w:pPr>
        <w:pStyle w:val="Heading1"/>
        <w:spacing w:after="160" w:before="320"/>
      </w:pPr>
      <w:r>
        <w:rPr>
          <w:color w:val="2E3F84"/>
        </w:rPr>
        <w:t xml:space="preserve">7. Indicadores de plantillas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Tipo de plantilla</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Plantillas de WhatsApp aprobadas por Meta</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12</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Plantillas internas de respuesta rápida</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30</w:t>
            </w:r>
          </w:p>
        </w:tc>
      </w:tr>
    </w:tbl>
    <w:p>
      <w:pPr>
        <w:spacing w:after="220" w:before="60"/>
        <w:jc w:val="center"/>
      </w:pPr>
      <w:r>
        <w:rPr>
          <w:i/>
          <w:iCs/>
          <w:color w:val="5A6478"/>
          <w:sz w:val="18"/>
          <w:szCs w:val="18"/>
        </w:rPr>
        <w:t xml:space="preserve">Tabla 9. Plantillas configuradas en el sistema.</w:t>
      </w:r>
    </w:p>
    <w:p>
      <w:pPr>
        <w:spacing w:after="120" w:before="0" w:line="276"/>
      </w:pPr>
      <w:r>
        <w:rPr>
          <w:color w:val="1F2433"/>
        </w:rPr>
        <w:t xml:space="preserve">El sistema dispone de 12 plantillas de WhatsApp aprobadas —para recordatorios, cancelaciones, reprogramaciones y otros avisos— y de 30 plantillas internas de respuesta rápida que agilizan la labor diaria de los asesores.</w:t>
      </w:r>
    </w:p>
    <w:p>
      <w:pPr>
        <w:pStyle w:val="Heading1"/>
        <w:spacing w:after="160" w:before="320"/>
      </w:pPr>
      <w:r>
        <w:rPr>
          <w:color w:val="2E3F84"/>
        </w:rPr>
        <w:t xml:space="preserve">8. Indicadores del equipo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Rol</w:t>
            </w:r>
          </w:p>
        </w:tc>
        <w:tc>
          <w:tcPr>
            <w:tcW w:type="dxa" w:w="3960"/>
            <w:tcBorders>
              <w:top w:val="single" w:color="C9D0E3" w:sz="2"/>
              <w:left w:val="single" w:color="C9D0E3" w:sz="2"/>
              <w:bottom w:val="single" w:color="C9D0E3" w:sz="2"/>
              <w:right w:val="single" w:color="C9D0E3" w:sz="2"/>
            </w:tcBorders>
            <w:shd w:fill="2E3F84" w:val="clear"/>
            <w:tcMar>
              <w:top w:type="dxa" w:w="90"/>
              <w:left w:type="dxa" w:w="130"/>
              <w:bottom w:type="dxa" w:w="90"/>
              <w:right w:type="dxa" w:w="130"/>
            </w:tcMar>
            <w:vAlign w:val="center"/>
          </w:tcPr>
          <w:p>
            <w:pPr>
              <w:spacing w:after="0" w:line="264"/>
            </w:pPr>
            <w:r>
              <w:rPr>
                <w:b/>
                <w:bCs/>
                <w:color w:val="FFFFFF"/>
                <w:sz w:val="20"/>
                <w:szCs w:val="20"/>
              </w:rPr>
              <w:t xml:space="preserve">Cantidad</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Administradores</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color w:val="1F2433"/>
                <w:sz w:val="19"/>
                <w:szCs w:val="19"/>
              </w:rPr>
              <w:t xml:space="preserve">4</w:t>
            </w:r>
          </w:p>
        </w:tc>
      </w:tr>
      <w:tr>
        <w:tc>
          <w:tcPr>
            <w:tcW w:type="dxa" w:w="540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Asesores de atención</w:t>
            </w:r>
          </w:p>
        </w:tc>
        <w:tc>
          <w:tcPr>
            <w:tcW w:type="dxa" w:w="3960"/>
            <w:tcBorders>
              <w:top w:val="single" w:color="C9D0E3" w:sz="2"/>
              <w:left w:val="single" w:color="C9D0E3" w:sz="2"/>
              <w:bottom w:val="single" w:color="C9D0E3" w:sz="2"/>
              <w:right w:val="single" w:color="C9D0E3" w:sz="2"/>
            </w:tcBorders>
            <w:shd w:fill="F5F7FC" w:val="clear"/>
            <w:tcMar>
              <w:top w:type="dxa" w:w="80"/>
              <w:left w:type="dxa" w:w="130"/>
              <w:bottom w:type="dxa" w:w="80"/>
              <w:right w:type="dxa" w:w="130"/>
            </w:tcMar>
            <w:vAlign w:val="center"/>
          </w:tcPr>
          <w:p>
            <w:pPr>
              <w:spacing w:after="0" w:line="264"/>
            </w:pPr>
            <w:r>
              <w:rPr>
                <w:color w:val="1F2433"/>
                <w:sz w:val="19"/>
                <w:szCs w:val="19"/>
              </w:rPr>
              <w:t xml:space="preserve">28</w:t>
            </w:r>
          </w:p>
        </w:tc>
      </w:tr>
      <w:tr>
        <w:tc>
          <w:tcPr>
            <w:tcW w:type="dxa" w:w="540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TOTAL DE USUARIOS</w:t>
            </w:r>
          </w:p>
        </w:tc>
        <w:tc>
          <w:tcPr>
            <w:tcW w:type="dxa" w:w="3960"/>
            <w:tcBorders>
              <w:top w:val="single" w:color="C9D0E3" w:sz="2"/>
              <w:left w:val="single" w:color="C9D0E3" w:sz="2"/>
              <w:bottom w:val="single" w:color="C9D0E3" w:sz="2"/>
              <w:right w:val="single" w:color="C9D0E3" w:sz="2"/>
            </w:tcBorders>
            <w:shd w:fill="FFFFFF" w:val="clear"/>
            <w:tcMar>
              <w:top w:type="dxa" w:w="80"/>
              <w:left w:type="dxa" w:w="130"/>
              <w:bottom w:type="dxa" w:w="80"/>
              <w:right w:type="dxa" w:w="130"/>
            </w:tcMar>
            <w:vAlign w:val="center"/>
          </w:tcPr>
          <w:p>
            <w:pPr>
              <w:spacing w:after="0" w:line="264"/>
            </w:pPr>
            <w:r>
              <w:rPr>
                <w:b/>
                <w:bCs/>
                <w:color w:val="1F2433"/>
                <w:sz w:val="19"/>
                <w:szCs w:val="19"/>
              </w:rPr>
              <w:t xml:space="preserve">32</w:t>
            </w:r>
          </w:p>
        </w:tc>
      </w:tr>
    </w:tbl>
    <w:p>
      <w:pPr>
        <w:spacing w:after="220" w:before="60"/>
        <w:jc w:val="center"/>
      </w:pPr>
      <w:r>
        <w:rPr>
          <w:i/>
          <w:iCs/>
          <w:color w:val="5A6478"/>
          <w:sz w:val="18"/>
          <w:szCs w:val="18"/>
        </w:rPr>
        <w:t xml:space="preserve">Tabla 10. Composición del equipo de trabajo.</w:t>
      </w:r>
    </w:p>
    <w:p>
      <w:pPr>
        <w:spacing w:after="120" w:before="0" w:line="276"/>
      </w:pPr>
      <w:r>
        <w:rPr>
          <w:color w:val="1F2433"/>
        </w:rPr>
        <w:t xml:space="preserve">El equipo está conformado por 32 usuarios. Los 28 asesores de atención constituyen la primera línea de contacto con los pacientes; los 4 administradores gestionan la configuración y la supervisión del sistema.</w:t>
      </w:r>
    </w:p>
    <w:p>
      <w:r>
        <w:br w:type="page"/>
      </w:r>
    </w:p>
    <w:p>
      <w:pPr>
        <w:pStyle w:val="Heading1"/>
        <w:spacing w:after="160" w:before="320"/>
      </w:pPr>
      <w:r>
        <w:rPr>
          <w:color w:val="2E3F84"/>
        </w:rPr>
        <w:t xml:space="preserve">9. Conclusiones</w:t>
      </w:r>
    </w:p>
    <w:p>
      <w:pPr>
        <w:pStyle w:val="ListParagraph"/>
        <w:numPr>
          <w:ilvl w:val="0"/>
          <w:numId w:val="2"/>
        </w:numPr>
        <w:spacing w:after="60" w:line="276"/>
      </w:pPr>
      <w:r>
        <w:rPr>
          <w:color w:val="1F2433"/>
        </w:rPr>
        <w:t xml:space="preserve">En seis meses de operación, Evarisbot gestionó cerca de 148.000 mensajes y 33.480 conversaciones con pacientes.</w:t>
      </w:r>
    </w:p>
    <w:p>
      <w:pPr>
        <w:pStyle w:val="ListParagraph"/>
        <w:numPr>
          <w:ilvl w:val="0"/>
          <w:numId w:val="2"/>
        </w:numPr>
        <w:spacing w:after="60" w:line="276"/>
      </w:pPr>
      <w:r>
        <w:rPr>
          <w:color w:val="1F2433"/>
        </w:rPr>
        <w:t xml:space="preserve">El sistema atiende un promedio de 357 pacientes por día, con una operación estable y sostenida.</w:t>
      </w:r>
    </w:p>
    <w:p>
      <w:pPr>
        <w:pStyle w:val="ListParagraph"/>
        <w:numPr>
          <w:ilvl w:val="0"/>
          <w:numId w:val="2"/>
        </w:numPr>
        <w:spacing w:after="60" w:line="276"/>
      </w:pPr>
      <w:r>
        <w:rPr>
          <w:color w:val="1F2433"/>
        </w:rPr>
        <w:t xml:space="preserve">La tasa de lectura de los mensajes (71,1 %) y la de entrega efectiva (86,8 %) son indicadores sólidos de un canal de comunicación confiable.</w:t>
      </w:r>
    </w:p>
    <w:p>
      <w:pPr>
        <w:pStyle w:val="ListParagraph"/>
        <w:numPr>
          <w:ilvl w:val="0"/>
          <w:numId w:val="2"/>
        </w:numPr>
        <w:spacing w:after="60" w:line="276"/>
      </w:pPr>
      <w:r>
        <w:rPr>
          <w:color w:val="1F2433"/>
        </w:rPr>
        <w:t xml:space="preserve">El 97,9 % de las conversaciones llega a resolverse, lo que refleja una gestión completa de las atenciones.</w:t>
      </w:r>
    </w:p>
    <w:p>
      <w:pPr>
        <w:pStyle w:val="ListParagraph"/>
        <w:numPr>
          <w:ilvl w:val="0"/>
          <w:numId w:val="2"/>
        </w:numPr>
        <w:spacing w:after="60" w:line="276"/>
      </w:pPr>
      <w:r>
        <w:rPr>
          <w:color w:val="1F2433"/>
        </w:rPr>
        <w:t xml:space="preserve">El recordatorio de citas mostró una efectividad alta: el 93,1 % de las respuestas definitivas fueron confirmaciones.</w:t>
      </w:r>
    </w:p>
    <w:p>
      <w:pPr>
        <w:pStyle w:val="ListParagraph"/>
        <w:numPr>
          <w:ilvl w:val="0"/>
          <w:numId w:val="2"/>
        </w:numPr>
        <w:spacing w:after="60" w:line="276"/>
      </w:pPr>
      <w:r>
        <w:rPr>
          <w:color w:val="1F2433"/>
        </w:rPr>
        <w:t xml:space="preserve">Las campañas masivas alcanzaron una tasa de éxito del 87,5 %, consolidándose como canal de notificación.</w:t>
      </w:r>
    </w:p>
    <w:p>
      <w:pPr>
        <w:pStyle w:val="ListParagraph"/>
        <w:numPr>
          <w:ilvl w:val="0"/>
          <w:numId w:val="2"/>
        </w:numPr>
        <w:spacing w:after="60" w:line="276"/>
      </w:pPr>
      <w:r>
        <w:rPr>
          <w:color w:val="1F2433"/>
        </w:rPr>
        <w:t xml:space="preserve">El sistema soporta la carga de un equipo de 28 asesores con un volumen diario de más de 1.290 mensajes.</w:t>
      </w:r>
    </w:p>
    <w:p>
      <w:pPr>
        <w:pStyle w:val="Heading2"/>
        <w:spacing w:after="140" w:before="260"/>
      </w:pPr>
      <w:r>
        <w:rPr>
          <w:color w:val="2E3F84"/>
        </w:rPr>
        <w:t xml:space="preserve">9.1. Recomendaciones</w:t>
      </w:r>
    </w:p>
    <w:p>
      <w:pPr>
        <w:pStyle w:val="ListParagraph"/>
        <w:numPr>
          <w:ilvl w:val="0"/>
          <w:numId w:val="2"/>
        </w:numPr>
        <w:spacing w:after="60" w:line="276"/>
      </w:pPr>
      <w:r>
        <w:rPr>
          <w:color w:val="1F2433"/>
        </w:rPr>
        <w:t xml:space="preserve">Depurar las bases de datos de origen para reducir la tasa de fallo del 9,8 %, asociada a números incorrectos.</w:t>
      </w:r>
    </w:p>
    <w:p>
      <w:pPr>
        <w:pStyle w:val="ListParagraph"/>
        <w:numPr>
          <w:ilvl w:val="0"/>
          <w:numId w:val="2"/>
        </w:numPr>
        <w:spacing w:after="60" w:line="276"/>
      </w:pPr>
      <w:r>
        <w:rPr>
          <w:color w:val="1F2433"/>
        </w:rPr>
        <w:t xml:space="preserve">Aprovechar la pantalla de Estadísticas del sistema para el seguimiento periódico de estos indicadores.</w:t>
      </w:r>
    </w:p>
    <w:p>
      <w:pPr>
        <w:pStyle w:val="ListParagraph"/>
        <w:numPr>
          <w:ilvl w:val="0"/>
          <w:numId w:val="2"/>
        </w:numPr>
        <w:spacing w:after="60" w:line="276"/>
      </w:pPr>
      <w:r>
        <w:rPr>
          <w:color w:val="1F2433"/>
        </w:rPr>
        <w:t xml:space="preserve">Mantener el monitoreo de la calificación de calidad de la cuenta de WhatsApp en el panel de Meta.</w:t>
      </w:r>
    </w:p>
    <w:p>
      <w:pPr>
        <w:pStyle w:val="ListParagraph"/>
        <w:numPr>
          <w:ilvl w:val="0"/>
          <w:numId w:val="2"/>
        </w:numPr>
        <w:spacing w:after="60" w:line="276"/>
      </w:pPr>
      <w:r>
        <w:rPr>
          <w:color w:val="1F2433"/>
        </w:rPr>
        <w:t xml:space="preserve">Establecer metas de tiempo de respuesta y de resolución para el equipo de asesores.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ECFB" w:sz="2"/>
              <w:left w:val="single" w:color="1D4ED8" w:sz="24"/>
              <w:bottom w:val="single" w:color="E6ECFB" w:sz="2"/>
              <w:right w:val="single" w:color="E6ECFB" w:sz="2"/>
            </w:tcBorders>
            <w:shd w:fill="E6ECFB" w:val="clear"/>
            <w:tcMar>
              <w:top w:type="dxa" w:w="130"/>
              <w:left w:type="dxa" w:w="200"/>
              <w:bottom w:type="dxa" w:w="130"/>
              <w:right w:type="dxa" w:w="160"/>
            </w:tcMar>
          </w:tcPr>
          <w:p>
            <w:pPr>
              <w:spacing w:after="70"/>
            </w:pPr>
            <w:r>
              <w:rPr>
                <w:b/>
                <w:bCs/>
                <w:color w:val="1D4ED8"/>
                <w:sz w:val="21"/>
                <w:szCs w:val="21"/>
              </w:rPr>
              <w:t xml:space="preserve">Nota metodológica</w:t>
            </w:r>
          </w:p>
          <w:p>
            <w:pPr>
              <w:spacing w:after="0" w:line="272"/>
            </w:pPr>
            <w:r>
              <w:rPr>
                <w:color w:val="1F2433"/>
                <w:sz w:val="20"/>
                <w:szCs w:val="20"/>
              </w:rPr>
              <w:t xml:space="preserve">Las cifras de este informe corresponden al corte del 22 de mayo de 2026. Mayo es un mes parcial. Los indicadores pueden consultarse actualizados en todo momento desde la pantalla de Estadísticas del sistema.</w:t>
            </w:r>
          </w:p>
        </w:tc>
      </w:tr>
    </w:tbl>
    <w:sectPr>
      <w:headerReference w:type="default" r:id="rId8"/>
      <w:footerReference w:type="default" r:id="rId9"/>
      <w:pgSz w:w="12240" w:h="15840" w:orient="portrait"/>
      <w:pgMar w:top="2774" w:right="1134" w:bottom="1700" w:left="1701" w:header="283" w:footer="141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A6478"/>
        <w:sz w:val="15"/>
        <w:szCs w:val="15"/>
      </w:rPr>
      <w:t xml:space="preserve">Página </w:t>
    </w:r>
    <w:r>
      <w:rPr>
        <w:rFonts w:ascii="Arial" w:cs="Arial" w:eastAsia="Arial" w:hAnsi="Arial"/>
        <w:color w:val="5A6478"/>
        <w:sz w:val="15"/>
        <w:szCs w:val="15"/>
      </w:rPr>
      <w:fldChar w:fldCharType="begin"/>
      <w:instrText xml:space="preserve">PAGE</w:instrText>
      <w:fldChar w:fldCharType="separate"/>
      <w:fldChar w:fldCharType="end"/>
    </w:r>
    <w:r>
      <w:rPr>
        <w:rFonts w:ascii="Arial" w:cs="Arial" w:eastAsia="Arial" w:hAnsi="Arial"/>
        <w:color w:val="5A6478"/>
        <w:sz w:val="15"/>
        <w:szCs w:val="15"/>
      </w:rPr>
      <w:t xml:space="preserve"> de </w:t>
    </w:r>
    <w:r>
      <w:rPr>
        <w:rFonts w:ascii="Arial" w:cs="Arial" w:eastAsia="Arial" w:hAnsi="Arial"/>
        <w:color w:val="5A647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Membrete" descr="Membrete institucional del Hospital Universitario del Valle" title="Membrete HU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2E3F84"/>
      </w:rPr>
    </w:lvl>
    <w:lvl w:ilvl="1" w15:tentative="1">
      <w:start w:val="1"/>
      <w:numFmt w:val="bullet"/>
      <w:lvlText w:val="–"/>
      <w:lvlJc w:val="left"/>
      <w:pPr>
        <w:ind w:left="880" w:hanging="280"/>
      </w:pPr>
      <w:rPr>
        <w:color w:val="2E3F84"/>
      </w:rPr>
    </w:lvl>
  </w:abstractNum>
  <w:abstractNum w:abstractNumId="3" w15:restartNumberingAfterBreak="0">
    <w:multiLevelType w:val="hybridMultilevel"/>
    <w:lvl w:ilvl="0" w15:tentative="1">
      <w:start w:val="1"/>
      <w:numFmt w:val="decimal"/>
      <w:lvlText w:val="%1."/>
      <w:lvlJc w:val="left"/>
      <w:pPr>
        <w:ind w:left="460" w:hanging="320"/>
      </w:pPr>
      <w:rPr>
        <w:b/>
        <w:bCs/>
        <w:color w:val="2E3F8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3F84" w:sz="8" w:space="3"/>
      </w:pBdr>
      <w:spacing w:after="160" w:before="320"/>
      <w:outlineLvl w:val="0"/>
    </w:pPr>
    <w:rPr>
      <w:rFonts w:ascii="Arial" w:cs="Arial" w:eastAsia="Arial" w:hAnsi="Arial"/>
      <w:b/>
      <w:bCs/>
      <w:color w:val="2E3F84"/>
      <w:sz w:val="30"/>
      <w:szCs w:val="30"/>
    </w:rPr>
  </w:style>
  <w:style w:type="paragraph" w:styleId="Heading2">
    <w:name w:val="Heading 2"/>
    <w:basedOn w:val="Normal"/>
    <w:next w:val="Normal"/>
    <w:qFormat/>
    <w:pPr>
      <w:spacing w:after="130" w:before="260"/>
      <w:outlineLvl w:val="1"/>
    </w:pPr>
    <w:rPr>
      <w:rFonts w:ascii="Arial" w:cs="Arial" w:eastAsia="Arial" w:hAnsi="Arial"/>
      <w:b/>
      <w:bCs/>
      <w:color w:val="2E3F8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23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b1633a50caf4aed4b4dad15eda62c9c3f4e80d8.png"/></Relationships>
</file>

<file path=word/_rels/header2.xml.rels><?xml version="1.0" encoding="UTF-8"?><Relationships xmlns="http://schemas.openxmlformats.org/package/2006/relationships"><Relationship Id="rId0" Type="http://schemas.openxmlformats.org/officeDocument/2006/relationships/image" Target="media/4b1633a50caf4aed4b4dad15eda62c9c3f4e80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Estadística</dc:title>
  <dc:creator>Oficina de Innovación y Desarrollo - HUV</dc:creator>
  <dc:description>Documentación del sistema Evarisbot</dc:description>
  <cp:lastModifiedBy>Un-named</cp:lastModifiedBy>
  <cp:revision>1</cp:revision>
  <dcterms:created xsi:type="dcterms:W3CDTF">2026-05-22T13:57:10.765Z</dcterms:created>
  <dcterms:modified xsi:type="dcterms:W3CDTF">2026-05-22T13:57:10.766Z</dcterms:modified>
</cp:coreProperties>
</file>

<file path=docProps/custom.xml><?xml version="1.0" encoding="utf-8"?>
<Properties xmlns="http://schemas.openxmlformats.org/officeDocument/2006/custom-properties" xmlns:vt="http://schemas.openxmlformats.org/officeDocument/2006/docPropsVTypes"/>
</file>