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10D585A" w14:textId="77777777" w:rsidR="00E40381" w:rsidRDefault="00E40381">
      <w:pPr>
        <w:rPr>
          <w:rFonts w:ascii="Arial" w:hAnsi="Arial" w:cs="Arial"/>
          <w:sz w:val="16"/>
          <w:szCs w:val="16"/>
        </w:rPr>
      </w:pPr>
    </w:p>
    <w:p w14:paraId="58034CF6" w14:textId="77777777" w:rsidR="00E40381" w:rsidRDefault="00E40381">
      <w:pPr>
        <w:rPr>
          <w:rFonts w:ascii="Arial" w:hAnsi="Arial" w:cs="Arial"/>
          <w:sz w:val="16"/>
          <w:szCs w:val="16"/>
        </w:rPr>
      </w:pPr>
    </w:p>
    <w:p w14:paraId="11AC5229" w14:textId="77777777" w:rsidR="00E40381" w:rsidRDefault="00E40381">
      <w:pPr>
        <w:rPr>
          <w:rFonts w:ascii="Arial" w:hAnsi="Arial" w:cs="Arial"/>
          <w:sz w:val="16"/>
          <w:szCs w:val="16"/>
        </w:rPr>
      </w:pPr>
    </w:p>
    <w:p w14:paraId="1AD8ABBD" w14:textId="77777777" w:rsidR="00E40381" w:rsidRDefault="00E40381">
      <w:pPr>
        <w:rPr>
          <w:rFonts w:ascii="Arial" w:hAnsi="Arial" w:cs="Arial"/>
          <w:sz w:val="16"/>
          <w:szCs w:val="16"/>
        </w:rPr>
      </w:pPr>
    </w:p>
    <w:p>
      <w:pPr>
        <w:jc w:val="center"/>
      </w:pPr>
      <w:r>
        <w:rPr>
          <w:rFonts w:ascii="Arial" w:hAnsi="Arial" w:cs="Arial" w:eastAsia="Arial"/>
          <w:b/>
          <w:i w:val="0"/>
          <w:color w:val="1F3A6A"/>
          <w:sz w:val="28"/>
        </w:rPr>
        <w:t>DOCUMENTACION TECNICA - SISTEMA EVARISIS V6.9.9</w:t>
      </w:r>
    </w:p>
    <w:p/>
    <w:p>
      <w:r>
        <w:rPr>
          <w:rFonts w:ascii="Arial" w:hAnsi="Arial" w:cs="Arial" w:eastAsia="Arial"/>
          <w:b/>
          <w:i w:val="0"/>
          <w:color w:val="1F3A6A"/>
          <w:sz w:val="24"/>
        </w:rPr>
        <w:t>Control del documento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4702"/>
        <w:gridCol w:w="4702"/>
      </w:tblGrid>
      <w:tr>
        <w:tc>
          <w:tcPr>
            <w:tcW w:type="dxa" w:w="2835"/>
            <w:shd w:val="clear" w:color="auto" w:fill="D9E1F2"/>
            <w:vAlign w:val="center"/>
          </w:tcPr>
          <w:p>
            <w:pPr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21"/>
              </w:rPr>
              <w:t>Campo</w:t>
            </w:r>
          </w:p>
        </w:tc>
        <w:tc>
          <w:tcPr>
            <w:tcW w:type="dxa" w:w="6236"/>
            <w:shd w:val="clear" w:color="auto" w:fill="D9E1F2"/>
            <w:vAlign w:val="center"/>
          </w:tcPr>
          <w:p>
            <w:pPr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21"/>
              </w:rPr>
              <w:t>Detalle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Codigo del documento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EVA-TEC-001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Titulo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Documentacion Tecnica - Sistema EVARISIS V6.9.9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Version del sistema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V6.9.9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Version del documento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1.0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Fecha de emision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Mayo 2026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Estado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Vigente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Clasificacion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Uso interno HUV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Area responsable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Innovacion y Desarrollo</w:t>
            </w:r>
          </w:p>
        </w:tc>
      </w:tr>
    </w:tbl>
    <w:p/>
    <w:p>
      <w:pPr>
        <w:jc w:val="left"/>
      </w:pPr>
      <w:r>
        <w:rPr>
          <w:rFonts w:ascii="Arial" w:hAnsi="Arial" w:cs="Arial" w:eastAsia="Arial"/>
          <w:b/>
          <w:i w:val="0"/>
          <w:color w:val="1F3A6A"/>
          <w:sz w:val="28"/>
        </w:rPr>
        <w:t>1. Descripcion general del sistema</w:t>
      </w:r>
    </w:p>
    <w:p>
      <w:pPr>
        <w:jc w:val="both"/>
      </w:pPr>
      <w:r>
        <w:rPr>
          <w:rFonts w:ascii="Arial" w:hAnsi="Arial" w:cs="Arial" w:eastAsia="Arial"/>
          <w:b w:val="0"/>
          <w:i w:val="0"/>
          <w:color w:val="000000"/>
          <w:sz w:val="22"/>
        </w:rPr>
        <w:t>EVARISIS es un Sistema Inteligente de Gestion Oncologica desarrollado por el area de Innovacion y Desarrollo del Hospital Universitario del Valle. Su proposito es transformar la informacion no estructurada de los informes de patologia (especialmente Inmunohistoquimica - IHQ) en un repositorio estructurado de 184 campos por caso, habilitando la generacion de indicadores, la trazabilidad clinica y el soporte a decisiones medicas. La version V6.9.9 consolida el procesamiento masivo de informes y la extraccion mediante un modelo de lenguaje local.</w:t>
      </w:r>
    </w:p>
    <w:p>
      <w:pPr>
        <w:jc w:val="both"/>
      </w:pPr>
      <w:r>
        <w:rPr>
          <w:rFonts w:ascii="Arial" w:hAnsi="Arial" w:cs="Arial" w:eastAsia="Arial"/>
          <w:b w:val="0"/>
          <w:i w:val="0"/>
          <w:color w:val="000000"/>
          <w:sz w:val="22"/>
        </w:rPr>
        <w:t>El sistema opera de manera autonoma en la red interna del HUV: ningun dato del paciente abandona la infraestructura institucional. Esto se logra utilizando un servidor de inferencia local (LM Studio) y motores OCR de codigo abierto. EVARISIS atiende necesidades del Servicio de Patologia, del Comite de Tumores y de la Direccion Cientifica del Hospital.</w:t>
      </w:r>
    </w:p>
    <w:p>
      <w:pPr>
        <w:jc w:val="left"/>
      </w:pPr>
      <w:r>
        <w:rPr>
          <w:rFonts w:ascii="Arial" w:hAnsi="Arial" w:cs="Arial" w:eastAsia="Arial"/>
          <w:b/>
          <w:i w:val="0"/>
          <w:color w:val="1F3A6A"/>
          <w:sz w:val="28"/>
        </w:rPr>
        <w:t>2. Arquitectura del sistema</w:t>
      </w:r>
    </w:p>
    <w:p>
      <w:pPr>
        <w:jc w:val="both"/>
      </w:pPr>
      <w:r>
        <w:rPr>
          <w:rFonts w:ascii="Arial" w:hAnsi="Arial" w:cs="Arial" w:eastAsia="Arial"/>
          <w:b w:val="0"/>
          <w:i w:val="0"/>
          <w:color w:val="000000"/>
          <w:sz w:val="22"/>
        </w:rPr>
        <w:t>EVARISIS adopta una arquitectura por capas, donde cada componente tiene una responsabilidad unica y bien delimitada.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135"/>
        <w:gridCol w:w="3135"/>
        <w:gridCol w:w="3135"/>
      </w:tblGrid>
      <w:tr>
        <w:tc>
          <w:tcPr>
            <w:tcW w:type="dxa" w:w="2551"/>
            <w:shd w:val="clear" w:color="auto" w:fill="D9E1F2"/>
            <w:vAlign w:val="center"/>
          </w:tcPr>
          <w:p>
            <w:pPr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21"/>
              </w:rPr>
              <w:t>Capa</w:t>
            </w:r>
          </w:p>
        </w:tc>
        <w:tc>
          <w:tcPr>
            <w:tcW w:type="dxa" w:w="2835"/>
            <w:shd w:val="clear" w:color="auto" w:fill="D9E1F2"/>
            <w:vAlign w:val="center"/>
          </w:tcPr>
          <w:p>
            <w:pPr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21"/>
              </w:rPr>
              <w:t>Tecnologia</w:t>
            </w:r>
          </w:p>
        </w:tc>
        <w:tc>
          <w:tcPr>
            <w:tcW w:type="dxa" w:w="3685"/>
            <w:shd w:val="clear" w:color="auto" w:fill="D9E1F2"/>
            <w:vAlign w:val="center"/>
          </w:tcPr>
          <w:p>
            <w:pPr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21"/>
              </w:rPr>
              <w:t>Responsabilidad principal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Presentacion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Tkinter + ttkbootstrap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Interfaz operativa multi-pestana para personal del HUV.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Logica de negocio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Modulos Python en core/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Orquestacion de procesos, validaciones y reglas clinicas.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Persistencia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SQLite (local) / MySQL XAMPP (LAN)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Almacenamiento de los 186 campos de cada informe.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Inteligencia artificial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LM Studio + nvidia/nemotron-3-nano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Extraccion semantica de los 184 campos por caso.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Procesamiento de imagenes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PyMuPDF + Tesseract OCR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Conversion de PDF a texto plano de alta calidad.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Distribucion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PyInstaller (one-folder)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Empaquetado en GestorOncologia.exe para Windows.</w:t>
            </w:r>
          </w:p>
        </w:tc>
      </w:tr>
    </w:tbl>
    <w:p/>
    <w:p>
      <w:pPr>
        <w:jc w:val="left"/>
      </w:pPr>
      <w:r>
        <w:rPr>
          <w:rFonts w:ascii="Arial" w:hAnsi="Arial" w:cs="Arial" w:eastAsia="Arial"/>
          <w:b/>
          <w:i w:val="0"/>
          <w:color w:val="1F3A6A"/>
          <w:sz w:val="28"/>
        </w:rPr>
        <w:t>3. Flujo de procesamiento de un informe IHQ</w:t>
      </w:r>
    </w:p>
    <w:p>
      <w:pPr>
        <w:ind w:left="340"/>
      </w:pPr>
      <w:r>
        <w:rPr>
          <w:rFonts w:ascii="Arial" w:hAnsi="Arial" w:cs="Arial" w:eastAsia="Arial"/>
          <w:b w:val="0"/>
          <w:i w:val="0"/>
          <w:color w:val="000000"/>
          <w:sz w:val="22"/>
        </w:rPr>
        <w:t>1.  Carga del PDF desde la carpeta pdfs_patologia.</w:t>
      </w:r>
    </w:p>
    <w:p>
      <w:pPr>
        <w:ind w:left="340"/>
      </w:pPr>
      <w:r>
        <w:rPr>
          <w:rFonts w:ascii="Arial" w:hAnsi="Arial" w:cs="Arial" w:eastAsia="Arial"/>
          <w:b w:val="0"/>
          <w:i w:val="0"/>
          <w:color w:val="000000"/>
          <w:sz w:val="22"/>
        </w:rPr>
        <w:t>2.  Renderizado de cada pagina a imagen con PyMuPDF a 400 DPI.</w:t>
      </w:r>
    </w:p>
    <w:p>
      <w:pPr>
        <w:ind w:left="340"/>
      </w:pPr>
      <w:r>
        <w:rPr>
          <w:rFonts w:ascii="Arial" w:hAnsi="Arial" w:cs="Arial" w:eastAsia="Arial"/>
          <w:b w:val="0"/>
          <w:i w:val="0"/>
          <w:color w:val="000000"/>
          <w:sz w:val="22"/>
        </w:rPr>
        <w:t>3.  Aplicacion de OCR Tesseract con idioma espanol (PSM 6).</w:t>
      </w:r>
    </w:p>
    <w:p>
      <w:pPr>
        <w:ind w:left="340"/>
      </w:pPr>
      <w:r>
        <w:rPr>
          <w:rFonts w:ascii="Arial" w:hAnsi="Arial" w:cs="Arial" w:eastAsia="Arial"/>
          <w:b w:val="0"/>
          <w:i w:val="0"/>
          <w:color w:val="000000"/>
          <w:sz w:val="22"/>
        </w:rPr>
        <w:t>4.  Limpieza de texto: normalizacion de saltos, encabezados y firmas.</w:t>
      </w:r>
    </w:p>
    <w:p>
      <w:pPr>
        <w:ind w:left="340"/>
      </w:pPr>
      <w:r>
        <w:rPr>
          <w:rFonts w:ascii="Arial" w:hAnsi="Arial" w:cs="Arial" w:eastAsia="Arial"/>
          <w:b w:val="0"/>
          <w:i w:val="0"/>
          <w:color w:val="000000"/>
          <w:sz w:val="22"/>
        </w:rPr>
        <w:t>5.  Particion en chunks por caso (delimitador IHQ + numero consecutivo).</w:t>
      </w:r>
    </w:p>
    <w:p>
      <w:pPr>
        <w:ind w:left="340"/>
      </w:pPr>
      <w:r>
        <w:rPr>
          <w:rFonts w:ascii="Arial" w:hAnsi="Arial" w:cs="Arial" w:eastAsia="Arial"/>
          <w:b w:val="0"/>
          <w:i w:val="0"/>
          <w:color w:val="000000"/>
          <w:sz w:val="22"/>
        </w:rPr>
        <w:t>6.  Construccion de prompt estructurado con esquema JSON de 184 campos.</w:t>
      </w:r>
    </w:p>
    <w:p>
      <w:pPr>
        <w:ind w:left="340"/>
      </w:pPr>
      <w:r>
        <w:rPr>
          <w:rFonts w:ascii="Arial" w:hAnsi="Arial" w:cs="Arial" w:eastAsia="Arial"/>
          <w:b w:val="0"/>
          <w:i w:val="0"/>
          <w:color w:val="000000"/>
          <w:sz w:val="22"/>
        </w:rPr>
        <w:t>7.  Invocacion al modelo nvidia/nemotron-3-nano a traves de LM Studio.</w:t>
      </w:r>
    </w:p>
    <w:p>
      <w:pPr>
        <w:ind w:left="340"/>
      </w:pPr>
      <w:r>
        <w:rPr>
          <w:rFonts w:ascii="Arial" w:hAnsi="Arial" w:cs="Arial" w:eastAsia="Arial"/>
          <w:b w:val="0"/>
          <w:i w:val="0"/>
          <w:color w:val="000000"/>
          <w:sz w:val="22"/>
        </w:rPr>
        <w:t>8.  Validacion del JSON devuelto contra el esquema esperado.</w:t>
      </w:r>
    </w:p>
    <w:p>
      <w:pPr>
        <w:ind w:left="340"/>
      </w:pPr>
      <w:r>
        <w:rPr>
          <w:rFonts w:ascii="Arial" w:hAnsi="Arial" w:cs="Arial" w:eastAsia="Arial"/>
          <w:b w:val="0"/>
          <w:i w:val="0"/>
          <w:color w:val="000000"/>
          <w:sz w:val="22"/>
        </w:rPr>
        <w:t>9.  Aplicacion de reglas anti-N/A y normalizacion de diagnosticos.</w:t>
      </w:r>
    </w:p>
    <w:p>
      <w:pPr>
        <w:ind w:left="340"/>
      </w:pPr>
      <w:r>
        <w:rPr>
          <w:rFonts w:ascii="Arial" w:hAnsi="Arial" w:cs="Arial" w:eastAsia="Arial"/>
          <w:b w:val="0"/>
          <w:i w:val="0"/>
          <w:color w:val="000000"/>
          <w:sz w:val="22"/>
        </w:rPr>
        <w:t>10.  Insercion o actualizacion del registro en la tabla informes_ihq.</w:t>
      </w:r>
    </w:p>
    <w:p>
      <w:pPr>
        <w:ind w:left="340"/>
      </w:pPr>
      <w:r>
        <w:rPr>
          <w:rFonts w:ascii="Arial" w:hAnsi="Arial" w:cs="Arial" w:eastAsia="Arial"/>
          <w:b w:val="0"/>
          <w:i w:val="0"/>
          <w:color w:val="000000"/>
          <w:sz w:val="22"/>
        </w:rPr>
        <w:t>11.  Replica del diagnostico en la tabla diagnosticos_ia (acumulativa).</w:t>
      </w:r>
    </w:p>
    <w:p>
      <w:pPr>
        <w:ind w:left="340"/>
      </w:pPr>
      <w:r>
        <w:rPr>
          <w:rFonts w:ascii="Arial" w:hAnsi="Arial" w:cs="Arial" w:eastAsia="Arial"/>
          <w:b w:val="0"/>
          <w:i w:val="0"/>
          <w:color w:val="000000"/>
          <w:sz w:val="22"/>
        </w:rPr>
        <w:t>12.  Actualizacion de los indicadores en la pestana Dashboard.</w:t>
      </w:r>
    </w:p>
    <w:p>
      <w:pPr>
        <w:jc w:val="left"/>
      </w:pPr>
      <w:r>
        <w:rPr>
          <w:rFonts w:ascii="Arial" w:hAnsi="Arial" w:cs="Arial" w:eastAsia="Arial"/>
          <w:b/>
          <w:i w:val="0"/>
          <w:color w:val="1F3A6A"/>
          <w:sz w:val="28"/>
        </w:rPr>
        <w:t>4. Estructura de carpetas del proyecto</w:t>
      </w:r>
    </w:p>
    <w:p>
      <w:pPr>
        <w:jc w:val="both"/>
      </w:pPr>
      <w:r>
        <w:rPr>
          <w:rFonts w:ascii="Arial" w:hAnsi="Arial" w:cs="Arial" w:eastAsia="Arial"/>
          <w:b w:val="0"/>
          <w:i w:val="0"/>
          <w:color w:val="000000"/>
          <w:sz w:val="22"/>
        </w:rPr>
        <w:t>La organizacion del repositorio refleja la separacion por capas descrita anteriormente. El siguiente esquema muestra la jerarquia principal de carpetas en el ambiente de desarrollo.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4702"/>
        <w:gridCol w:w="4702"/>
      </w:tblGrid>
      <w:tr>
        <w:tc>
          <w:tcPr>
            <w:tcW w:type="dxa" w:w="3118"/>
            <w:shd w:val="clear" w:color="auto" w:fill="D9E1F2"/>
            <w:vAlign w:val="center"/>
          </w:tcPr>
          <w:p>
            <w:pPr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21"/>
              </w:rPr>
              <w:t>Carpeta / Archivo</w:t>
            </w:r>
          </w:p>
        </w:tc>
        <w:tc>
          <w:tcPr>
            <w:tcW w:type="dxa" w:w="5953"/>
            <w:shd w:val="clear" w:color="auto" w:fill="D9E1F2"/>
            <w:vAlign w:val="center"/>
          </w:tcPr>
          <w:p>
            <w:pPr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21"/>
              </w:rPr>
              <w:t>Contenido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ui.py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Punto de entrada con la interfaz Tkinter.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core/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Modulos de logica de negocio y extractores.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core/extractors/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Extractores especializados por categoria.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core/llm_client.py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Cliente unificado para LM Studio/Ollama.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core/enhanced_database_dashboard.py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Dashboard de indicadores en vivo.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config/config.ini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Parametros operativos editables.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config/version_info.py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Version actual del aplicativo.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data/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Bases SQLite locales (informes_ihq, diagnosticos_ia).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pdfs_patologia/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Carpeta de entrada con los PDFs de IHQ.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informes_ia/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Respaldos JSON generados por la IA.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herramientas_ia/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Utilidades de auditoria y soporte.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dist/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Salida del empaquetado PyInstaller.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documentacion/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Documentos oficiales del proyecto.</w:t>
            </w:r>
          </w:p>
        </w:tc>
      </w:tr>
    </w:tbl>
    <w:p/>
    <w:p>
      <w:pPr>
        <w:jc w:val="left"/>
      </w:pPr>
      <w:r>
        <w:rPr>
          <w:rFonts w:ascii="Arial" w:hAnsi="Arial" w:cs="Arial" w:eastAsia="Arial"/>
          <w:b/>
          <w:i w:val="0"/>
          <w:color w:val="1F3A6A"/>
          <w:sz w:val="28"/>
        </w:rPr>
        <w:t>5. Modulos principales en core/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4702"/>
        <w:gridCol w:w="4702"/>
      </w:tblGrid>
      <w:tr>
        <w:tc>
          <w:tcPr>
            <w:tcW w:type="dxa" w:w="3118"/>
            <w:shd w:val="clear" w:color="auto" w:fill="D9E1F2"/>
            <w:vAlign w:val="center"/>
          </w:tcPr>
          <w:p>
            <w:pPr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21"/>
              </w:rPr>
              <w:t>Modulo</w:t>
            </w:r>
          </w:p>
        </w:tc>
        <w:tc>
          <w:tcPr>
            <w:tcW w:type="dxa" w:w="5953"/>
            <w:shd w:val="clear" w:color="auto" w:fill="D9E1F2"/>
            <w:vAlign w:val="center"/>
          </w:tcPr>
          <w:p>
            <w:pPr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21"/>
              </w:rPr>
              <w:t>Responsabilidad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llm_client.py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Cliente HTTP hacia LM Studio/Ollama con reintentos y timeout.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normalizador_diagnosticos.py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Normaliza textos de diagnostico y aplica reglas anti-N/A.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extractors/medical_extractor.py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Coordina la extraccion semantica de campos clinicos.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extractors/admin_extractor.py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Extrae identificadores administrativos del informe.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extractors/biomarker_extractor.py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Procesa los 141 campos de biomarcadores IHQ.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enhanced_database_dashboard.py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Genera los indicadores graficos del Dashboard.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diagnosticos_ia_db.py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Gestiona la tabla acumulativa de diagnosticos.</w:t>
            </w:r>
          </w:p>
        </w:tc>
      </w:tr>
    </w:tbl>
    <w:p/>
    <w:p>
      <w:pPr>
        <w:jc w:val="left"/>
      </w:pPr>
      <w:r>
        <w:rPr>
          <w:rFonts w:ascii="Arial" w:hAnsi="Arial" w:cs="Arial" w:eastAsia="Arial"/>
          <w:b/>
          <w:i w:val="0"/>
          <w:color w:val="1F3A6A"/>
          <w:sz w:val="28"/>
        </w:rPr>
        <w:t>6. Esquema de base de datos (186 columnas)</w:t>
      </w:r>
    </w:p>
    <w:p>
      <w:pPr>
        <w:jc w:val="both"/>
      </w:pPr>
      <w:r>
        <w:rPr>
          <w:rFonts w:ascii="Arial" w:hAnsi="Arial" w:cs="Arial" w:eastAsia="Arial"/>
          <w:b w:val="0"/>
          <w:i w:val="0"/>
          <w:color w:val="000000"/>
          <w:sz w:val="22"/>
        </w:rPr>
        <w:t>El nucleo del aplicativo es la tabla informes_ihq, con 186 columnas agrupadas funcionalmente. La clave primaria es 'Numero de caso' (formato IHQAANNNN (AA es el ano de dos digitos y NNNN el consecutivo; ejemplo IHQ250001)). Adicionalmente, la tabla diagnosticos_ia guarda el historico acumulado de diagnosticos generados por la IA, con 1.415 registros al cierre.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135"/>
        <w:gridCol w:w="3135"/>
        <w:gridCol w:w="3135"/>
      </w:tblGrid>
      <w:tr>
        <w:tc>
          <w:tcPr>
            <w:tcW w:type="dxa" w:w="2835"/>
            <w:shd w:val="clear" w:color="auto" w:fill="D9E1F2"/>
            <w:vAlign w:val="center"/>
          </w:tcPr>
          <w:p>
            <w:pPr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21"/>
              </w:rPr>
              <w:t>Categoria</w:t>
            </w:r>
          </w:p>
        </w:tc>
        <w:tc>
          <w:tcPr>
            <w:tcW w:type="dxa" w:w="1417"/>
            <w:shd w:val="clear" w:color="auto" w:fill="D9E1F2"/>
            <w:vAlign w:val="center"/>
          </w:tcPr>
          <w:p>
            <w:pPr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21"/>
              </w:rPr>
              <w:t>Cantidad</w:t>
            </w:r>
          </w:p>
        </w:tc>
        <w:tc>
          <w:tcPr>
            <w:tcW w:type="dxa" w:w="4819"/>
            <w:shd w:val="clear" w:color="auto" w:fill="D9E1F2"/>
            <w:vAlign w:val="center"/>
          </w:tcPr>
          <w:p>
            <w:pPr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21"/>
              </w:rPr>
              <w:t>Ejemplos representativos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Identificacion administrativa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19</w:t>
            </w:r>
          </w:p>
        </w:tc>
        <w:tc>
          <w:tcPr>
            <w:tcW w:type="dxa" w:w="4819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Numero de caso, fecha de ingreso, sede, servicio.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Datos demograficos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11</w:t>
            </w:r>
          </w:p>
        </w:tc>
        <w:tc>
          <w:tcPr>
            <w:tcW w:type="dxa" w:w="4819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Edad, sexo, tipo de documento, EPS, regimen.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Procedimiento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7</w:t>
            </w:r>
          </w:p>
        </w:tc>
        <w:tc>
          <w:tcPr>
            <w:tcW w:type="dxa" w:w="4819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Tipo de muestra, organo, lateralidad, fecha de toma.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Diagnostico clinico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7</w:t>
            </w:r>
          </w:p>
        </w:tc>
        <w:tc>
          <w:tcPr>
            <w:tcW w:type="dxa" w:w="4819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Diagnostico principal, secundario, observaciones.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Estudios IHQ generales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5</w:t>
            </w:r>
          </w:p>
        </w:tc>
        <w:tc>
          <w:tcPr>
            <w:tcW w:type="dxa" w:w="4819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Resultado global, conclusion, marcadores positivos.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Biomarcadores IHQ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141</w:t>
            </w:r>
          </w:p>
        </w:tc>
        <w:tc>
          <w:tcPr>
            <w:tcW w:type="dxa" w:w="4819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ER, PR, HER2, Ki67, p53, p16, CD3, CD20, entre otros.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Metadata operativa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2</w:t>
            </w:r>
          </w:p>
        </w:tc>
        <w:tc>
          <w:tcPr>
            <w:tcW w:type="dxa" w:w="4819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Estado Auditoria IA, Fecha Ingreso Base de Datos.</w:t>
            </w:r>
          </w:p>
        </w:tc>
      </w:tr>
    </w:tbl>
    <w:p/>
    <w:p>
      <w:pPr>
        <w:jc w:val="left"/>
      </w:pPr>
      <w:r>
        <w:rPr>
          <w:rFonts w:ascii="Arial" w:hAnsi="Arial" w:cs="Arial" w:eastAsia="Arial"/>
          <w:b/>
          <w:i w:val="0"/>
          <w:color w:val="1F3A6A"/>
          <w:sz w:val="28"/>
        </w:rPr>
        <w:t>7. Pipeline de extraccion con IA</w:t>
      </w:r>
    </w:p>
    <w:p>
      <w:pPr>
        <w:jc w:val="both"/>
      </w:pPr>
      <w:r>
        <w:rPr>
          <w:rFonts w:ascii="Arial" w:hAnsi="Arial" w:cs="Arial" w:eastAsia="Arial"/>
          <w:b w:val="0"/>
          <w:i w:val="0"/>
          <w:color w:val="000000"/>
          <w:sz w:val="22"/>
        </w:rPr>
        <w:t>El pipeline de extraccion fue disenado para garantizar la trazabilidad clinica y la reproducibilidad de los resultados. Cada paso es auditable mediante los archivos JSON depositados en informes_ia/.</w:t>
      </w:r>
    </w:p>
    <w:p>
      <w:pPr>
        <w:ind w:left="340"/>
      </w:pPr>
      <w:r>
        <w:rPr>
          <w:rFonts w:ascii="Arial" w:hAnsi="Arial" w:cs="Arial" w:eastAsia="Arial"/>
          <w:b w:val="0"/>
          <w:i w:val="0"/>
          <w:color w:val="000000"/>
          <w:sz w:val="22"/>
        </w:rPr>
        <w:t>1.  OCR del PDF y consolidacion del texto plano.</w:t>
      </w:r>
    </w:p>
    <w:p>
      <w:pPr>
        <w:ind w:left="340"/>
      </w:pPr>
      <w:r>
        <w:rPr>
          <w:rFonts w:ascii="Arial" w:hAnsi="Arial" w:cs="Arial" w:eastAsia="Arial"/>
          <w:b w:val="0"/>
          <w:i w:val="0"/>
          <w:color w:val="000000"/>
          <w:sz w:val="22"/>
        </w:rPr>
        <w:t>2.  Segmentacion en chunks por caso IHQ.</w:t>
      </w:r>
    </w:p>
    <w:p>
      <w:pPr>
        <w:ind w:left="340"/>
      </w:pPr>
      <w:r>
        <w:rPr>
          <w:rFonts w:ascii="Arial" w:hAnsi="Arial" w:cs="Arial" w:eastAsia="Arial"/>
          <w:b w:val="0"/>
          <w:i w:val="0"/>
          <w:color w:val="000000"/>
          <w:sz w:val="22"/>
        </w:rPr>
        <w:t>3.  Construccion del prompt con esquema JSON de 184 campos.</w:t>
      </w:r>
    </w:p>
    <w:p>
      <w:pPr>
        <w:ind w:left="340"/>
      </w:pPr>
      <w:r>
        <w:rPr>
          <w:rFonts w:ascii="Arial" w:hAnsi="Arial" w:cs="Arial" w:eastAsia="Arial"/>
          <w:b w:val="0"/>
          <w:i w:val="0"/>
          <w:color w:val="000000"/>
          <w:sz w:val="22"/>
        </w:rPr>
        <w:t>4.  Llamada al modelo LLM local con response_format=json_schema.</w:t>
      </w:r>
    </w:p>
    <w:p>
      <w:pPr>
        <w:ind w:left="340"/>
      </w:pPr>
      <w:r>
        <w:rPr>
          <w:rFonts w:ascii="Arial" w:hAnsi="Arial" w:cs="Arial" w:eastAsia="Arial"/>
          <w:b w:val="0"/>
          <w:i w:val="0"/>
          <w:color w:val="000000"/>
          <w:sz w:val="22"/>
        </w:rPr>
        <w:t>5.  Recepcion del JSON y validacion estructural.</w:t>
      </w:r>
    </w:p>
    <w:p>
      <w:pPr>
        <w:ind w:left="340"/>
      </w:pPr>
      <w:r>
        <w:rPr>
          <w:rFonts w:ascii="Arial" w:hAnsi="Arial" w:cs="Arial" w:eastAsia="Arial"/>
          <w:b w:val="0"/>
          <w:i w:val="0"/>
          <w:color w:val="000000"/>
          <w:sz w:val="22"/>
        </w:rPr>
        <w:t>6.  Aplicacion de reglas anti-N/A introducidas en V6.9.9.</w:t>
      </w:r>
    </w:p>
    <w:p>
      <w:pPr>
        <w:ind w:left="340"/>
      </w:pPr>
      <w:r>
        <w:rPr>
          <w:rFonts w:ascii="Arial" w:hAnsi="Arial" w:cs="Arial" w:eastAsia="Arial"/>
          <w:b w:val="0"/>
          <w:i w:val="0"/>
          <w:color w:val="000000"/>
          <w:sz w:val="22"/>
        </w:rPr>
        <w:t>7.  Persistencia en BD y replica en diagnosticos_ia.</w:t>
      </w:r>
    </w:p>
    <w:p>
      <w:pPr>
        <w:jc w:val="left"/>
      </w:pPr>
      <w:r>
        <w:rPr>
          <w:rFonts w:ascii="Arial" w:hAnsi="Arial" w:cs="Arial" w:eastAsia="Arial"/>
          <w:b/>
          <w:i w:val="0"/>
          <w:color w:val="1F3A6A"/>
          <w:sz w:val="28"/>
        </w:rPr>
        <w:t>8. Manejo de errores y reintentos</w:t>
      </w:r>
    </w:p>
    <w:p>
      <w:pPr>
        <w:jc w:val="both"/>
      </w:pPr>
      <w:r>
        <w:rPr>
          <w:rFonts w:ascii="Arial" w:hAnsi="Arial" w:cs="Arial" w:eastAsia="Arial"/>
          <w:b w:val="0"/>
          <w:i w:val="0"/>
          <w:color w:val="000000"/>
          <w:sz w:val="22"/>
        </w:rPr>
        <w:t>El cliente LLM implementa una politica de reintentos con backoff exponencial. Los timeouts (mas frecuentes con nemotron-3-nano por el reasoning_content extendido) se controlan con el parametro timeout_segundos = 900. Las excepciones se registran en el log y se muestra una notificacion visual al operador, sin abortar el procesamiento del lote.</w:t>
      </w:r>
    </w:p>
    <w:p>
      <w:pPr>
        <w:ind w:left="340"/>
      </w:pPr>
      <w:r>
        <w:rPr>
          <w:rFonts w:ascii="Arial" w:hAnsi="Arial" w:cs="Arial" w:eastAsia="Arial"/>
          <w:b w:val="0"/>
          <w:i w:val="0"/>
          <w:color w:val="000000"/>
          <w:sz w:val="22"/>
        </w:rPr>
        <w:t>-  Errores de red: 3 reintentos con espera de 5, 15 y 45 segundos.</w:t>
      </w:r>
    </w:p>
    <w:p>
      <w:pPr>
        <w:ind w:left="340"/>
      </w:pPr>
      <w:r>
        <w:rPr>
          <w:rFonts w:ascii="Arial" w:hAnsi="Arial" w:cs="Arial" w:eastAsia="Arial"/>
          <w:b w:val="0"/>
          <w:i w:val="0"/>
          <w:color w:val="000000"/>
          <w:sz w:val="22"/>
        </w:rPr>
        <w:t>-  Respuestas JSON malformadas: se intenta reparacion automatica.</w:t>
      </w:r>
    </w:p>
    <w:p>
      <w:pPr>
        <w:ind w:left="340"/>
      </w:pPr>
      <w:r>
        <w:rPr>
          <w:rFonts w:ascii="Arial" w:hAnsi="Arial" w:cs="Arial" w:eastAsia="Arial"/>
          <w:b w:val="0"/>
          <w:i w:val="0"/>
          <w:color w:val="000000"/>
          <w:sz w:val="22"/>
        </w:rPr>
        <w:t>-  Campos faltantes: se completan con cadena vacia y se marcan.</w:t>
      </w:r>
    </w:p>
    <w:p>
      <w:pPr>
        <w:ind w:left="340"/>
      </w:pPr>
      <w:r>
        <w:rPr>
          <w:rFonts w:ascii="Arial" w:hAnsi="Arial" w:cs="Arial" w:eastAsia="Arial"/>
          <w:b w:val="0"/>
          <w:i w:val="0"/>
          <w:color w:val="000000"/>
          <w:sz w:val="16"/>
        </w:rPr>
        <w:t>Reviso:</w:t>
        <w:tab/>
        <w:t>Innovacion y Desarrollo</w:t>
      </w:r>
    </w:p>
    <w:p>
      <w:pPr>
        <w:ind w:left="340"/>
      </w:pPr>
      <w:r>
        <w:rPr>
          <w:rFonts w:ascii="Arial" w:hAnsi="Arial" w:cs="Arial" w:eastAsia="Arial"/>
          <w:b w:val="0"/>
          <w:i w:val="0"/>
          <w:color w:val="000000"/>
          <w:sz w:val="22"/>
        </w:rPr>
        <w:t>-  Errores de BD: rollback transaccional y reintento puntual.</w:t>
      </w:r>
    </w:p>
    <w:p>
      <w:pPr>
        <w:jc w:val="left"/>
      </w:pPr>
      <w:r>
        <w:rPr>
          <w:rFonts w:ascii="Arial" w:hAnsi="Arial" w:cs="Arial" w:eastAsia="Arial"/>
          <w:b/>
          <w:i w:val="0"/>
          <w:color w:val="1F3A6A"/>
          <w:sz w:val="28"/>
        </w:rPr>
        <w:t>9. Compilacion con PyInstaller</w:t>
      </w:r>
    </w:p>
    <w:p>
      <w:pPr>
        <w:jc w:val="both"/>
      </w:pPr>
      <w:r>
        <w:rPr>
          <w:rFonts w:ascii="Arial" w:hAnsi="Arial" w:cs="Arial" w:eastAsia="Arial"/>
          <w:b w:val="0"/>
          <w:i w:val="0"/>
          <w:color w:val="000000"/>
          <w:sz w:val="22"/>
        </w:rPr>
        <w:t>El empaquetado se realiza usando el script COMPILAR_V69.bat dentro del entorno virtual venv0 (Python 3.13.4). El resultado es una carpeta dist/ con el ejecutable GestorOncologia.exe (110 MB), las dependencias necesarias y los archivos editables del aplicativo. La compilacion incluye los modelos de Tesseract opcionalmente, segun la politica de la estacion.</w:t>
      </w:r>
    </w:p>
    <w:p>
      <w:r>
        <w:rPr>
          <w:rFonts w:ascii="Arial" w:hAnsi="Arial" w:cs="Arial" w:eastAsia="Arial"/>
          <w:b/>
          <w:i w:val="0"/>
          <w:color w:val="000000"/>
          <w:sz w:val="22"/>
        </w:rPr>
        <w:t>Pasos principales del proceso:</w:t>
      </w:r>
    </w:p>
    <w:p>
      <w:pPr>
        <w:ind w:left="340"/>
      </w:pPr>
      <w:r>
        <w:rPr>
          <w:rFonts w:ascii="Arial" w:hAnsi="Arial" w:cs="Arial" w:eastAsia="Arial"/>
          <w:b w:val="0"/>
          <w:i w:val="0"/>
          <w:color w:val="000000"/>
          <w:sz w:val="22"/>
        </w:rPr>
        <w:t>1.  Activar el entorno virtual: venv0\Scripts\activate</w:t>
      </w:r>
    </w:p>
    <w:p>
      <w:pPr>
        <w:ind w:left="340"/>
      </w:pPr>
      <w:r>
        <w:rPr>
          <w:rFonts w:ascii="Arial" w:hAnsi="Arial" w:cs="Arial" w:eastAsia="Arial"/>
          <w:b w:val="0"/>
          <w:i w:val="0"/>
          <w:color w:val="000000"/>
          <w:sz w:val="22"/>
        </w:rPr>
        <w:t>2.  Actualizar dependencias: pip install -r requirements.txt</w:t>
      </w:r>
    </w:p>
    <w:p>
      <w:pPr>
        <w:ind w:left="340"/>
      </w:pPr>
      <w:r>
        <w:rPr>
          <w:rFonts w:ascii="Arial" w:hAnsi="Arial" w:cs="Arial" w:eastAsia="Arial"/>
          <w:b w:val="0"/>
          <w:i w:val="0"/>
          <w:color w:val="000000"/>
          <w:sz w:val="22"/>
        </w:rPr>
        <w:t>3.  Ejecutar: COMPILAR_V69.bat</w:t>
      </w:r>
    </w:p>
    <w:p>
      <w:pPr>
        <w:ind w:left="340"/>
      </w:pPr>
      <w:r>
        <w:rPr>
          <w:rFonts w:ascii="Arial" w:hAnsi="Arial" w:cs="Arial" w:eastAsia="Arial"/>
          <w:b w:val="0"/>
          <w:i w:val="0"/>
          <w:color w:val="000000"/>
          <w:sz w:val="22"/>
        </w:rPr>
        <w:t>4.  Verificar que dist/GestorOncologia.exe se creo correctamente.</w:t>
      </w:r>
    </w:p>
    <w:p>
      <w:pPr>
        <w:ind w:left="340"/>
      </w:pPr>
      <w:r>
        <w:rPr>
          <w:rFonts w:ascii="Arial" w:hAnsi="Arial" w:cs="Arial" w:eastAsia="Arial"/>
          <w:b w:val="0"/>
          <w:i w:val="0"/>
          <w:color w:val="000000"/>
          <w:sz w:val="22"/>
        </w:rPr>
        <w:t>5.  Comprimir la carpeta dist/ y firmarla digitalmente si aplica.</w:t>
      </w:r>
    </w:p>
    <w:p>
      <w:pPr>
        <w:ind w:left="340"/>
      </w:pPr>
      <w:r>
        <w:rPr>
          <w:rFonts w:ascii="Arial" w:hAnsi="Arial" w:cs="Arial" w:eastAsia="Arial"/>
          <w:b w:val="0"/>
          <w:i w:val="0"/>
          <w:color w:val="000000"/>
          <w:sz w:val="22"/>
        </w:rPr>
        <w:t>6.  Publicar el paquete en el repositorio institucional de software.</w:t>
      </w:r>
    </w:p>
    <w:p>
      <w:pPr>
        <w:jc w:val="left"/>
      </w:pPr>
      <w:r>
        <w:rPr>
          <w:rFonts w:ascii="Arial" w:hAnsi="Arial" w:cs="Arial" w:eastAsia="Arial"/>
          <w:b/>
          <w:i w:val="0"/>
          <w:color w:val="1F3A6A"/>
          <w:sz w:val="28"/>
        </w:rPr>
        <w:t>10. Distribucion multi-PC</w:t>
      </w:r>
    </w:p>
    <w:p>
      <w:pPr>
        <w:jc w:val="both"/>
      </w:pPr>
      <w:r>
        <w:rPr>
          <w:rFonts w:ascii="Arial" w:hAnsi="Arial" w:cs="Arial" w:eastAsia="Arial"/>
          <w:b w:val="0"/>
          <w:i w:val="0"/>
          <w:color w:val="000000"/>
          <w:sz w:val="22"/>
        </w:rPr>
        <w:t>Para el despliegue en multiples estaciones, el aplicativo soporta configuracion externa: el archivo config.ini queda fuera del ejecutable y puede personalizarse por estacion (por ejemplo, la IP del servidor BD). La carpeta data/ puede ser local o apuntar a un recurso compartido si se requiere repositorio unificado.</w:t>
      </w:r>
    </w:p>
    <w:p>
      <w:pPr>
        <w:ind w:left="340"/>
      </w:pPr>
      <w:r>
        <w:rPr>
          <w:rFonts w:ascii="Arial" w:hAnsi="Arial" w:cs="Arial" w:eastAsia="Arial"/>
          <w:b w:val="0"/>
          <w:i w:val="0"/>
          <w:color w:val="000000"/>
          <w:sz w:val="22"/>
        </w:rPr>
        <w:t>-  Cada estacion conserva su copia local de configuracion.</w:t>
      </w:r>
    </w:p>
    <w:p>
      <w:pPr>
        <w:ind w:left="340"/>
      </w:pPr>
      <w:r>
        <w:rPr>
          <w:rFonts w:ascii="Arial" w:hAnsi="Arial" w:cs="Arial" w:eastAsia="Arial"/>
          <w:b w:val="0"/>
          <w:i w:val="0"/>
          <w:color w:val="000000"/>
          <w:sz w:val="22"/>
        </w:rPr>
        <w:t>-  Los PDFs pueden residir en un recurso SMB centralizado.</w:t>
      </w:r>
    </w:p>
    <w:p>
      <w:pPr>
        <w:ind w:left="340"/>
      </w:pPr>
      <w:r>
        <w:rPr>
          <w:rFonts w:ascii="Arial" w:hAnsi="Arial" w:cs="Arial" w:eastAsia="Arial"/>
          <w:b w:val="0"/>
          <w:i w:val="0"/>
          <w:color w:val="000000"/>
          <w:sz w:val="22"/>
        </w:rPr>
        <w:t>-  La BD MySQL en XAMPP centraliza la informacion clinica.</w:t>
      </w:r>
    </w:p>
    <w:p>
      <w:pPr>
        <w:ind w:left="340"/>
      </w:pPr>
      <w:r>
        <w:rPr>
          <w:rFonts w:ascii="Arial" w:hAnsi="Arial" w:cs="Arial" w:eastAsia="Arial"/>
          <w:b w:val="0"/>
          <w:i w:val="0"/>
          <w:color w:val="000000"/>
          <w:sz w:val="22"/>
        </w:rPr>
        <w:t>-  Los respaldos JSON locales permiten reproceso sin afectar BD central.</w:t>
      </w:r>
    </w:p>
    <w:p>
      <w:pPr>
        <w:jc w:val="left"/>
      </w:pPr>
      <w:r>
        <w:rPr>
          <w:rFonts w:ascii="Arial" w:hAnsi="Arial" w:cs="Arial" w:eastAsia="Arial"/>
          <w:b/>
          <w:i w:val="0"/>
          <w:color w:val="1F3A6A"/>
          <w:sz w:val="28"/>
        </w:rPr>
        <w:t>11. Mantenimiento y actualizacion del sistema</w:t>
      </w:r>
    </w:p>
    <w:p>
      <w:pPr>
        <w:jc w:val="both"/>
      </w:pPr>
      <w:r>
        <w:rPr>
          <w:rFonts w:ascii="Arial" w:hAnsi="Arial" w:cs="Arial" w:eastAsia="Arial"/>
          <w:b w:val="0"/>
          <w:i w:val="0"/>
          <w:color w:val="000000"/>
          <w:sz w:val="22"/>
        </w:rPr>
        <w:t>El mantenimiento del sistema incluye actualizaciones de version, rotacion del modelo LLM cuando se libere uno aprobado por el Comite, y monitoreo del rendimiento. Las actualizaciones se distribuyen mediante reemplazo controlado del ejecutable, preservando los archivos config.ini, data/ y pdfs_patologia/ de cada estacion.</w:t>
      </w:r>
    </w:p>
    <w:p>
      <w:r>
        <w:rPr>
          <w:rFonts w:ascii="Arial" w:hAnsi="Arial" w:cs="Arial" w:eastAsia="Arial"/>
          <w:b/>
          <w:i w:val="0"/>
          <w:color w:val="000000"/>
          <w:sz w:val="22"/>
        </w:rPr>
        <w:t>Tareas recomendadas:</w:t>
      </w:r>
    </w:p>
    <w:p>
      <w:pPr>
        <w:ind w:left="340"/>
      </w:pPr>
      <w:r>
        <w:rPr>
          <w:rFonts w:ascii="Arial" w:hAnsi="Arial" w:cs="Arial" w:eastAsia="Arial"/>
          <w:b w:val="0"/>
          <w:i w:val="0"/>
          <w:color w:val="000000"/>
          <w:sz w:val="16"/>
        </w:rPr>
        <w:t>Reviso:</w:t>
        <w:tab/>
        <w:t>Innovacion y Desarrollo</w:t>
      </w:r>
    </w:p>
    <w:p>
      <w:pPr>
        <w:ind w:left="340"/>
      </w:pPr>
      <w:r>
        <w:rPr>
          <w:rFonts w:ascii="Arial" w:hAnsi="Arial" w:cs="Arial" w:eastAsia="Arial"/>
          <w:b w:val="0"/>
          <w:i w:val="0"/>
          <w:color w:val="000000"/>
          <w:sz w:val="22"/>
        </w:rPr>
        <w:t>-  Trimestral: validar el desempeno del modelo con un lote control.</w:t>
      </w:r>
    </w:p>
    <w:p>
      <w:pPr>
        <w:ind w:left="340"/>
      </w:pPr>
      <w:r>
        <w:rPr>
          <w:rFonts w:ascii="Arial" w:hAnsi="Arial" w:cs="Arial" w:eastAsia="Arial"/>
          <w:b w:val="0"/>
          <w:i w:val="0"/>
          <w:color w:val="000000"/>
          <w:sz w:val="22"/>
        </w:rPr>
        <w:t>-  Semestral: rotar credenciales BD y actualizar Tesseract si aplica.</w:t>
      </w:r>
    </w:p>
    <w:p>
      <w:pPr>
        <w:ind w:left="340"/>
      </w:pPr>
      <w:r>
        <w:rPr>
          <w:rFonts w:ascii="Arial" w:hAnsi="Arial" w:cs="Arial" w:eastAsia="Arial"/>
          <w:b w:val="0"/>
          <w:i w:val="0"/>
          <w:color w:val="000000"/>
          <w:sz w:val="16"/>
        </w:rPr>
        <w:t>Reviso:</w:t>
        <w:tab/>
        <w:t>Innovacion y Desarrollo</w:t>
      </w:r>
    </w:p>
    <w:p/>
    <w:p w14:paraId="05413806" w14:textId="77777777" w:rsidR="00255259" w:rsidRPr="00352795" w:rsidRDefault="00255259">
      <w:pPr>
        <w:rPr>
          <w:rFonts w:ascii="Arial" w:hAnsi="Arial" w:cs="Arial"/>
          <w:sz w:val="16"/>
          <w:szCs w:val="16"/>
        </w:rPr>
      </w:pPr>
      <w:r>
        <w:rPr>
          <w:rFonts w:ascii="Arial" w:hAnsi="Arial" w:cs="Arial" w:eastAsia="Arial"/>
          <w:b w:val="0"/>
          <w:i w:val="0"/>
          <w:color w:val="000000"/>
          <w:sz w:val="16"/>
        </w:rPr>
        <w:t>Anexos: No aplica</w:t>
      </w:r>
    </w:p>
    <w:p w14:paraId="320EE0CC" w14:textId="77777777" w:rsidR="00255259" w:rsidRDefault="00255259">
      <w:pPr>
        <w:rPr>
          <w:rFonts w:ascii="Arial" w:hAnsi="Arial" w:cs="Arial"/>
          <w:sz w:val="16"/>
          <w:szCs w:val="16"/>
        </w:rPr>
      </w:pPr>
      <w:r>
        <w:rPr>
          <w:rFonts w:ascii="Arial" w:hAnsi="Arial" w:cs="Arial" w:eastAsia="Arial"/>
          <w:b w:val="0"/>
          <w:i w:val="0"/>
          <w:color w:val="000000"/>
          <w:sz w:val="16"/>
        </w:rPr>
        <w:t>Copia archivo: Innovacion y Desarrollo - HUV</w:t>
      </w:r>
    </w:p>
    <w:p w14:paraId="7FD2C8CC" w14:textId="77777777" w:rsidR="007C738F" w:rsidRPr="00352795" w:rsidRDefault="007C738F">
      <w:pPr>
        <w:rPr>
          <w:rFonts w:ascii="Arial" w:hAnsi="Arial" w:cs="Arial"/>
          <w:sz w:val="16"/>
          <w:szCs w:val="16"/>
        </w:rPr>
      </w:pPr>
      <w:r>
        <w:rPr>
          <w:rFonts w:ascii="Arial" w:hAnsi="Arial" w:cs="Arial" w:eastAsia="Arial"/>
          <w:b w:val="0"/>
          <w:i w:val="0"/>
          <w:color w:val="000000"/>
          <w:sz w:val="16"/>
        </w:rPr>
        <w:t>Fecha: Mayo 2026</w:t>
      </w:r>
    </w:p>
    <w:p w14:paraId="546E4061" w14:textId="77777777" w:rsidR="00255259" w:rsidRDefault="00255259">
      <w:pPr>
        <w:rPr>
          <w:rFonts w:ascii="Helvetica" w:hAnsi="Helvetica"/>
          <w:sz w:val="20"/>
          <w:szCs w:val="20"/>
        </w:rPr>
      </w:pPr>
    </w:p>
    <w:p w14:paraId="24A8B643" w14:textId="77777777" w:rsidR="00255259" w:rsidRPr="007C738F" w:rsidRDefault="00255259">
      <w:pPr>
        <w:jc w:val="both"/>
        <w:rPr>
          <w:rFonts w:ascii="Arial" w:hAnsi="Arial"/>
          <w:color w:val="FF0000"/>
          <w:sz w:val="16"/>
          <w:szCs w:val="16"/>
        </w:rPr>
      </w:pPr>
      <w:bookmarkStart w:id="0" w:name="_Hlk126576693"/>
      <w:r>
        <w:rPr>
          <w:rFonts w:ascii="Arial" w:hAnsi="Arial" w:cs="Arial" w:eastAsia="Arial"/>
          <w:b w:val="0"/>
          <w:i w:val="0"/>
          <w:color w:val="000000"/>
          <w:sz w:val="16"/>
        </w:rPr>
        <w:t>Proyecto:</w:t>
        <w:tab/>
        <w:t>Innovacion y Desarrollo</w:t>
      </w:r>
    </w:p>
    <w:p w14:paraId="7764E6D4" w14:textId="77777777" w:rsidR="00255259" w:rsidRPr="00222D55" w:rsidRDefault="00255259">
      <w:pPr>
        <w:jc w:val="both"/>
        <w:rPr>
          <w:rFonts w:ascii="Arial" w:hAnsi="Arial"/>
          <w:sz w:val="16"/>
          <w:szCs w:val="16"/>
        </w:rPr>
      </w:pPr>
      <w:r>
        <w:rPr>
          <w:rFonts w:ascii="Arial" w:hAnsi="Arial" w:cs="Arial" w:eastAsia="Arial"/>
          <w:b w:val="0"/>
          <w:i w:val="0"/>
          <w:color w:val="000000"/>
          <w:sz w:val="16"/>
        </w:rPr>
        <w:t>Reviso:</w:t>
        <w:tab/>
        <w:t>Innovacion y Desarrollo</w:t>
      </w:r>
    </w:p>
    <w:p w14:paraId="74F83F95" w14:textId="77777777" w:rsidR="00EA410F" w:rsidRPr="00222D55" w:rsidRDefault="00EA410F">
      <w:pPr>
        <w:jc w:val="both"/>
        <w:rPr>
          <w:rFonts w:ascii="Arial" w:hAnsi="Arial"/>
          <w:sz w:val="16"/>
          <w:szCs w:val="16"/>
        </w:rPr>
      </w:pPr>
      <w:r>
        <w:rPr>
          <w:rFonts w:ascii="Arial" w:hAnsi="Arial" w:cs="Arial" w:eastAsia="Arial"/>
          <w:b w:val="0"/>
          <w:i w:val="0"/>
          <w:color w:val="000000"/>
          <w:sz w:val="16"/>
        </w:rPr>
        <w:t>Aprobo:</w:t>
        <w:tab/>
        <w:t>Innovacion y Desarrollo</w:t>
      </w:r>
    </w:p>
    <w:bookmarkEnd w:id="0"/>
    <w:p w14:paraId="72AC3EF9" w14:textId="77777777" w:rsidR="00255259" w:rsidRPr="00222D55" w:rsidRDefault="00255259">
      <w:pPr>
        <w:jc w:val="both"/>
        <w:rPr>
          <w:rFonts w:ascii="Arial" w:hAnsi="Arial"/>
          <w:b/>
          <w:bCs/>
          <w:sz w:val="16"/>
          <w:szCs w:val="16"/>
        </w:rPr>
      </w:pPr>
    </w:p>
    <w:sectPr w:rsidR="00255259" w:rsidRPr="00222D55" w:rsidSect="00A154CB">
      <w:headerReference w:type="default" r:id="rId7"/>
      <w:footerReference w:type="default" r:id="rId8"/>
      <w:pgSz w:w="12240" w:h="15840"/>
      <w:pgMar w:top="2774" w:right="1134" w:bottom="1700" w:left="1701" w:header="283" w:footer="141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9636E5" w14:textId="77777777" w:rsidR="00FE5BD2" w:rsidRDefault="00FE5BD2">
      <w:r>
        <w:separator/>
      </w:r>
    </w:p>
  </w:endnote>
  <w:endnote w:type="continuationSeparator" w:id="0">
    <w:p w14:paraId="04C03C56" w14:textId="77777777" w:rsidR="00FE5BD2" w:rsidRDefault="00FE5B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jaVu Sans">
    <w:charset w:val="00"/>
    <w:family w:val="swiss"/>
    <w:pitch w:val="variable"/>
    <w:sig w:usb0="E7002EFF" w:usb1="D200FDFF" w:usb2="0A24602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7CC417" w14:textId="77777777" w:rsidR="009B6CEF" w:rsidRDefault="009B6CEF" w:rsidP="006165A0">
    <w:pPr>
      <w:jc w:val="both"/>
      <w:rPr>
        <w:rFonts w:ascii="Arial" w:hAnsi="Arial"/>
        <w:b/>
        <w:bCs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BF85E9" w14:textId="77777777" w:rsidR="00FE5BD2" w:rsidRDefault="00FE5BD2">
      <w:r>
        <w:separator/>
      </w:r>
    </w:p>
  </w:footnote>
  <w:footnote w:type="continuationSeparator" w:id="0">
    <w:p w14:paraId="2EAB7EFC" w14:textId="77777777" w:rsidR="00FE5BD2" w:rsidRDefault="00FE5BD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581782" w14:textId="77777777" w:rsidR="009B6CEF" w:rsidRDefault="00EF3514">
    <w:pPr>
      <w:pStyle w:val="Encabezado"/>
    </w:pPr>
    <w:r>
      <w:rPr>
        <w:noProof/>
      </w:rPr>
      <w:pict w14:anchorId="6DFD585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5" type="#_x0000_t75" style="position:absolute;margin-left:-75pt;margin-top:-1.15pt;width:591.95pt;height:765.9pt;z-index:-251658752">
          <v:imagedata r:id="rId1" o:title=""/>
        </v:shape>
      </w:pict>
    </w:r>
    <w:r w:rsidR="009B6CEF">
      <w:tab/>
    </w:r>
  </w:p>
  <w:p w14:paraId="348A9DC9" w14:textId="77777777" w:rsidR="009B6CEF" w:rsidRDefault="00717028">
    <w:pPr>
      <w:pStyle w:val="Encabezado"/>
    </w:pPr>
    <w:r>
      <w:pict w14:anchorId="2B331238">
        <v:shape id="_x0000_i1025" type="#_x0000_t75" style="width:438.75pt;height:567.75pt">
          <v:imagedata r:id="rId2" o:title=""/>
        </v:shape>
      </w:pict>
    </w:r>
  </w:p>
  <w:p w14:paraId="44D3ED67" w14:textId="77777777" w:rsidR="009B6CEF" w:rsidRDefault="00717028">
    <w:pPr>
      <w:pStyle w:val="Encabezado"/>
    </w:pPr>
    <w:r>
      <w:pict>
        <v:shape id="_x0000_i1026" type="#_x0000_t75" style="width:438.75pt;height:567.75pt">
          <v:imagedata r:id="rId2" o:title=""/>
        </v:shape>
      </w:pict>
    </w:r>
  </w:p>
  <w:p w14:paraId="114769E7" w14:textId="77777777" w:rsidR="009B6CEF" w:rsidRDefault="009B6CEF">
    <w:pPr>
      <w:pStyle w:val="Encabezado"/>
    </w:pPr>
  </w:p>
  <w:p w14:paraId="7BB68274" w14:textId="77777777" w:rsidR="009B6CEF" w:rsidRDefault="009B6CEF">
    <w:pPr>
      <w:pStyle w:val="Encabezado"/>
    </w:pPr>
  </w:p>
  <w:p w14:paraId="23B79D8B" w14:textId="77777777" w:rsidR="009B6CEF" w:rsidRDefault="009B6CEF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09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doNotUseHTMLParagraphAutoSpacing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E3AB2"/>
    <w:rsid w:val="00005BE5"/>
    <w:rsid w:val="00035650"/>
    <w:rsid w:val="0007558F"/>
    <w:rsid w:val="000E3AB2"/>
    <w:rsid w:val="000F0308"/>
    <w:rsid w:val="00185D78"/>
    <w:rsid w:val="001C7B5D"/>
    <w:rsid w:val="001F79CC"/>
    <w:rsid w:val="00222D55"/>
    <w:rsid w:val="00255259"/>
    <w:rsid w:val="002B2FAF"/>
    <w:rsid w:val="002D2430"/>
    <w:rsid w:val="002F4ECD"/>
    <w:rsid w:val="003139A4"/>
    <w:rsid w:val="003349EF"/>
    <w:rsid w:val="003401EB"/>
    <w:rsid w:val="00340DA9"/>
    <w:rsid w:val="00352795"/>
    <w:rsid w:val="003605DB"/>
    <w:rsid w:val="00382F1A"/>
    <w:rsid w:val="00402A36"/>
    <w:rsid w:val="004062F6"/>
    <w:rsid w:val="00447B13"/>
    <w:rsid w:val="00450E99"/>
    <w:rsid w:val="0049728C"/>
    <w:rsid w:val="004D0E78"/>
    <w:rsid w:val="00541B8C"/>
    <w:rsid w:val="00584B71"/>
    <w:rsid w:val="006165A0"/>
    <w:rsid w:val="006674D2"/>
    <w:rsid w:val="006F2043"/>
    <w:rsid w:val="00717028"/>
    <w:rsid w:val="00740A0D"/>
    <w:rsid w:val="00776A6D"/>
    <w:rsid w:val="007A4331"/>
    <w:rsid w:val="007C738F"/>
    <w:rsid w:val="007E657F"/>
    <w:rsid w:val="00842459"/>
    <w:rsid w:val="00872D8D"/>
    <w:rsid w:val="00886295"/>
    <w:rsid w:val="008D0764"/>
    <w:rsid w:val="009320F9"/>
    <w:rsid w:val="00953CDC"/>
    <w:rsid w:val="0096620A"/>
    <w:rsid w:val="0096769F"/>
    <w:rsid w:val="00994663"/>
    <w:rsid w:val="009B6CEF"/>
    <w:rsid w:val="009C162F"/>
    <w:rsid w:val="009E3993"/>
    <w:rsid w:val="00A06304"/>
    <w:rsid w:val="00A154CB"/>
    <w:rsid w:val="00A23068"/>
    <w:rsid w:val="00A31673"/>
    <w:rsid w:val="00A92EC0"/>
    <w:rsid w:val="00AE0797"/>
    <w:rsid w:val="00B5128F"/>
    <w:rsid w:val="00BD024C"/>
    <w:rsid w:val="00C20487"/>
    <w:rsid w:val="00C21C03"/>
    <w:rsid w:val="00C92B2D"/>
    <w:rsid w:val="00C95B16"/>
    <w:rsid w:val="00CD5070"/>
    <w:rsid w:val="00D5450C"/>
    <w:rsid w:val="00D95B81"/>
    <w:rsid w:val="00DE3A83"/>
    <w:rsid w:val="00E40381"/>
    <w:rsid w:val="00E9514F"/>
    <w:rsid w:val="00EA40FA"/>
    <w:rsid w:val="00EA410F"/>
    <w:rsid w:val="00EB2C3D"/>
    <w:rsid w:val="00EC4AB9"/>
    <w:rsid w:val="00ED6A6E"/>
    <w:rsid w:val="00EF3514"/>
    <w:rsid w:val="00F00BA5"/>
    <w:rsid w:val="00F316C3"/>
    <w:rsid w:val="00F32D40"/>
    <w:rsid w:val="00F670E8"/>
    <w:rsid w:val="00F9140D"/>
    <w:rsid w:val="00FE5B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oNotEmbedSmartTags/>
  <w:decimalSymbol w:val="."/>
  <w:listSeparator w:val="."/>
  <w14:docId w14:val="23EA2133"/>
  <w15:chartTrackingRefBased/>
  <w15:docId w15:val="{E0C168CD-C5EA-4F32-9590-CD92706F50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suppressAutoHyphens/>
    </w:pPr>
    <w:rPr>
      <w:rFonts w:eastAsia="DejaVu Sans"/>
      <w:kern w:val="1"/>
      <w:sz w:val="24"/>
      <w:szCs w:val="24"/>
      <w:lang/>
    </w:rPr>
  </w:style>
  <w:style w:type="character" w:default="1" w:styleId="Fuentedeprrafopredeter">
    <w:name w:val="Default Paragraph Font"/>
  </w:style>
  <w:style w:type="table" w:default="1" w:styleId="Tab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semiHidden/>
  </w:style>
  <w:style w:type="character" w:customStyle="1" w:styleId="Carcterdenumeracin">
    <w:name w:val="Carácter de numeración"/>
  </w:style>
  <w:style w:type="paragraph" w:styleId="Encabezado">
    <w:name w:val="header"/>
    <w:basedOn w:val="Normal"/>
    <w:pPr>
      <w:suppressLineNumbers/>
      <w:tabs>
        <w:tab w:val="center" w:pos="4702"/>
        <w:tab w:val="right" w:pos="9405"/>
      </w:tabs>
    </w:pPr>
  </w:style>
  <w:style w:type="paragraph" w:customStyle="1" w:styleId="Cuerpodetextoindividual">
    <w:name w:val="Cuerpo de texto individual"/>
    <w:basedOn w:val="Normal"/>
    <w:pPr>
      <w:spacing w:after="120"/>
    </w:pPr>
  </w:style>
  <w:style w:type="paragraph" w:styleId="Textoindependiente">
    <w:name w:val="Body Text"/>
    <w:basedOn w:val="Normal"/>
    <w:pPr>
      <w:spacing w:after="120"/>
    </w:pPr>
  </w:style>
  <w:style w:type="paragraph" w:styleId="Lista">
    <w:name w:val="List"/>
    <w:basedOn w:val="Cuerpodetextoindividual"/>
  </w:style>
  <w:style w:type="paragraph" w:customStyle="1" w:styleId="Rtulo">
    <w:name w:val="Rótulo"/>
    <w:basedOn w:val="Normal"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pPr>
      <w:suppressLineNumbers/>
    </w:pPr>
  </w:style>
  <w:style w:type="paragraph" w:styleId="Piedepgina">
    <w:name w:val="footer"/>
    <w:basedOn w:val="Normal"/>
    <w:pPr>
      <w:suppressLineNumbers/>
      <w:tabs>
        <w:tab w:val="center" w:pos="4702"/>
        <w:tab w:val="right" w:pos="9405"/>
      </w:tabs>
    </w:pPr>
  </w:style>
  <w:style w:type="paragraph" w:customStyle="1" w:styleId="Contenidodelmarco">
    <w:name w:val="Contenido del marco"/>
    <w:basedOn w:val="Cuerpodetextoindividual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11378C-8E60-461B-9984-2FA424C1C2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</Words>
  <Characters>248</Characters>
  <Application>Microsoft Office Word</Application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[Código de Oficina]</vt:lpstr>
      <vt:lpstr>[Código de Oficina]</vt:lpstr>
    </vt:vector>
  </TitlesOfParts>
  <Company>Hewlett-Packard Company</Company>
  <LinksUpToDate>false</LinksUpToDate>
  <CharactersWithSpaces>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[Código de Oficina]</dc:title>
  <dc:subject/>
  <dc:creator>usuario</dc:creator>
  <cp:keywords/>
  <cp:lastModifiedBy>Kevin David Chavarro Erazo</cp:lastModifiedBy>
  <cp:revision>2</cp:revision>
  <cp:lastPrinted>2026-05-22T15:55:00Z</cp:lastPrinted>
  <dcterms:created xsi:type="dcterms:W3CDTF">2026-05-25T13:53:00Z</dcterms:created>
  <dcterms:modified xsi:type="dcterms:W3CDTF">2026-05-25T13:53:00Z</dcterms:modified>
</cp:coreProperties>
</file>