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10D585A" w14:textId="77777777" w:rsidR="00E40381" w:rsidRDefault="00E40381">
      <w:pPr>
        <w:rPr>
          <w:rFonts w:ascii="Arial" w:hAnsi="Arial" w:cs="Arial"/>
          <w:sz w:val="16"/>
          <w:szCs w:val="16"/>
        </w:rPr>
      </w:pPr>
    </w:p>
    <w:p w14:paraId="58034CF6" w14:textId="77777777" w:rsidR="00E40381" w:rsidRDefault="00E40381">
      <w:pPr>
        <w:rPr>
          <w:rFonts w:ascii="Arial" w:hAnsi="Arial" w:cs="Arial"/>
          <w:sz w:val="16"/>
          <w:szCs w:val="16"/>
        </w:rPr>
      </w:pPr>
    </w:p>
    <w:p w14:paraId="11AC5229" w14:textId="77777777" w:rsidR="00E40381" w:rsidRDefault="00E40381">
      <w:pPr>
        <w:rPr>
          <w:rFonts w:ascii="Arial" w:hAnsi="Arial" w:cs="Arial"/>
          <w:sz w:val="16"/>
          <w:szCs w:val="16"/>
        </w:rPr>
      </w:pPr>
    </w:p>
    <w:p w14:paraId="1AD8ABBD" w14:textId="77777777" w:rsidR="00E40381" w:rsidRDefault="00E40381">
      <w:pPr>
        <w:rPr>
          <w:rFonts w:ascii="Arial" w:hAnsi="Arial" w:cs="Arial"/>
          <w:sz w:val="16"/>
          <w:szCs w:val="16"/>
        </w:rPr>
      </w:pPr>
    </w:p>
    <w:p>
      <w:pPr>
        <w:jc w:val="center"/>
      </w:pPr>
      <w:r>
        <w:rPr>
          <w:rFonts w:ascii="Arial" w:hAnsi="Arial" w:cs="Arial" w:eastAsia="Arial"/>
          <w:b/>
          <w:i w:val="0"/>
          <w:color w:val="1F3A6A"/>
          <w:sz w:val="28"/>
        </w:rPr>
        <w:t>DOCUMENTACION TECNICA - SISTEMA EVARISIS V6.9.9</w:t>
      </w:r>
    </w:p>
    <w:p/>
    <w:p>
      <w:r>
        <w:rPr>
          <w:rFonts w:ascii="Arial" w:hAnsi="Arial" w:cs="Arial" w:eastAsia="Arial"/>
          <w:b/>
          <w:i w:val="0"/>
          <w:color w:val="1F3A6A"/>
          <w:sz w:val="24"/>
        </w:rPr>
        <w:t>Control del documento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4702"/>
        <w:gridCol w:w="4702"/>
      </w:tblGrid>
      <w:tr>
        <w:tc>
          <w:tcPr>
            <w:tcW w:type="dxa" w:w="2835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Campo</w:t>
            </w:r>
          </w:p>
        </w:tc>
        <w:tc>
          <w:tcPr>
            <w:tcW w:type="dxa" w:w="6236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Detalle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Codigo del documento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EVA-TEC-001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Titulo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Documentacion Tecnica - Sistema EVARISIS V6.9.9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Version del sistema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V6.9.9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Version del documento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1.0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Fecha de emision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Mayo 2026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Estado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Vigente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Clasificacion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Uso interno HUV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Area responsable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Innovacion y Desarrollo</w:t>
            </w:r>
          </w:p>
        </w:tc>
      </w:tr>
    </w:tbl>
    <w:p/>
    <w:p>
      <w:pPr>
        <w:jc w:val="left"/>
      </w:pPr>
      <w:r>
        <w:rPr>
          <w:rFonts w:ascii="Arial" w:hAnsi="Arial" w:cs="Arial" w:eastAsia="Arial"/>
          <w:b/>
          <w:i w:val="0"/>
          <w:color w:val="1F3A6A"/>
          <w:sz w:val="28"/>
        </w:rPr>
        <w:t>1. Descripcion general del sistema</w:t>
      </w:r>
    </w:p>
    <w:p>
      <w:pPr>
        <w:jc w:val="both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EVARISIS es un Sistema Inteligente de Gestion Oncologica desarrollado por el area de Innovacion y Desarrollo del Hospital Universitario del Valle. Su proposito es transformar la informacion no estructurada de los informes de patologia (especialmente Inmunohistoquimica - IHQ) en un repositorio estructurado de 184 campos por caso, habilitando la generacion de indicadores, la trazabilidad clinica y el soporte a decisiones medicas. La version V6.9.9 consolida el procesamiento masivo de informes y la extraccion mediante un modelo de lenguaje local.</w:t>
      </w:r>
    </w:p>
    <w:p>
      <w:pPr>
        <w:jc w:val="both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El sistema opera de manera autonoma en la red interna del HUV: ningun dato del paciente abandona la infraestructura institucional. Esto se logra utilizando un servidor de inferencia local (LM Studio) y motores OCR de codigo abierto. EVARISIS atiende necesidades del Servicio de Patologia, del Comite de Tumores y de la Direccion Cientifica del Hospital.</w:t>
      </w:r>
    </w:p>
    <w:p>
      <w:pPr>
        <w:jc w:val="left"/>
      </w:pPr>
      <w:r>
        <w:rPr>
          <w:rFonts w:ascii="Arial" w:hAnsi="Arial" w:cs="Arial" w:eastAsia="Arial"/>
          <w:b/>
          <w:i w:val="0"/>
          <w:color w:val="1F3A6A"/>
          <w:sz w:val="28"/>
        </w:rPr>
        <w:t>2. Arquitectura del sistema</w:t>
      </w:r>
    </w:p>
    <w:p>
      <w:pPr>
        <w:jc w:val="both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EVARISIS adopta una arquitectura por capas, donde cada componente tiene una responsabilidad unica y bien delimitada.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Capa</w:t>
            </w:r>
          </w:p>
        </w:tc>
        <w:tc>
          <w:tcPr>
            <w:tcW w:type="dxa" w:w="2835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Tecnologia</w:t>
            </w:r>
          </w:p>
        </w:tc>
        <w:tc>
          <w:tcPr>
            <w:tcW w:type="dxa" w:w="3685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Responsabilidad principal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Presentacion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Tkinter + ttkbootstrap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Interfaz operativa multi-pestana para personal del HUV.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Logica de negocio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Modulos Python en core/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Orquestacion de procesos, validaciones y reglas clinicas.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Persistencia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SQLite (local) / MySQL XAMPP (LAN)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Almacenamiento de los 186 campos de cada informe.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Inteligencia artificial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LM Studio + nvidia/nemotron-3-nano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Extraccion semantica de los 184 campos por caso.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Procesamiento de imagenes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PyMuPDF + Tesseract OCR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Conversion de PDF a texto plano de alta calidad.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Distribucion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PyInstaller (one-folder)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Empaquetado en GestorOncologia.exe para Windows.</w:t>
            </w:r>
          </w:p>
        </w:tc>
      </w:tr>
    </w:tbl>
    <w:p/>
    <w:p>
      <w:pPr>
        <w:jc w:val="left"/>
      </w:pPr>
      <w:r>
        <w:rPr>
          <w:rFonts w:ascii="Arial" w:hAnsi="Arial" w:cs="Arial" w:eastAsia="Arial"/>
          <w:b/>
          <w:i w:val="0"/>
          <w:color w:val="1F3A6A"/>
          <w:sz w:val="28"/>
        </w:rPr>
        <w:t>3. Flujo de procesamiento de un informe IHQ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1.  Carga del PDF desde la carpeta pdfs_patologia.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2.  Renderizado de cada pagina a imagen con PyMuPDF a 400 DPI.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3.  Aplicacion de OCR Tesseract con idioma espanol (PSM 6).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4.  Limpieza de texto: normalizacion de saltos, encabezados y firmas.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5.  Particion en chunks por caso (delimitador IHQ + numero consecutivo).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6.  Construccion de prompt estructurado con esquema JSON de 184 campos.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7.  Invocacion al modelo nvidia/nemotron-3-nano a traves de LM Studio.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8.  Validacion del JSON devuelto contra el esquema esperado.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9.  Aplicacion de reglas anti-N/A y normalizacion de diagnosticos.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10.  Insercion o actualizacion del registro en la tabla informes_ihq.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11.  Replica del diagnostico en la tabla diagnosticos_ia (acumulativa).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12.  Actualizacion de los indicadores en la pestana Dashboard.</w:t>
      </w:r>
    </w:p>
    <w:p>
      <w:pPr>
        <w:jc w:val="left"/>
      </w:pPr>
      <w:r>
        <w:rPr>
          <w:rFonts w:ascii="Arial" w:hAnsi="Arial" w:cs="Arial" w:eastAsia="Arial"/>
          <w:b/>
          <w:i w:val="0"/>
          <w:color w:val="1F3A6A"/>
          <w:sz w:val="28"/>
        </w:rPr>
        <w:t>4. Estructura de carpetas del proyecto</w:t>
      </w:r>
    </w:p>
    <w:p>
      <w:pPr>
        <w:jc w:val="both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La organizacion del repositorio refleja la separacion por capas descrita anteriormente. El siguiente esquema muestra la jerarquia principal de carpetas en el ambiente de desarrollo.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4702"/>
        <w:gridCol w:w="4702"/>
      </w:tblGrid>
      <w:tr>
        <w:tc>
          <w:tcPr>
            <w:tcW w:type="dxa" w:w="3118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Carpeta / Archivo</w:t>
            </w:r>
          </w:p>
        </w:tc>
        <w:tc>
          <w:tcPr>
            <w:tcW w:type="dxa" w:w="5953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Contenido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ui.py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Punto de entrada con la interfaz Tkinter.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core/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Modulos de logica de negocio y extractores.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core/extractors/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Extractores especializados por categoria.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core/llm_client.py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Cliente unificado para LM Studio/Ollama.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core/enhanced_database_dashboard.py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Dashboard de indicadores en vivo.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config/config.ini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Parametros operativos editables.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config/version_info.py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Version actual del aplicativo.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data/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Bases SQLite locales (informes_ihq, diagnosticos_ia).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pdfs_patologia/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Carpeta de entrada con los PDFs de IHQ.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informes_ia/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Respaldos JSON generados por la IA.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herramientas_ia/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Utilidades de auditoria y soporte.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dist/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Salida del empaquetado PyInstaller.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documentacion/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Documentos oficiales del proyecto.</w:t>
            </w:r>
          </w:p>
        </w:tc>
      </w:tr>
    </w:tbl>
    <w:p/>
    <w:p>
      <w:pPr>
        <w:jc w:val="left"/>
      </w:pPr>
      <w:r>
        <w:rPr>
          <w:rFonts w:ascii="Arial" w:hAnsi="Arial" w:cs="Arial" w:eastAsia="Arial"/>
          <w:b/>
          <w:i w:val="0"/>
          <w:color w:val="1F3A6A"/>
          <w:sz w:val="28"/>
        </w:rPr>
        <w:t>5. Modulos principales en core/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4702"/>
        <w:gridCol w:w="4702"/>
      </w:tblGrid>
      <w:tr>
        <w:tc>
          <w:tcPr>
            <w:tcW w:type="dxa" w:w="3118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Modulo</w:t>
            </w:r>
          </w:p>
        </w:tc>
        <w:tc>
          <w:tcPr>
            <w:tcW w:type="dxa" w:w="5953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Responsabilidad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llm_client.py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Cliente HTTP hacia LM Studio/Ollama con reintentos y timeout.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normalizador_diagnosticos.py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Normaliza textos de diagnostico y aplica reglas anti-N/A.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extractors/medical_extractor.py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Coordina la extraccion semantica de campos clinicos.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extractors/admin_extractor.py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Extrae identificadores administrativos del informe.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extractors/biomarker_extractor.py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Procesa los 141 campos de biomarcadores IHQ.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enhanced_database_dashboard.py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Genera los indicadores graficos del Dashboard.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diagnosticos_ia_db.py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Gestiona la tabla acumulativa de diagnosticos.</w:t>
            </w:r>
          </w:p>
        </w:tc>
      </w:tr>
    </w:tbl>
    <w:p/>
    <w:p>
      <w:pPr>
        <w:jc w:val="left"/>
      </w:pPr>
      <w:r>
        <w:rPr>
          <w:rFonts w:ascii="Arial" w:hAnsi="Arial" w:cs="Arial" w:eastAsia="Arial"/>
          <w:b/>
          <w:i w:val="0"/>
          <w:color w:val="1F3A6A"/>
          <w:sz w:val="28"/>
        </w:rPr>
        <w:t>6. Esquema de base de datos (186 columnas)</w:t>
      </w:r>
    </w:p>
    <w:p>
      <w:pPr>
        <w:jc w:val="both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El nucleo del aplicativo es la tabla informes_ihq, con 186 columnas agrupadas funcionalmente. La clave primaria es 'Numero de caso' (formato IHQXXXNNNN). Adicionalmente, la tabla diagnosticos_ia guarda el historico acumulado de diagnosticos generados por la IA, con 1.415 registros al cierre.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Categoria</w:t>
            </w:r>
          </w:p>
        </w:tc>
        <w:tc>
          <w:tcPr>
            <w:tcW w:type="dxa" w:w="1417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Cantidad</w:t>
            </w:r>
          </w:p>
        </w:tc>
        <w:tc>
          <w:tcPr>
            <w:tcW w:type="dxa" w:w="4819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Ejemplos representativos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Identificacion administrativa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19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Numero de caso, fecha de ingreso, sede, servicio.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Datos demograficos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11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Edad, sexo, tipo de documento, EPS, regimen.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Procedimiento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Tipo de muestra, organo, lateralidad, fecha de toma.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Diagnostico clinico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Diagnostico principal, secundario, observaciones.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Estudios IHQ generales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Resultado global, conclusion, marcadores positivos.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Biomarcadores IHQ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141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ER, PR, HER2, Ki67, p53, p16, CD3, CD20, entre otros.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Metadata operativa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Estado Auditoria IA, Fecha Ingreso Base de Datos.</w:t>
            </w:r>
          </w:p>
        </w:tc>
      </w:tr>
    </w:tbl>
    <w:p/>
    <w:p>
      <w:pPr>
        <w:jc w:val="left"/>
      </w:pPr>
      <w:r>
        <w:rPr>
          <w:rFonts w:ascii="Arial" w:hAnsi="Arial" w:cs="Arial" w:eastAsia="Arial"/>
          <w:b/>
          <w:i w:val="0"/>
          <w:color w:val="1F3A6A"/>
          <w:sz w:val="28"/>
        </w:rPr>
        <w:t>7. Pipeline de extraccion con IA</w:t>
      </w:r>
    </w:p>
    <w:p>
      <w:pPr>
        <w:jc w:val="both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El pipeline de extraccion fue disenado para garantizar la trazabilidad clinica y la reproducibilidad de los resultados. Cada paso es auditable mediante los archivos JSON depositados en informes_ia/.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1.  OCR del PDF y consolidacion del texto plano.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2.  Segmentacion en chunks por caso IHQ.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3.  Construccion del prompt con esquema JSON de 184 campos.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4.  Llamada al modelo LLM local con response_format=json_schema.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5.  Recepcion del JSON y validacion estructural.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6.  Aplicacion de reglas anti-N/A introducidas en V6.9.9.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7.  Persistencia en BD y replica en diagnosticos_ia.</w:t>
      </w:r>
    </w:p>
    <w:p>
      <w:pPr>
        <w:jc w:val="left"/>
      </w:pPr>
      <w:r>
        <w:rPr>
          <w:rFonts w:ascii="Arial" w:hAnsi="Arial" w:cs="Arial" w:eastAsia="Arial"/>
          <w:b/>
          <w:i w:val="0"/>
          <w:color w:val="1F3A6A"/>
          <w:sz w:val="28"/>
        </w:rPr>
        <w:t>8. Manejo de errores y reintentos</w:t>
      </w:r>
    </w:p>
    <w:p>
      <w:pPr>
        <w:jc w:val="both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El cliente LLM implementa una politica de reintentos con backoff exponencial. Los timeouts (mas frecuentes con nemotron-3-nano por el reasoning_content extendido) se controlan con el parametro timeout_segundos = 900. Las excepciones se registran en el log y se muestra una notificacion visual al operador, sin abortar el procesamiento del lote.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-  Errores de red: 3 reintentos con espera de 5, 15 y 45 segundos.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-  Respuestas JSON malformadas: se intenta reparacion automatica.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-  Campos faltantes: se completan con cadena vacia y se marcan.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16"/>
        </w:rPr>
        <w:t>Reviso:</w:t>
        <w:tab/>
        <w:t>Innovacion y Desarrollo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-  Errores de BD: rollback transaccional y reintento puntual.</w:t>
      </w:r>
    </w:p>
    <w:p>
      <w:pPr>
        <w:jc w:val="left"/>
      </w:pPr>
      <w:r>
        <w:rPr>
          <w:rFonts w:ascii="Arial" w:hAnsi="Arial" w:cs="Arial" w:eastAsia="Arial"/>
          <w:b/>
          <w:i w:val="0"/>
          <w:color w:val="1F3A6A"/>
          <w:sz w:val="28"/>
        </w:rPr>
        <w:t>9. Compilacion con PyInstaller</w:t>
      </w:r>
    </w:p>
    <w:p>
      <w:pPr>
        <w:jc w:val="both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El empaquetado se realiza usando el script COMPILAR_V69.bat dentro del entorno virtual venv0 (Python 3.13.4). El resultado es una carpeta dist/ con el ejecutable GestorOncologia.exe (110 MB), las dependencias necesarias y los archivos editables del aplicativo. La compilacion incluye los modelos de Tesseract opcionalmente, segun la politica de la estacion.</w:t>
      </w:r>
    </w:p>
    <w:p>
      <w:r>
        <w:rPr>
          <w:rFonts w:ascii="Arial" w:hAnsi="Arial" w:cs="Arial" w:eastAsia="Arial"/>
          <w:b/>
          <w:i w:val="0"/>
          <w:color w:val="000000"/>
          <w:sz w:val="22"/>
        </w:rPr>
        <w:t>Pasos principales del proceso: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1.  Activar el entorno virtual: venv0\Scripts\activate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2.  Actualizar dependencias: pip install -r requirements.txt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3.  Ejecutar: COMPILAR_V69.bat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4.  Verificar que dist/GestorOncologia.exe se creo correctamente.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5.  Comprimir la carpeta dist/ y firmarla digitalmente si aplica.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6.  Publicar el paquete en el repositorio institucional de software.</w:t>
      </w:r>
    </w:p>
    <w:p>
      <w:pPr>
        <w:jc w:val="left"/>
      </w:pPr>
      <w:r>
        <w:rPr>
          <w:rFonts w:ascii="Arial" w:hAnsi="Arial" w:cs="Arial" w:eastAsia="Arial"/>
          <w:b/>
          <w:i w:val="0"/>
          <w:color w:val="1F3A6A"/>
          <w:sz w:val="28"/>
        </w:rPr>
        <w:t>10. Distribucion multi-PC</w:t>
      </w:r>
    </w:p>
    <w:p>
      <w:pPr>
        <w:jc w:val="both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Para el despliegue en multiples estaciones, el aplicativo soporta configuracion externa: el archivo config.ini queda fuera del ejecutable y puede personalizarse por estacion (por ejemplo, la IP del servidor BD). La carpeta data/ puede ser local o apuntar a un recurso compartido si se requiere repositorio unificado.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-  Cada estacion conserva su copia local de configuracion.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-  Los PDFs pueden residir en un recurso SMB centralizado.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-  La BD MySQL en XAMPP centraliza la informacion clinica.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-  Los respaldos JSON locales permiten reproceso sin afectar BD central.</w:t>
      </w:r>
    </w:p>
    <w:p>
      <w:pPr>
        <w:jc w:val="left"/>
      </w:pPr>
      <w:r>
        <w:rPr>
          <w:rFonts w:ascii="Arial" w:hAnsi="Arial" w:cs="Arial" w:eastAsia="Arial"/>
          <w:b/>
          <w:i w:val="0"/>
          <w:color w:val="1F3A6A"/>
          <w:sz w:val="28"/>
        </w:rPr>
        <w:t>11. Mantenimiento y actualizacion del sistema</w:t>
      </w:r>
    </w:p>
    <w:p>
      <w:pPr>
        <w:jc w:val="both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El mantenimiento del sistema incluye actualizaciones de version, rotacion del modelo LLM cuando se libere uno aprobado por el Comite, y monitoreo del rendimiento. Las actualizaciones se distribuyen mediante reemplazo controlado del ejecutable, preservando los archivos config.ini, data/ y pdfs_patologia/ de cada estacion.</w:t>
      </w:r>
    </w:p>
    <w:p>
      <w:r>
        <w:rPr>
          <w:rFonts w:ascii="Arial" w:hAnsi="Arial" w:cs="Arial" w:eastAsia="Arial"/>
          <w:b/>
          <w:i w:val="0"/>
          <w:color w:val="000000"/>
          <w:sz w:val="22"/>
        </w:rPr>
        <w:t>Tareas recomendadas: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16"/>
        </w:rPr>
        <w:t>Reviso:</w:t>
        <w:tab/>
        <w:t>Innovacion y Desarrollo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-  Trimestral: validar el desempeno del modelo con un lote control.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-  Semestral: rotar credenciales BD y actualizar Tesseract si aplica.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16"/>
        </w:rPr>
        <w:t>Reviso:</w:t>
        <w:tab/>
        <w:t>Innovacion y Desarrollo</w:t>
      </w:r>
    </w:p>
    <w:p/>
    <w:p w14:paraId="05413806" w14:textId="77777777" w:rsidR="00255259" w:rsidRPr="00352795" w:rsidRDefault="00255259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 w:eastAsia="Arial"/>
          <w:b w:val="0"/>
          <w:i w:val="0"/>
          <w:color w:val="000000"/>
          <w:sz w:val="16"/>
        </w:rPr>
        <w:t>Anexos: No aplica</w:t>
      </w:r>
    </w:p>
    <w:p w14:paraId="320EE0CC" w14:textId="77777777" w:rsidR="00255259" w:rsidRDefault="00255259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 w:eastAsia="Arial"/>
          <w:b w:val="0"/>
          <w:i w:val="0"/>
          <w:color w:val="000000"/>
          <w:sz w:val="16"/>
        </w:rPr>
        <w:t>Copia archivo: Innovacion y Desarrollo - HUV</w:t>
      </w:r>
    </w:p>
    <w:p w14:paraId="7FD2C8CC" w14:textId="77777777" w:rsidR="007C738F" w:rsidRPr="00352795" w:rsidRDefault="007C738F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 w:eastAsia="Arial"/>
          <w:b w:val="0"/>
          <w:i w:val="0"/>
          <w:color w:val="000000"/>
          <w:sz w:val="16"/>
        </w:rPr>
        <w:t>Fecha: Mayo 2026</w:t>
      </w:r>
    </w:p>
    <w:p w14:paraId="546E4061" w14:textId="77777777" w:rsidR="00255259" w:rsidRDefault="00255259">
      <w:pPr>
        <w:rPr>
          <w:rFonts w:ascii="Helvetica" w:hAnsi="Helvetica"/>
          <w:sz w:val="20"/>
          <w:szCs w:val="20"/>
        </w:rPr>
      </w:pPr>
    </w:p>
    <w:p w14:paraId="24A8B643" w14:textId="77777777" w:rsidR="00255259" w:rsidRPr="007C738F" w:rsidRDefault="00255259">
      <w:pPr>
        <w:jc w:val="both"/>
        <w:rPr>
          <w:rFonts w:ascii="Arial" w:hAnsi="Arial"/>
          <w:color w:val="FF0000"/>
          <w:sz w:val="16"/>
          <w:szCs w:val="16"/>
        </w:rPr>
      </w:pPr>
      <w:bookmarkStart w:id="0" w:name="_Hlk126576693"/>
      <w:r>
        <w:rPr>
          <w:rFonts w:ascii="Arial" w:hAnsi="Arial" w:cs="Arial" w:eastAsia="Arial"/>
          <w:b w:val="0"/>
          <w:i w:val="0"/>
          <w:color w:val="000000"/>
          <w:sz w:val="16"/>
        </w:rPr>
        <w:t>Proyecto:</w:t>
        <w:tab/>
        <w:t>Innovacion y Desarrollo</w:t>
      </w:r>
    </w:p>
    <w:p w14:paraId="7764E6D4" w14:textId="77777777" w:rsidR="00255259" w:rsidRPr="00222D55" w:rsidRDefault="00255259">
      <w:pPr>
        <w:jc w:val="both"/>
        <w:rPr>
          <w:rFonts w:ascii="Arial" w:hAnsi="Arial"/>
          <w:sz w:val="16"/>
          <w:szCs w:val="16"/>
        </w:rPr>
      </w:pPr>
      <w:r>
        <w:rPr>
          <w:rFonts w:ascii="Arial" w:hAnsi="Arial" w:cs="Arial" w:eastAsia="Arial"/>
          <w:b w:val="0"/>
          <w:i w:val="0"/>
          <w:color w:val="000000"/>
          <w:sz w:val="16"/>
        </w:rPr>
        <w:t>Reviso:</w:t>
        <w:tab/>
        <w:t>Innovacion y Desarrollo</w:t>
      </w:r>
    </w:p>
    <w:p w14:paraId="74F83F95" w14:textId="77777777" w:rsidR="00EA410F" w:rsidRPr="00222D55" w:rsidRDefault="00EA410F">
      <w:pPr>
        <w:jc w:val="both"/>
        <w:rPr>
          <w:rFonts w:ascii="Arial" w:hAnsi="Arial"/>
          <w:sz w:val="16"/>
          <w:szCs w:val="16"/>
        </w:rPr>
      </w:pPr>
      <w:r>
        <w:rPr>
          <w:rFonts w:ascii="Arial" w:hAnsi="Arial" w:cs="Arial" w:eastAsia="Arial"/>
          <w:b w:val="0"/>
          <w:i w:val="0"/>
          <w:color w:val="000000"/>
          <w:sz w:val="16"/>
        </w:rPr>
        <w:t>Aprobo:</w:t>
        <w:tab/>
        <w:t>Innovacion y Desarrollo</w:t>
      </w:r>
    </w:p>
    <w:bookmarkEnd w:id="0"/>
    <w:p w14:paraId="72AC3EF9" w14:textId="77777777" w:rsidR="00255259" w:rsidRPr="00222D55" w:rsidRDefault="00255259">
      <w:pPr>
        <w:jc w:val="both"/>
        <w:rPr>
          <w:rFonts w:ascii="Arial" w:hAnsi="Arial"/>
          <w:b/>
          <w:bCs/>
          <w:sz w:val="16"/>
          <w:szCs w:val="16"/>
        </w:rPr>
      </w:pPr>
    </w:p>
    <w:sectPr w:rsidR="00255259" w:rsidRPr="00222D55" w:rsidSect="00A154CB">
      <w:headerReference w:type="default" r:id="rId7"/>
      <w:footerReference w:type="default" r:id="rId8"/>
      <w:pgSz w:w="12240" w:h="15840"/>
      <w:pgMar w:top="2774" w:right="1134" w:bottom="1700" w:left="1701" w:header="283" w:footer="141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636E5" w14:textId="77777777" w:rsidR="00FE5BD2" w:rsidRDefault="00FE5BD2">
      <w:r>
        <w:separator/>
      </w:r>
    </w:p>
  </w:endnote>
  <w:endnote w:type="continuationSeparator" w:id="0">
    <w:p w14:paraId="04C03C56" w14:textId="77777777" w:rsidR="00FE5BD2" w:rsidRDefault="00FE5B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charset w:val="00"/>
    <w:family w:val="swiss"/>
    <w:pitch w:val="variable"/>
    <w:sig w:usb0="E7002EFF" w:usb1="D200FDFF" w:usb2="0A24602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CC417" w14:textId="77777777" w:rsidR="009B6CEF" w:rsidRDefault="009B6CEF" w:rsidP="006165A0">
    <w:pPr>
      <w:jc w:val="both"/>
      <w:rPr>
        <w:rFonts w:ascii="Arial" w:hAnsi="Arial"/>
        <w:b/>
        <w:bCs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F85E9" w14:textId="77777777" w:rsidR="00FE5BD2" w:rsidRDefault="00FE5BD2">
      <w:r>
        <w:separator/>
      </w:r>
    </w:p>
  </w:footnote>
  <w:footnote w:type="continuationSeparator" w:id="0">
    <w:p w14:paraId="2EAB7EFC" w14:textId="77777777" w:rsidR="00FE5BD2" w:rsidRDefault="00FE5B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81782" w14:textId="77777777" w:rsidR="009B6CEF" w:rsidRDefault="00EF3514">
    <w:pPr>
      <w:pStyle w:val="Encabezado"/>
    </w:pPr>
    <w:r>
      <w:rPr>
        <w:noProof/>
      </w:rPr>
      <w:pict w14:anchorId="6DFD58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5" type="#_x0000_t75" style="position:absolute;margin-left:-75pt;margin-top:-1.15pt;width:591.95pt;height:765.9pt;z-index:-251658752">
          <v:imagedata r:id="rId1" o:title=""/>
        </v:shape>
      </w:pict>
    </w:r>
    <w:r w:rsidR="009B6CEF">
      <w:tab/>
    </w:r>
  </w:p>
  <w:p w14:paraId="348A9DC9" w14:textId="77777777" w:rsidR="009B6CEF" w:rsidRDefault="00717028">
    <w:pPr>
      <w:pStyle w:val="Encabezado"/>
    </w:pPr>
    <w:r>
      <w:pict w14:anchorId="2B331238">
        <v:shape id="_x0000_i1025" type="#_x0000_t75" style="width:438.75pt;height:567.75pt">
          <v:imagedata r:id="rId2" o:title=""/>
        </v:shape>
      </w:pict>
    </w:r>
  </w:p>
  <w:p w14:paraId="44D3ED67" w14:textId="77777777" w:rsidR="009B6CEF" w:rsidRDefault="00717028">
    <w:pPr>
      <w:pStyle w:val="Encabezado"/>
    </w:pPr>
    <w:r>
      <w:pict>
        <v:shape id="_x0000_i1026" type="#_x0000_t75" style="width:438.75pt;height:567.75pt">
          <v:imagedata r:id="rId2" o:title=""/>
        </v:shape>
      </w:pict>
    </w:r>
  </w:p>
  <w:p w14:paraId="114769E7" w14:textId="77777777" w:rsidR="009B6CEF" w:rsidRDefault="009B6CEF">
    <w:pPr>
      <w:pStyle w:val="Encabezado"/>
    </w:pPr>
  </w:p>
  <w:p w14:paraId="7BB68274" w14:textId="77777777" w:rsidR="009B6CEF" w:rsidRDefault="009B6CEF">
    <w:pPr>
      <w:pStyle w:val="Encabezado"/>
    </w:pPr>
  </w:p>
  <w:p w14:paraId="23B79D8B" w14:textId="77777777" w:rsidR="009B6CEF" w:rsidRDefault="009B6CE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3AB2"/>
    <w:rsid w:val="00005BE5"/>
    <w:rsid w:val="00035650"/>
    <w:rsid w:val="0007558F"/>
    <w:rsid w:val="000E3AB2"/>
    <w:rsid w:val="000F0308"/>
    <w:rsid w:val="00185D78"/>
    <w:rsid w:val="001C7B5D"/>
    <w:rsid w:val="001F79CC"/>
    <w:rsid w:val="00222D55"/>
    <w:rsid w:val="00255259"/>
    <w:rsid w:val="002B2FAF"/>
    <w:rsid w:val="002D2430"/>
    <w:rsid w:val="002F4ECD"/>
    <w:rsid w:val="003139A4"/>
    <w:rsid w:val="003349EF"/>
    <w:rsid w:val="003401EB"/>
    <w:rsid w:val="00340DA9"/>
    <w:rsid w:val="00352795"/>
    <w:rsid w:val="003605DB"/>
    <w:rsid w:val="00382F1A"/>
    <w:rsid w:val="00402A36"/>
    <w:rsid w:val="004062F6"/>
    <w:rsid w:val="00447B13"/>
    <w:rsid w:val="00450E99"/>
    <w:rsid w:val="0049728C"/>
    <w:rsid w:val="004D0E78"/>
    <w:rsid w:val="00541B8C"/>
    <w:rsid w:val="00584B71"/>
    <w:rsid w:val="006165A0"/>
    <w:rsid w:val="006674D2"/>
    <w:rsid w:val="006F2043"/>
    <w:rsid w:val="00717028"/>
    <w:rsid w:val="00740A0D"/>
    <w:rsid w:val="00776A6D"/>
    <w:rsid w:val="007A4331"/>
    <w:rsid w:val="007C738F"/>
    <w:rsid w:val="007E657F"/>
    <w:rsid w:val="00842459"/>
    <w:rsid w:val="00872D8D"/>
    <w:rsid w:val="00886295"/>
    <w:rsid w:val="008D0764"/>
    <w:rsid w:val="009320F9"/>
    <w:rsid w:val="00953CDC"/>
    <w:rsid w:val="0096620A"/>
    <w:rsid w:val="0096769F"/>
    <w:rsid w:val="00994663"/>
    <w:rsid w:val="009B6CEF"/>
    <w:rsid w:val="009C162F"/>
    <w:rsid w:val="009E3993"/>
    <w:rsid w:val="00A06304"/>
    <w:rsid w:val="00A154CB"/>
    <w:rsid w:val="00A23068"/>
    <w:rsid w:val="00A31673"/>
    <w:rsid w:val="00A92EC0"/>
    <w:rsid w:val="00AE0797"/>
    <w:rsid w:val="00B5128F"/>
    <w:rsid w:val="00BD024C"/>
    <w:rsid w:val="00C20487"/>
    <w:rsid w:val="00C21C03"/>
    <w:rsid w:val="00C92B2D"/>
    <w:rsid w:val="00C95B16"/>
    <w:rsid w:val="00CD5070"/>
    <w:rsid w:val="00D5450C"/>
    <w:rsid w:val="00D95B81"/>
    <w:rsid w:val="00DE3A83"/>
    <w:rsid w:val="00E40381"/>
    <w:rsid w:val="00E9514F"/>
    <w:rsid w:val="00EA40FA"/>
    <w:rsid w:val="00EA410F"/>
    <w:rsid w:val="00EB2C3D"/>
    <w:rsid w:val="00EC4AB9"/>
    <w:rsid w:val="00ED6A6E"/>
    <w:rsid w:val="00EF3514"/>
    <w:rsid w:val="00F00BA5"/>
    <w:rsid w:val="00F316C3"/>
    <w:rsid w:val="00F32D40"/>
    <w:rsid w:val="00F670E8"/>
    <w:rsid w:val="00F9140D"/>
    <w:rsid w:val="00FE5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."/>
  <w14:docId w14:val="23EA2133"/>
  <w15:chartTrackingRefBased/>
  <w15:docId w15:val="{E0C168CD-C5EA-4F32-9590-CD92706F5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DejaVu Sans"/>
      <w:kern w:val="1"/>
      <w:sz w:val="24"/>
      <w:szCs w:val="24"/>
      <w:lang/>
    </w:rPr>
  </w:style>
  <w:style w:type="character" w:default="1" w:styleId="Fuentedeprrafopredeter">
    <w:name w:val="Default Paragraph Font"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character" w:customStyle="1" w:styleId="Carcterdenumeracin">
    <w:name w:val="Carácter de numeración"/>
  </w:style>
  <w:style w:type="paragraph" w:styleId="Encabezado">
    <w:name w:val="header"/>
    <w:basedOn w:val="Normal"/>
    <w:pPr>
      <w:suppressLineNumbers/>
      <w:tabs>
        <w:tab w:val="center" w:pos="4702"/>
        <w:tab w:val="right" w:pos="9405"/>
      </w:tabs>
    </w:pPr>
  </w:style>
  <w:style w:type="paragraph" w:customStyle="1" w:styleId="Cuerpodetextoindividual">
    <w:name w:val="Cuerpo de texto individual"/>
    <w:basedOn w:val="Normal"/>
    <w:pPr>
      <w:spacing w:after="120"/>
    </w:p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Cuerpodetextoindividual"/>
  </w:style>
  <w:style w:type="paragraph" w:customStyle="1" w:styleId="Rtulo">
    <w:name w:val="Rótulo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styleId="Piedepgina">
    <w:name w:val="footer"/>
    <w:basedOn w:val="Normal"/>
    <w:pPr>
      <w:suppressLineNumbers/>
      <w:tabs>
        <w:tab w:val="center" w:pos="4702"/>
        <w:tab w:val="right" w:pos="9405"/>
      </w:tabs>
    </w:pPr>
  </w:style>
  <w:style w:type="paragraph" w:customStyle="1" w:styleId="Contenidodelmarco">
    <w:name w:val="Contenido del marco"/>
    <w:basedOn w:val="Cuerpodetextoindividu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11378C-8E60-461B-9984-2FA424C1C2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248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[Código de Oficina]</vt:lpstr>
      <vt:lpstr>[Código de Oficina]</vt:lpstr>
    </vt:vector>
  </TitlesOfParts>
  <Company>Hewlett-Packard Company</Company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[Código de Oficina]</dc:title>
  <dc:subject/>
  <dc:creator>usuario</dc:creator>
  <cp:keywords/>
  <cp:lastModifiedBy>Kevin David Chavarro Erazo</cp:lastModifiedBy>
  <cp:revision>2</cp:revision>
  <cp:lastPrinted>2026-05-22T15:55:00Z</cp:lastPrinted>
  <dcterms:created xsi:type="dcterms:W3CDTF">2026-05-25T13:53:00Z</dcterms:created>
  <dcterms:modified xsi:type="dcterms:W3CDTF">2026-05-25T13:53:00Z</dcterms:modified>
</cp:coreProperties>
</file>