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10D585A" w14:textId="77777777" w:rsidR="00E40381" w:rsidRDefault="00E40381">
      <w:pPr>
        <w:rPr>
          <w:rFonts w:ascii="Arial" w:hAnsi="Arial" w:cs="Arial"/>
          <w:sz w:val="16"/>
          <w:szCs w:val="16"/>
        </w:rPr>
      </w:pPr>
    </w:p>
    <w:p w14:paraId="58034CF6" w14:textId="77777777" w:rsidR="00E40381" w:rsidRDefault="00E40381">
      <w:pPr>
        <w:rPr>
          <w:rFonts w:ascii="Arial" w:hAnsi="Arial" w:cs="Arial"/>
          <w:sz w:val="16"/>
          <w:szCs w:val="16"/>
        </w:rPr>
      </w:pPr>
    </w:p>
    <w:p w14:paraId="11AC5229" w14:textId="77777777" w:rsidR="00E40381" w:rsidRDefault="00E40381">
      <w:pPr>
        <w:rPr>
          <w:rFonts w:ascii="Arial" w:hAnsi="Arial" w:cs="Arial"/>
          <w:sz w:val="16"/>
          <w:szCs w:val="16"/>
        </w:rPr>
      </w:pPr>
    </w:p>
    <w:p w14:paraId="1AD8ABBD" w14:textId="77777777" w:rsidR="00E40381" w:rsidRDefault="00E40381">
      <w:pPr>
        <w:rPr>
          <w:rFonts w:ascii="Arial" w:hAnsi="Arial" w:cs="Arial"/>
          <w:sz w:val="16"/>
          <w:szCs w:val="16"/>
        </w:rPr>
      </w:pPr>
    </w:p>
    <w:p>
      <w:pPr>
        <w:jc w:val="center"/>
      </w:pPr>
      <w:r>
        <w:rPr>
          <w:rFonts w:ascii="Arial" w:hAnsi="Arial" w:cs="Arial" w:eastAsia="Arial"/>
          <w:b/>
          <w:i w:val="0"/>
          <w:color w:val="1F3A6A"/>
          <w:sz w:val="28"/>
        </w:rPr>
        <w:t>DOCUMENTACION TECNICA ADICIONAL - SISTEMA EVARISIS V6.9.9</w:t>
      </w:r>
    </w:p>
    <w:p/>
    <w:p>
      <w:r>
        <w:rPr>
          <w:rFonts w:ascii="Arial" w:hAnsi="Arial" w:cs="Arial" w:eastAsia="Arial"/>
          <w:b/>
          <w:i w:val="0"/>
          <w:color w:val="1F3A6A"/>
          <w:sz w:val="24"/>
        </w:rPr>
        <w:t>Control del documento</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702"/>
        <w:gridCol w:w="4702"/>
      </w:tblGrid>
      <w:tr>
        <w:tc>
          <w:tcPr>
            <w:tcW w:type="dxa" w:w="2835"/>
            <w:shd w:val="clear" w:color="auto" w:fill="D9E1F2"/>
            <w:vAlign w:val="center"/>
          </w:tcPr>
          <w:p>
            <w:pPr>
              <w:jc w:val="center"/>
            </w:pPr>
            <w:r>
              <w:rPr>
                <w:rFonts w:ascii="Arial" w:hAnsi="Arial" w:cs="Arial" w:eastAsia="Arial"/>
                <w:b/>
                <w:i w:val="0"/>
                <w:color w:val="000000"/>
                <w:sz w:val="21"/>
              </w:rPr>
              <w:t>Campo</w:t>
            </w:r>
          </w:p>
        </w:tc>
        <w:tc>
          <w:tcPr>
            <w:tcW w:type="dxa" w:w="6236"/>
            <w:shd w:val="clear" w:color="auto" w:fill="D9E1F2"/>
            <w:vAlign w:val="center"/>
          </w:tcPr>
          <w:p>
            <w:pPr>
              <w:jc w:val="center"/>
            </w:pPr>
            <w:r>
              <w:rPr>
                <w:rFonts w:ascii="Arial" w:hAnsi="Arial" w:cs="Arial" w:eastAsia="Arial"/>
                <w:b/>
                <w:i w:val="0"/>
                <w:color w:val="000000"/>
                <w:sz w:val="21"/>
              </w:rPr>
              <w:t>Detalle</w:t>
            </w:r>
          </w:p>
        </w:tc>
      </w:tr>
      <w:tr>
        <w:tc>
          <w:tcPr>
            <w:tcW w:type="dxa" w:w="2835"/>
            <w:vAlign w:val="center"/>
          </w:tcPr>
          <w:p>
            <w:pPr>
              <w:jc w:val="left"/>
            </w:pPr>
            <w:r>
              <w:rPr>
                <w:rFonts w:ascii="Arial" w:hAnsi="Arial" w:cs="Arial" w:eastAsia="Arial"/>
                <w:b w:val="0"/>
                <w:i w:val="0"/>
                <w:color w:val="000000"/>
                <w:sz w:val="21"/>
              </w:rPr>
              <w:t>Codigo del documento</w:t>
            </w:r>
          </w:p>
        </w:tc>
        <w:tc>
          <w:tcPr>
            <w:tcW w:type="dxa" w:w="6236"/>
            <w:vAlign w:val="center"/>
          </w:tcPr>
          <w:p>
            <w:pPr>
              <w:jc w:val="left"/>
            </w:pPr>
            <w:r>
              <w:rPr>
                <w:rFonts w:ascii="Arial" w:hAnsi="Arial" w:cs="Arial" w:eastAsia="Arial"/>
                <w:b w:val="0"/>
                <w:i w:val="0"/>
                <w:color w:val="000000"/>
                <w:sz w:val="21"/>
              </w:rPr>
              <w:t>EVA-TEC-002</w:t>
            </w:r>
          </w:p>
        </w:tc>
      </w:tr>
      <w:tr>
        <w:tc>
          <w:tcPr>
            <w:tcW w:type="dxa" w:w="2835"/>
            <w:vAlign w:val="center"/>
          </w:tcPr>
          <w:p>
            <w:pPr>
              <w:jc w:val="left"/>
            </w:pPr>
            <w:r>
              <w:rPr>
                <w:rFonts w:ascii="Arial" w:hAnsi="Arial" w:cs="Arial" w:eastAsia="Arial"/>
                <w:b w:val="0"/>
                <w:i w:val="0"/>
                <w:color w:val="000000"/>
                <w:sz w:val="21"/>
              </w:rPr>
              <w:t>Titulo</w:t>
            </w:r>
          </w:p>
        </w:tc>
        <w:tc>
          <w:tcPr>
            <w:tcW w:type="dxa" w:w="6236"/>
            <w:vAlign w:val="center"/>
          </w:tcPr>
          <w:p>
            <w:pPr>
              <w:jc w:val="left"/>
            </w:pPr>
            <w:r>
              <w:rPr>
                <w:rFonts w:ascii="Arial" w:hAnsi="Arial" w:cs="Arial" w:eastAsia="Arial"/>
                <w:b w:val="0"/>
                <w:i w:val="0"/>
                <w:color w:val="000000"/>
                <w:sz w:val="21"/>
              </w:rPr>
              <w:t>Documentacion Tecnica Adicional - Sistema EVARISIS V6.9.9</w:t>
            </w:r>
          </w:p>
        </w:tc>
      </w:tr>
      <w:tr>
        <w:tc>
          <w:tcPr>
            <w:tcW w:type="dxa" w:w="2835"/>
            <w:vAlign w:val="center"/>
          </w:tcPr>
          <w:p>
            <w:pPr>
              <w:jc w:val="left"/>
            </w:pPr>
            <w:r>
              <w:rPr>
                <w:rFonts w:ascii="Arial" w:hAnsi="Arial" w:cs="Arial" w:eastAsia="Arial"/>
                <w:b w:val="0"/>
                <w:i w:val="0"/>
                <w:color w:val="000000"/>
                <w:sz w:val="21"/>
              </w:rPr>
              <w:t>Version del sistema</w:t>
            </w:r>
          </w:p>
        </w:tc>
        <w:tc>
          <w:tcPr>
            <w:tcW w:type="dxa" w:w="6236"/>
            <w:vAlign w:val="center"/>
          </w:tcPr>
          <w:p>
            <w:pPr>
              <w:jc w:val="left"/>
            </w:pPr>
            <w:r>
              <w:rPr>
                <w:rFonts w:ascii="Arial" w:hAnsi="Arial" w:cs="Arial" w:eastAsia="Arial"/>
                <w:b w:val="0"/>
                <w:i w:val="0"/>
                <w:color w:val="000000"/>
                <w:sz w:val="21"/>
              </w:rPr>
              <w:t>V6.9.9</w:t>
            </w:r>
          </w:p>
        </w:tc>
      </w:tr>
      <w:tr>
        <w:tc>
          <w:tcPr>
            <w:tcW w:type="dxa" w:w="2835"/>
            <w:vAlign w:val="center"/>
          </w:tcPr>
          <w:p>
            <w:pPr>
              <w:jc w:val="left"/>
            </w:pPr>
            <w:r>
              <w:rPr>
                <w:rFonts w:ascii="Arial" w:hAnsi="Arial" w:cs="Arial" w:eastAsia="Arial"/>
                <w:b w:val="0"/>
                <w:i w:val="0"/>
                <w:color w:val="000000"/>
                <w:sz w:val="21"/>
              </w:rPr>
              <w:t>Version del documento</w:t>
            </w:r>
          </w:p>
        </w:tc>
        <w:tc>
          <w:tcPr>
            <w:tcW w:type="dxa" w:w="6236"/>
            <w:vAlign w:val="center"/>
          </w:tcPr>
          <w:p>
            <w:pPr>
              <w:jc w:val="left"/>
            </w:pPr>
            <w:r>
              <w:rPr>
                <w:rFonts w:ascii="Arial" w:hAnsi="Arial" w:cs="Arial" w:eastAsia="Arial"/>
                <w:b w:val="0"/>
                <w:i w:val="0"/>
                <w:color w:val="000000"/>
                <w:sz w:val="21"/>
              </w:rPr>
              <w:t>1.0</w:t>
            </w:r>
          </w:p>
        </w:tc>
      </w:tr>
      <w:tr>
        <w:tc>
          <w:tcPr>
            <w:tcW w:type="dxa" w:w="2835"/>
            <w:vAlign w:val="center"/>
          </w:tcPr>
          <w:p>
            <w:pPr>
              <w:jc w:val="left"/>
            </w:pPr>
            <w:r>
              <w:rPr>
                <w:rFonts w:ascii="Arial" w:hAnsi="Arial" w:cs="Arial" w:eastAsia="Arial"/>
                <w:b w:val="0"/>
                <w:i w:val="0"/>
                <w:color w:val="000000"/>
                <w:sz w:val="21"/>
              </w:rPr>
              <w:t>Fecha de emision</w:t>
            </w:r>
          </w:p>
        </w:tc>
        <w:tc>
          <w:tcPr>
            <w:tcW w:type="dxa" w:w="6236"/>
            <w:vAlign w:val="center"/>
          </w:tcPr>
          <w:p>
            <w:pPr>
              <w:jc w:val="left"/>
            </w:pPr>
            <w:r>
              <w:rPr>
                <w:rFonts w:ascii="Arial" w:hAnsi="Arial" w:cs="Arial" w:eastAsia="Arial"/>
                <w:b w:val="0"/>
                <w:i w:val="0"/>
                <w:color w:val="000000"/>
                <w:sz w:val="21"/>
              </w:rPr>
              <w:t>Mayo 2026</w:t>
            </w:r>
          </w:p>
        </w:tc>
      </w:tr>
      <w:tr>
        <w:tc>
          <w:tcPr>
            <w:tcW w:type="dxa" w:w="2835"/>
            <w:vAlign w:val="center"/>
          </w:tcPr>
          <w:p>
            <w:pPr>
              <w:jc w:val="left"/>
            </w:pPr>
            <w:r>
              <w:rPr>
                <w:rFonts w:ascii="Arial" w:hAnsi="Arial" w:cs="Arial" w:eastAsia="Arial"/>
                <w:b w:val="0"/>
                <w:i w:val="0"/>
                <w:color w:val="000000"/>
                <w:sz w:val="21"/>
              </w:rPr>
              <w:t>Estado</w:t>
            </w:r>
          </w:p>
        </w:tc>
        <w:tc>
          <w:tcPr>
            <w:tcW w:type="dxa" w:w="6236"/>
            <w:vAlign w:val="center"/>
          </w:tcPr>
          <w:p>
            <w:pPr>
              <w:jc w:val="left"/>
            </w:pPr>
            <w:r>
              <w:rPr>
                <w:rFonts w:ascii="Arial" w:hAnsi="Arial" w:cs="Arial" w:eastAsia="Arial"/>
                <w:b w:val="0"/>
                <w:i w:val="0"/>
                <w:color w:val="000000"/>
                <w:sz w:val="21"/>
              </w:rPr>
              <w:t>Vigente</w:t>
            </w:r>
          </w:p>
        </w:tc>
      </w:tr>
      <w:tr>
        <w:tc>
          <w:tcPr>
            <w:tcW w:type="dxa" w:w="2835"/>
            <w:vAlign w:val="center"/>
          </w:tcPr>
          <w:p>
            <w:pPr>
              <w:jc w:val="left"/>
            </w:pPr>
            <w:r>
              <w:rPr>
                <w:rFonts w:ascii="Arial" w:hAnsi="Arial" w:cs="Arial" w:eastAsia="Arial"/>
                <w:b w:val="0"/>
                <w:i w:val="0"/>
                <w:color w:val="000000"/>
                <w:sz w:val="21"/>
              </w:rPr>
              <w:t>Clasificacion</w:t>
            </w:r>
          </w:p>
        </w:tc>
        <w:tc>
          <w:tcPr>
            <w:tcW w:type="dxa" w:w="6236"/>
            <w:vAlign w:val="center"/>
          </w:tcPr>
          <w:p>
            <w:pPr>
              <w:jc w:val="left"/>
            </w:pPr>
            <w:r>
              <w:rPr>
                <w:rFonts w:ascii="Arial" w:hAnsi="Arial" w:cs="Arial" w:eastAsia="Arial"/>
                <w:b w:val="0"/>
                <w:i w:val="0"/>
                <w:color w:val="000000"/>
                <w:sz w:val="21"/>
              </w:rPr>
              <w:t>Uso interno HUV</w:t>
            </w:r>
          </w:p>
        </w:tc>
      </w:tr>
      <w:tr>
        <w:tc>
          <w:tcPr>
            <w:tcW w:type="dxa" w:w="2835"/>
            <w:vAlign w:val="center"/>
          </w:tcPr>
          <w:p>
            <w:pPr>
              <w:jc w:val="left"/>
            </w:pPr>
            <w:r>
              <w:rPr>
                <w:rFonts w:ascii="Arial" w:hAnsi="Arial" w:cs="Arial" w:eastAsia="Arial"/>
                <w:b w:val="0"/>
                <w:i w:val="0"/>
                <w:color w:val="000000"/>
                <w:sz w:val="21"/>
              </w:rPr>
              <w:t>Area responsable</w:t>
            </w:r>
          </w:p>
        </w:tc>
        <w:tc>
          <w:tcPr>
            <w:tcW w:type="dxa" w:w="6236"/>
            <w:vAlign w:val="center"/>
          </w:tcPr>
          <w:p>
            <w:pPr>
              <w:jc w:val="left"/>
            </w:pPr>
            <w:r>
              <w:rPr>
                <w:rFonts w:ascii="Arial" w:hAnsi="Arial" w:cs="Arial" w:eastAsia="Arial"/>
                <w:b w:val="0"/>
                <w:i w:val="0"/>
                <w:color w:val="000000"/>
                <w:sz w:val="21"/>
              </w:rPr>
              <w:t>Innovacion y Desarrollo</w:t>
            </w:r>
          </w:p>
        </w:tc>
      </w:tr>
    </w:tbl>
    <w:p/>
    <w:p>
      <w:pPr>
        <w:jc w:val="left"/>
      </w:pPr>
      <w:r>
        <w:rPr>
          <w:rFonts w:ascii="Arial" w:hAnsi="Arial" w:cs="Arial" w:eastAsia="Arial"/>
          <w:b/>
          <w:i w:val="0"/>
          <w:color w:val="1F3A6A"/>
          <w:sz w:val="28"/>
        </w:rPr>
        <w:t>1. Historico de versiones</w:t>
      </w:r>
    </w:p>
    <w:p>
      <w:pPr>
        <w:jc w:val="both"/>
      </w:pPr>
      <w:r>
        <w:rPr>
          <w:rFonts w:ascii="Arial" w:hAnsi="Arial" w:cs="Arial" w:eastAsia="Arial"/>
          <w:b w:val="0"/>
          <w:i w:val="0"/>
          <w:color w:val="000000"/>
          <w:sz w:val="22"/>
        </w:rPr>
        <w:t>El siguiente recorrido sintetiza la evolucion funcional y tecnica del aplicativo desde sus primeras iteraciones hasta la version actual V6.9.9. Cada hito refleja una decision tecnica significativa validada con el equipo clinico del Servicio de Patologia.</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702"/>
        <w:gridCol w:w="4702"/>
      </w:tblGrid>
      <w:tr>
        <w:tc>
          <w:tcPr>
            <w:tcW w:type="dxa" w:w="1984"/>
            <w:shd w:val="clear" w:color="auto" w:fill="D9E1F2"/>
            <w:vAlign w:val="center"/>
          </w:tcPr>
          <w:p>
            <w:pPr>
              <w:jc w:val="center"/>
            </w:pPr>
            <w:r>
              <w:rPr>
                <w:rFonts w:ascii="Arial" w:hAnsi="Arial" w:cs="Arial" w:eastAsia="Arial"/>
                <w:b/>
                <w:i w:val="0"/>
                <w:color w:val="000000"/>
                <w:sz w:val="21"/>
              </w:rPr>
              <w:t>Version</w:t>
            </w:r>
          </w:p>
        </w:tc>
        <w:tc>
          <w:tcPr>
            <w:tcW w:type="dxa" w:w="7087"/>
            <w:shd w:val="clear" w:color="auto" w:fill="D9E1F2"/>
            <w:vAlign w:val="center"/>
          </w:tcPr>
          <w:p>
            <w:pPr>
              <w:jc w:val="center"/>
            </w:pPr>
            <w:r>
              <w:rPr>
                <w:rFonts w:ascii="Arial" w:hAnsi="Arial" w:cs="Arial" w:eastAsia="Arial"/>
                <w:b/>
                <w:i w:val="0"/>
                <w:color w:val="000000"/>
                <w:sz w:val="21"/>
              </w:rPr>
              <w:t>Hito principal</w:t>
            </w:r>
          </w:p>
        </w:tc>
      </w:tr>
      <w:tr>
        <w:tc>
          <w:tcPr>
            <w:tcW w:type="dxa" w:w="1984"/>
            <w:vAlign w:val="center"/>
          </w:tcPr>
          <w:p>
            <w:pPr>
              <w:jc w:val="left"/>
            </w:pPr>
            <w:r>
              <w:rPr>
                <w:rFonts w:ascii="Arial" w:hAnsi="Arial" w:cs="Arial" w:eastAsia="Arial"/>
                <w:b w:val="0"/>
                <w:i w:val="0"/>
                <w:color w:val="000000"/>
                <w:sz w:val="21"/>
              </w:rPr>
              <w:t>V6.7.x</w:t>
            </w:r>
          </w:p>
        </w:tc>
        <w:tc>
          <w:tcPr>
            <w:tcW w:type="dxa" w:w="7087"/>
            <w:vAlign w:val="center"/>
          </w:tcPr>
          <w:p>
            <w:pPr>
              <w:jc w:val="left"/>
            </w:pPr>
            <w:r>
              <w:rPr>
                <w:rFonts w:ascii="Arial" w:hAnsi="Arial" w:cs="Arial" w:eastAsia="Arial"/>
                <w:b w:val="0"/>
                <w:i w:val="0"/>
                <w:color w:val="000000"/>
                <w:sz w:val="21"/>
              </w:rPr>
              <w:t>Prueba de concepto inicial. Extraccion de 3 campos (numero de caso, organo y diagnostico).</w:t>
            </w:r>
          </w:p>
        </w:tc>
      </w:tr>
      <w:tr>
        <w:tc>
          <w:tcPr>
            <w:tcW w:type="dxa" w:w="1984"/>
            <w:vAlign w:val="center"/>
          </w:tcPr>
          <w:p>
            <w:pPr>
              <w:jc w:val="left"/>
            </w:pPr>
            <w:r>
              <w:rPr>
                <w:rFonts w:ascii="Arial" w:hAnsi="Arial" w:cs="Arial" w:eastAsia="Arial"/>
                <w:b w:val="0"/>
                <w:i w:val="0"/>
                <w:color w:val="000000"/>
                <w:sz w:val="21"/>
              </w:rPr>
              <w:t>V6.8.0</w:t>
            </w:r>
          </w:p>
        </w:tc>
        <w:tc>
          <w:tcPr>
            <w:tcW w:type="dxa" w:w="7087"/>
            <w:vAlign w:val="center"/>
          </w:tcPr>
          <w:p>
            <w:pPr>
              <w:jc w:val="left"/>
            </w:pPr>
            <w:r>
              <w:rPr>
                <w:rFonts w:ascii="Arial" w:hAnsi="Arial" w:cs="Arial" w:eastAsia="Arial"/>
                <w:b w:val="0"/>
                <w:i w:val="0"/>
                <w:color w:val="000000"/>
                <w:sz w:val="21"/>
              </w:rPr>
              <w:t>Expansion del esquema a 184 campos cubriendo biomarcadores y datos administrativos.</w:t>
            </w:r>
          </w:p>
        </w:tc>
      </w:tr>
      <w:tr>
        <w:tc>
          <w:tcPr>
            <w:tcW w:type="dxa" w:w="1984"/>
            <w:vAlign w:val="center"/>
          </w:tcPr>
          <w:p>
            <w:pPr>
              <w:jc w:val="left"/>
            </w:pPr>
            <w:r>
              <w:rPr>
                <w:rFonts w:ascii="Arial" w:hAnsi="Arial" w:cs="Arial" w:eastAsia="Arial"/>
                <w:b w:val="0"/>
                <w:i w:val="0"/>
                <w:color w:val="000000"/>
                <w:sz w:val="21"/>
              </w:rPr>
              <w:t>V6.9.0</w:t>
            </w:r>
          </w:p>
        </w:tc>
        <w:tc>
          <w:tcPr>
            <w:tcW w:type="dxa" w:w="7087"/>
            <w:vAlign w:val="center"/>
          </w:tcPr>
          <w:p>
            <w:pPr>
              <w:jc w:val="left"/>
            </w:pPr>
            <w:r>
              <w:rPr>
                <w:rFonts w:ascii="Arial" w:hAnsi="Arial" w:cs="Arial" w:eastAsia="Arial"/>
                <w:b w:val="0"/>
                <w:i w:val="0"/>
                <w:color w:val="000000"/>
                <w:sz w:val="21"/>
              </w:rPr>
              <w:t>Migracion a arquitectura multi-usuario con MySQL sobre XAMPP.</w:t>
            </w:r>
          </w:p>
        </w:tc>
      </w:tr>
      <w:tr>
        <w:tc>
          <w:tcPr>
            <w:tcW w:type="dxa" w:w="1984"/>
            <w:vAlign w:val="center"/>
          </w:tcPr>
          <w:p>
            <w:pPr>
              <w:jc w:val="left"/>
            </w:pPr>
            <w:r>
              <w:rPr>
                <w:rFonts w:ascii="Arial" w:hAnsi="Arial" w:cs="Arial" w:eastAsia="Arial"/>
                <w:b w:val="0"/>
                <w:i w:val="0"/>
                <w:color w:val="000000"/>
                <w:sz w:val="21"/>
              </w:rPr>
              <w:t>V6.9.1 - V6.9.5</w:t>
            </w:r>
          </w:p>
        </w:tc>
        <w:tc>
          <w:tcPr>
            <w:tcW w:type="dxa" w:w="7087"/>
            <w:vAlign w:val="center"/>
          </w:tcPr>
          <w:p>
            <w:pPr>
              <w:jc w:val="left"/>
            </w:pPr>
            <w:r>
              <w:rPr>
                <w:rFonts w:ascii="Arial" w:hAnsi="Arial" w:cs="Arial" w:eastAsia="Arial"/>
                <w:b w:val="0"/>
                <w:i w:val="0"/>
                <w:color w:val="000000"/>
                <w:sz w:val="21"/>
              </w:rPr>
              <w:t>Mejoras en refresco en tiempo real del Dashboard y empaquetado distribuible con PyInstaller.</w:t>
            </w:r>
          </w:p>
        </w:tc>
      </w:tr>
      <w:tr>
        <w:tc>
          <w:tcPr>
            <w:tcW w:type="dxa" w:w="1984"/>
            <w:vAlign w:val="center"/>
          </w:tcPr>
          <w:p>
            <w:pPr>
              <w:jc w:val="left"/>
            </w:pPr>
            <w:r>
              <w:rPr>
                <w:rFonts w:ascii="Arial" w:hAnsi="Arial" w:cs="Arial" w:eastAsia="Arial"/>
                <w:b w:val="0"/>
                <w:i w:val="0"/>
                <w:color w:val="000000"/>
                <w:sz w:val="21"/>
              </w:rPr>
              <w:t>V6.9.6</w:t>
            </w:r>
          </w:p>
        </w:tc>
        <w:tc>
          <w:tcPr>
            <w:tcW w:type="dxa" w:w="7087"/>
            <w:vAlign w:val="center"/>
          </w:tcPr>
          <w:p>
            <w:pPr>
              <w:jc w:val="left"/>
            </w:pPr>
            <w:r>
              <w:rPr>
                <w:rFonts w:ascii="Arial" w:hAnsi="Arial" w:cs="Arial" w:eastAsia="Arial"/>
                <w:b w:val="0"/>
                <w:i w:val="0"/>
                <w:color w:val="000000"/>
                <w:sz w:val="21"/>
              </w:rPr>
              <w:t>Integracion experimental de Ollama como proveedor alternativo de inferencia.</w:t>
            </w:r>
          </w:p>
        </w:tc>
      </w:tr>
      <w:tr>
        <w:tc>
          <w:tcPr>
            <w:tcW w:type="dxa" w:w="1984"/>
            <w:vAlign w:val="center"/>
          </w:tcPr>
          <w:p>
            <w:pPr>
              <w:jc w:val="left"/>
            </w:pPr>
            <w:r>
              <w:rPr>
                <w:rFonts w:ascii="Arial" w:hAnsi="Arial" w:cs="Arial" w:eastAsia="Arial"/>
                <w:b w:val="0"/>
                <w:i w:val="0"/>
                <w:color w:val="000000"/>
                <w:sz w:val="21"/>
              </w:rPr>
              <w:t>V6.9.7</w:t>
            </w:r>
          </w:p>
        </w:tc>
        <w:tc>
          <w:tcPr>
            <w:tcW w:type="dxa" w:w="7087"/>
            <w:vAlign w:val="center"/>
          </w:tcPr>
          <w:p>
            <w:pPr>
              <w:jc w:val="left"/>
            </w:pPr>
            <w:r>
              <w:rPr>
                <w:rFonts w:ascii="Arial" w:hAnsi="Arial" w:cs="Arial" w:eastAsia="Arial"/>
                <w:b w:val="0"/>
                <w:i w:val="0"/>
                <w:color w:val="000000"/>
                <w:sz w:val="21"/>
              </w:rPr>
              <w:t>Correccion del mecanismo de deteccion de proveedor y ajuste de timeouts.</w:t>
            </w:r>
          </w:p>
        </w:tc>
      </w:tr>
      <w:tr>
        <w:tc>
          <w:tcPr>
            <w:tcW w:type="dxa" w:w="1984"/>
            <w:vAlign w:val="center"/>
          </w:tcPr>
          <w:p>
            <w:pPr>
              <w:jc w:val="left"/>
            </w:pPr>
            <w:r>
              <w:rPr>
                <w:rFonts w:ascii="Arial" w:hAnsi="Arial" w:cs="Arial" w:eastAsia="Arial"/>
                <w:b w:val="0"/>
                <w:i w:val="0"/>
                <w:color w:val="000000"/>
                <w:sz w:val="21"/>
              </w:rPr>
              <w:t>V6.9.8</w:t>
            </w:r>
          </w:p>
        </w:tc>
        <w:tc>
          <w:tcPr>
            <w:tcW w:type="dxa" w:w="7087"/>
            <w:vAlign w:val="center"/>
          </w:tcPr>
          <w:p>
            <w:pPr>
              <w:jc w:val="left"/>
            </w:pPr>
            <w:r>
              <w:rPr>
                <w:rFonts w:ascii="Arial" w:hAnsi="Arial" w:cs="Arial" w:eastAsia="Arial"/>
                <w:b w:val="0"/>
                <w:i w:val="0"/>
                <w:color w:val="000000"/>
                <w:sz w:val="21"/>
              </w:rPr>
              <w:t>Adopcion del parametro json_schema para forzar estructura de respuesta del LLM.</w:t>
            </w:r>
          </w:p>
        </w:tc>
      </w:tr>
      <w:tr>
        <w:tc>
          <w:tcPr>
            <w:tcW w:type="dxa" w:w="1984"/>
            <w:vAlign w:val="center"/>
          </w:tcPr>
          <w:p>
            <w:pPr>
              <w:jc w:val="left"/>
            </w:pPr>
            <w:r>
              <w:rPr>
                <w:rFonts w:ascii="Arial" w:hAnsi="Arial" w:cs="Arial" w:eastAsia="Arial"/>
                <w:b w:val="0"/>
                <w:i w:val="0"/>
                <w:color w:val="000000"/>
                <w:sz w:val="21"/>
              </w:rPr>
              <w:t>V6.9.9</w:t>
            </w:r>
          </w:p>
        </w:tc>
        <w:tc>
          <w:tcPr>
            <w:tcW w:type="dxa" w:w="7087"/>
            <w:vAlign w:val="center"/>
          </w:tcPr>
          <w:p>
            <w:pPr>
              <w:jc w:val="left"/>
            </w:pPr>
            <w:r>
              <w:rPr>
                <w:rFonts w:ascii="Arial" w:hAnsi="Arial" w:cs="Arial" w:eastAsia="Arial"/>
                <w:b w:val="0"/>
                <w:i w:val="0"/>
                <w:color w:val="000000"/>
                <w:sz w:val="21"/>
              </w:rPr>
              <w:t>Refuerzo del prompt para preservar diagnosticos no tumorales y reduccion de respuestas N/A.</w:t>
            </w:r>
          </w:p>
        </w:tc>
      </w:tr>
    </w:tbl>
    <w:p/>
    <w:p>
      <w:pPr>
        <w:jc w:val="left"/>
      </w:pPr>
      <w:r>
        <w:rPr>
          <w:rFonts w:ascii="Arial" w:hAnsi="Arial" w:cs="Arial" w:eastAsia="Arial"/>
          <w:b/>
          <w:i w:val="0"/>
          <w:color w:val="1F3A6A"/>
          <w:sz w:val="28"/>
        </w:rPr>
        <w:t>2. Decisiones de diseno relevantes</w:t>
      </w:r>
    </w:p>
    <w:p>
      <w:pPr>
        <w:jc w:val="both"/>
      </w:pPr>
      <w:r>
        <w:rPr>
          <w:rFonts w:ascii="Arial" w:hAnsi="Arial" w:cs="Arial" w:eastAsia="Arial"/>
          <w:b w:val="0"/>
          <w:i w:val="0"/>
          <w:color w:val="000000"/>
          <w:sz w:val="22"/>
        </w:rPr>
        <w:t>Las decisiones que se enumeran a continuacion explican el porque de la arquitectura actual y orientan futuras evoluciones.</w:t>
      </w:r>
    </w:p>
    <w:p>
      <w:r>
        <w:rPr>
          <w:rFonts w:ascii="Arial" w:hAnsi="Arial" w:cs="Arial" w:eastAsia="Arial"/>
          <w:b/>
          <w:i w:val="0"/>
          <w:color w:val="000000"/>
          <w:sz w:val="22"/>
        </w:rPr>
        <w:t>2.1 Por que un LLM local</w:t>
      </w:r>
    </w:p>
    <w:p>
      <w:pPr>
        <w:jc w:val="both"/>
      </w:pPr>
      <w:r>
        <w:rPr>
          <w:rFonts w:ascii="Arial" w:hAnsi="Arial" w:cs="Arial" w:eastAsia="Arial"/>
          <w:b w:val="0"/>
          <w:i w:val="0"/>
          <w:color w:val="000000"/>
          <w:sz w:val="22"/>
        </w:rPr>
        <w:t>La confidencialidad de la historia clinica del paciente es no negociable para el HUV. Toda alternativa basada en nube fue descartada por la imposibilidad de garantizar que los textos no salgan de la infraestructura institucional. La inferencia local ademas elimina la dependencia de conectividad externa y reduce costos recurrentes.</w:t>
      </w:r>
    </w:p>
    <w:p>
      <w:r>
        <w:rPr>
          <w:rFonts w:ascii="Arial" w:hAnsi="Arial" w:cs="Arial" w:eastAsia="Arial"/>
          <w:b/>
          <w:i w:val="0"/>
          <w:color w:val="000000"/>
          <w:sz w:val="22"/>
        </w:rPr>
        <w:t>2.2 Por que nvidia/nemotron-3-nano</w:t>
      </w:r>
    </w:p>
    <w:p>
      <w:pPr>
        <w:jc w:val="both"/>
      </w:pPr>
      <w:r>
        <w:rPr>
          <w:rFonts w:ascii="Arial" w:hAnsi="Arial" w:cs="Arial" w:eastAsia="Arial"/>
          <w:b w:val="0"/>
          <w:i w:val="0"/>
          <w:color w:val="000000"/>
          <w:sz w:val="22"/>
        </w:rPr>
        <w:t>Tras evaluar multiples modelos abiertos, nemotron-3-nano ofrecio el mejor balance entre tamano (corre en GPU de gama media), calidad en espanol clinico y soporte de salida estructurada con json_schema. Su capacidad de razonamiento extenso, aunque demanda mas tiempo, mejoro notablemente la cobertura de biomarcadores en informes complejos.</w:t>
      </w:r>
    </w:p>
    <w:p>
      <w:r>
        <w:rPr>
          <w:rFonts w:ascii="Arial" w:hAnsi="Arial" w:cs="Arial" w:eastAsia="Arial"/>
          <w:b/>
          <w:i w:val="0"/>
          <w:color w:val="000000"/>
          <w:sz w:val="22"/>
        </w:rPr>
        <w:t>2.3 Por que SQLite local + MySQL en red</w:t>
      </w:r>
    </w:p>
    <w:p>
      <w:pPr>
        <w:jc w:val="both"/>
      </w:pPr>
      <w:r>
        <w:rPr>
          <w:rFonts w:ascii="Arial" w:hAnsi="Arial" w:cs="Arial" w:eastAsia="Arial"/>
          <w:b w:val="0"/>
          <w:i w:val="0"/>
          <w:color w:val="000000"/>
          <w:sz w:val="22"/>
        </w:rPr>
        <w:t>SQLite garantiza arranque sin dependencias y permite operar en modo degradado si la red institucional sufre una interrupcion. MySQL/MariaDB sobre XAMPP habilita el trabajo concurrente desde varias estaciones del Servicio de Patologia y centraliza la informacion para reportes consolidados.</w:t>
      </w:r>
    </w:p>
    <w:p>
      <w:pPr>
        <w:jc w:val="left"/>
      </w:pPr>
      <w:r>
        <w:rPr>
          <w:rFonts w:ascii="Arial" w:hAnsi="Arial" w:cs="Arial" w:eastAsia="Arial"/>
          <w:b/>
          <w:i w:val="0"/>
          <w:color w:val="1F3A6A"/>
          <w:sz w:val="28"/>
        </w:rPr>
        <w:t>3. Modelos LLM evaluados</w:t>
      </w:r>
    </w:p>
    <w:p>
      <w:pPr>
        <w:jc w:val="both"/>
      </w:pPr>
      <w:r>
        <w:rPr>
          <w:rFonts w:ascii="Arial" w:hAnsi="Arial" w:cs="Arial" w:eastAsia="Arial"/>
          <w:b w:val="0"/>
          <w:i w:val="0"/>
          <w:color w:val="000000"/>
          <w:sz w:val="22"/>
        </w:rPr>
        <w:t>El siguiente cuadro sintetiza los modelos evaluados durante el proceso de seleccion del motor de inferencia.</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351"/>
        <w:gridCol w:w="2351"/>
        <w:gridCol w:w="2351"/>
        <w:gridCol w:w="2351"/>
      </w:tblGrid>
      <w:tr>
        <w:tc>
          <w:tcPr>
            <w:tcW w:type="dxa" w:w="1701"/>
            <w:shd w:val="clear" w:color="auto" w:fill="D9E1F2"/>
            <w:vAlign w:val="center"/>
          </w:tcPr>
          <w:p>
            <w:pPr>
              <w:jc w:val="center"/>
            </w:pPr>
            <w:r>
              <w:rPr>
                <w:rFonts w:ascii="Arial" w:hAnsi="Arial" w:cs="Arial" w:eastAsia="Arial"/>
                <w:b/>
                <w:i w:val="0"/>
                <w:color w:val="000000"/>
                <w:sz w:val="21"/>
              </w:rPr>
              <w:t>Modelo</w:t>
            </w:r>
          </w:p>
        </w:tc>
        <w:tc>
          <w:tcPr>
            <w:tcW w:type="dxa" w:w="1134"/>
            <w:shd w:val="clear" w:color="auto" w:fill="D9E1F2"/>
            <w:vAlign w:val="center"/>
          </w:tcPr>
          <w:p>
            <w:pPr>
              <w:jc w:val="center"/>
            </w:pPr>
            <w:r>
              <w:rPr>
                <w:rFonts w:ascii="Arial" w:hAnsi="Arial" w:cs="Arial" w:eastAsia="Arial"/>
                <w:b/>
                <w:i w:val="0"/>
                <w:color w:val="000000"/>
                <w:sz w:val="21"/>
              </w:rPr>
              <w:t>Tipo</w:t>
            </w:r>
          </w:p>
        </w:tc>
        <w:tc>
          <w:tcPr>
            <w:tcW w:type="dxa" w:w="3402"/>
            <w:shd w:val="clear" w:color="auto" w:fill="D9E1F2"/>
            <w:vAlign w:val="center"/>
          </w:tcPr>
          <w:p>
            <w:pPr>
              <w:jc w:val="center"/>
            </w:pPr>
            <w:r>
              <w:rPr>
                <w:rFonts w:ascii="Arial" w:hAnsi="Arial" w:cs="Arial" w:eastAsia="Arial"/>
                <w:b/>
                <w:i w:val="0"/>
                <w:color w:val="000000"/>
                <w:sz w:val="21"/>
              </w:rPr>
              <w:t>Resultado observado</w:t>
            </w:r>
          </w:p>
        </w:tc>
        <w:tc>
          <w:tcPr>
            <w:tcW w:type="dxa" w:w="2835"/>
            <w:shd w:val="clear" w:color="auto" w:fill="D9E1F2"/>
            <w:vAlign w:val="center"/>
          </w:tcPr>
          <w:p>
            <w:pPr>
              <w:jc w:val="center"/>
            </w:pPr>
            <w:r>
              <w:rPr>
                <w:rFonts w:ascii="Arial" w:hAnsi="Arial" w:cs="Arial" w:eastAsia="Arial"/>
                <w:b/>
                <w:i w:val="0"/>
                <w:color w:val="000000"/>
                <w:sz w:val="21"/>
              </w:rPr>
              <w:t>Decision</w:t>
            </w:r>
          </w:p>
        </w:tc>
      </w:tr>
      <w:tr>
        <w:tc>
          <w:tcPr>
            <w:tcW w:type="dxa" w:w="1701"/>
            <w:vAlign w:val="center"/>
          </w:tcPr>
          <w:p>
            <w:pPr>
              <w:jc w:val="left"/>
            </w:pPr>
            <w:r>
              <w:rPr>
                <w:rFonts w:ascii="Arial" w:hAnsi="Arial" w:cs="Arial" w:eastAsia="Arial"/>
                <w:b w:val="0"/>
                <w:i w:val="0"/>
                <w:color w:val="000000"/>
                <w:sz w:val="21"/>
              </w:rPr>
              <w:t>Qwen 14B</w:t>
            </w:r>
          </w:p>
        </w:tc>
        <w:tc>
          <w:tcPr>
            <w:tcW w:type="dxa" w:w="1134"/>
            <w:vAlign w:val="center"/>
          </w:tcPr>
          <w:p>
            <w:pPr>
              <w:jc w:val="left"/>
            </w:pPr>
            <w:r>
              <w:rPr>
                <w:rFonts w:ascii="Arial" w:hAnsi="Arial" w:cs="Arial" w:eastAsia="Arial"/>
                <w:b w:val="0"/>
                <w:i w:val="0"/>
                <w:color w:val="000000"/>
                <w:sz w:val="21"/>
              </w:rPr>
              <w:t>Local</w:t>
            </w:r>
          </w:p>
        </w:tc>
        <w:tc>
          <w:tcPr>
            <w:tcW w:type="dxa" w:w="3402"/>
            <w:vAlign w:val="center"/>
          </w:tcPr>
          <w:p>
            <w:pPr>
              <w:jc w:val="left"/>
            </w:pPr>
            <w:r>
              <w:rPr>
                <w:rFonts w:ascii="Arial" w:hAnsi="Arial" w:cs="Arial" w:eastAsia="Arial"/>
                <w:b w:val="0"/>
                <w:i w:val="0"/>
                <w:color w:val="000000"/>
                <w:sz w:val="21"/>
              </w:rPr>
              <w:t>Buena cobertura, latencia moderada.</w:t>
            </w:r>
          </w:p>
        </w:tc>
        <w:tc>
          <w:tcPr>
            <w:tcW w:type="dxa" w:w="2835"/>
            <w:vAlign w:val="center"/>
          </w:tcPr>
          <w:p>
            <w:pPr>
              <w:jc w:val="left"/>
            </w:pPr>
            <w:r>
              <w:rPr>
                <w:rFonts w:ascii="Arial" w:hAnsi="Arial" w:cs="Arial" w:eastAsia="Arial"/>
                <w:b w:val="0"/>
                <w:i w:val="0"/>
                <w:color w:val="000000"/>
                <w:sz w:val="21"/>
              </w:rPr>
              <w:t>Descartado por consumo de VRAM.</w:t>
            </w:r>
          </w:p>
        </w:tc>
      </w:tr>
      <w:tr>
        <w:tc>
          <w:tcPr>
            <w:tcW w:type="dxa" w:w="1701"/>
            <w:vAlign w:val="center"/>
          </w:tcPr>
          <w:p>
            <w:pPr>
              <w:jc w:val="left"/>
            </w:pPr>
            <w:r>
              <w:rPr>
                <w:rFonts w:ascii="Arial" w:hAnsi="Arial" w:cs="Arial" w:eastAsia="Arial"/>
                <w:b w:val="0"/>
                <w:i w:val="0"/>
                <w:color w:val="000000"/>
                <w:sz w:val="21"/>
              </w:rPr>
              <w:t>Qwen 32B</w:t>
            </w:r>
          </w:p>
        </w:tc>
        <w:tc>
          <w:tcPr>
            <w:tcW w:type="dxa" w:w="1134"/>
            <w:vAlign w:val="center"/>
          </w:tcPr>
          <w:p>
            <w:pPr>
              <w:jc w:val="left"/>
            </w:pPr>
            <w:r>
              <w:rPr>
                <w:rFonts w:ascii="Arial" w:hAnsi="Arial" w:cs="Arial" w:eastAsia="Arial"/>
                <w:b w:val="0"/>
                <w:i w:val="0"/>
                <w:color w:val="000000"/>
                <w:sz w:val="21"/>
              </w:rPr>
              <w:t>Local</w:t>
            </w:r>
          </w:p>
        </w:tc>
        <w:tc>
          <w:tcPr>
            <w:tcW w:type="dxa" w:w="3402"/>
            <w:vAlign w:val="center"/>
          </w:tcPr>
          <w:p>
            <w:pPr>
              <w:jc w:val="left"/>
            </w:pPr>
            <w:r>
              <w:rPr>
                <w:rFonts w:ascii="Arial" w:hAnsi="Arial" w:cs="Arial" w:eastAsia="Arial"/>
                <w:b w:val="0"/>
                <w:i w:val="0"/>
                <w:color w:val="000000"/>
                <w:sz w:val="21"/>
              </w:rPr>
              <w:t>Cobertura superior, requiere GPU alta.</w:t>
            </w:r>
          </w:p>
        </w:tc>
        <w:tc>
          <w:tcPr>
            <w:tcW w:type="dxa" w:w="2835"/>
            <w:vAlign w:val="center"/>
          </w:tcPr>
          <w:p>
            <w:pPr>
              <w:jc w:val="left"/>
            </w:pPr>
            <w:r>
              <w:rPr>
                <w:rFonts w:ascii="Arial" w:hAnsi="Arial" w:cs="Arial" w:eastAsia="Arial"/>
                <w:b w:val="0"/>
                <w:i w:val="0"/>
                <w:color w:val="000000"/>
                <w:sz w:val="21"/>
              </w:rPr>
              <w:t>Reservado para futuro despliegue centralizado.</w:t>
            </w:r>
          </w:p>
        </w:tc>
      </w:tr>
      <w:tr>
        <w:tc>
          <w:tcPr>
            <w:tcW w:type="dxa" w:w="1701"/>
            <w:vAlign w:val="center"/>
          </w:tcPr>
          <w:p>
            <w:pPr>
              <w:jc w:val="left"/>
            </w:pPr>
            <w:r>
              <w:rPr>
                <w:rFonts w:ascii="Arial" w:hAnsi="Arial" w:cs="Arial" w:eastAsia="Arial"/>
                <w:b w:val="0"/>
                <w:i w:val="0"/>
                <w:color w:val="000000"/>
                <w:sz w:val="21"/>
              </w:rPr>
              <w:t>Nemotron 3 Nano</w:t>
            </w:r>
          </w:p>
        </w:tc>
        <w:tc>
          <w:tcPr>
            <w:tcW w:type="dxa" w:w="1134"/>
            <w:vAlign w:val="center"/>
          </w:tcPr>
          <w:p>
            <w:pPr>
              <w:jc w:val="left"/>
            </w:pPr>
            <w:r>
              <w:rPr>
                <w:rFonts w:ascii="Arial" w:hAnsi="Arial" w:cs="Arial" w:eastAsia="Arial"/>
                <w:b w:val="0"/>
                <w:i w:val="0"/>
                <w:color w:val="000000"/>
                <w:sz w:val="21"/>
              </w:rPr>
              <w:t>Local</w:t>
            </w:r>
          </w:p>
        </w:tc>
        <w:tc>
          <w:tcPr>
            <w:tcW w:type="dxa" w:w="3402"/>
            <w:vAlign w:val="center"/>
          </w:tcPr>
          <w:p>
            <w:pPr>
              <w:jc w:val="left"/>
            </w:pPr>
            <w:r>
              <w:rPr>
                <w:rFonts w:ascii="Arial" w:hAnsi="Arial" w:cs="Arial" w:eastAsia="Arial"/>
                <w:b w:val="0"/>
                <w:i w:val="0"/>
                <w:color w:val="000000"/>
                <w:sz w:val="21"/>
              </w:rPr>
              <w:t>Excelente JSON estructurado y manejo de terminologia clinica.</w:t>
            </w:r>
          </w:p>
        </w:tc>
        <w:tc>
          <w:tcPr>
            <w:tcW w:type="dxa" w:w="2835"/>
            <w:vAlign w:val="center"/>
          </w:tcPr>
          <w:p>
            <w:pPr>
              <w:jc w:val="left"/>
            </w:pPr>
            <w:r>
              <w:rPr>
                <w:rFonts w:ascii="Arial" w:hAnsi="Arial" w:cs="Arial" w:eastAsia="Arial"/>
                <w:b w:val="0"/>
                <w:i w:val="0"/>
                <w:color w:val="000000"/>
                <w:sz w:val="21"/>
              </w:rPr>
              <w:t>Adoptado en V6.9.9.</w:t>
            </w:r>
          </w:p>
        </w:tc>
      </w:tr>
      <w:tr>
        <w:tc>
          <w:tcPr>
            <w:tcW w:type="dxa" w:w="1701"/>
            <w:vAlign w:val="center"/>
          </w:tcPr>
          <w:p>
            <w:pPr>
              <w:jc w:val="left"/>
            </w:pPr>
            <w:r>
              <w:rPr>
                <w:rFonts w:ascii="Arial" w:hAnsi="Arial" w:cs="Arial" w:eastAsia="Arial"/>
                <w:b w:val="0"/>
                <w:i w:val="0"/>
                <w:color w:val="000000"/>
                <w:sz w:val="21"/>
              </w:rPr>
              <w:t>gpt-oss</w:t>
            </w:r>
          </w:p>
        </w:tc>
        <w:tc>
          <w:tcPr>
            <w:tcW w:type="dxa" w:w="1134"/>
            <w:vAlign w:val="center"/>
          </w:tcPr>
          <w:p>
            <w:pPr>
              <w:jc w:val="left"/>
            </w:pPr>
            <w:r>
              <w:rPr>
                <w:rFonts w:ascii="Arial" w:hAnsi="Arial" w:cs="Arial" w:eastAsia="Arial"/>
                <w:b w:val="0"/>
                <w:i w:val="0"/>
                <w:color w:val="000000"/>
                <w:sz w:val="21"/>
              </w:rPr>
              <w:t>Local</w:t>
            </w:r>
          </w:p>
        </w:tc>
        <w:tc>
          <w:tcPr>
            <w:tcW w:type="dxa" w:w="3402"/>
            <w:vAlign w:val="center"/>
          </w:tcPr>
          <w:p>
            <w:pPr>
              <w:jc w:val="left"/>
            </w:pPr>
            <w:r>
              <w:rPr>
                <w:rFonts w:ascii="Arial" w:hAnsi="Arial" w:cs="Arial" w:eastAsia="Arial"/>
                <w:b w:val="0"/>
                <w:i w:val="0"/>
                <w:color w:val="000000"/>
                <w:sz w:val="21"/>
              </w:rPr>
              <w:t>Respuesta inconsistente con esquema json_schema.</w:t>
            </w:r>
          </w:p>
        </w:tc>
        <w:tc>
          <w:tcPr>
            <w:tcW w:type="dxa" w:w="2835"/>
            <w:vAlign w:val="center"/>
          </w:tcPr>
          <w:p>
            <w:pPr>
              <w:jc w:val="left"/>
            </w:pPr>
            <w:r>
              <w:rPr>
                <w:rFonts w:ascii="Arial" w:hAnsi="Arial" w:cs="Arial" w:eastAsia="Arial"/>
                <w:b w:val="0"/>
                <w:i w:val="0"/>
                <w:color w:val="000000"/>
                <w:sz w:val="21"/>
              </w:rPr>
              <w:t>Descartado.</w:t>
            </w:r>
          </w:p>
        </w:tc>
      </w:tr>
      <w:tr>
        <w:tc>
          <w:tcPr>
            <w:tcW w:type="dxa" w:w="1701"/>
            <w:vAlign w:val="center"/>
          </w:tcPr>
          <w:p>
            <w:pPr>
              <w:jc w:val="left"/>
            </w:pPr>
            <w:r>
              <w:rPr>
                <w:rFonts w:ascii="Arial" w:hAnsi="Arial" w:cs="Arial" w:eastAsia="Arial"/>
                <w:b w:val="0"/>
                <w:i w:val="0"/>
                <w:color w:val="000000"/>
                <w:sz w:val="21"/>
              </w:rPr>
              <w:t>MedGemma 4B</w:t>
            </w:r>
          </w:p>
        </w:tc>
        <w:tc>
          <w:tcPr>
            <w:tcW w:type="dxa" w:w="1134"/>
            <w:vAlign w:val="center"/>
          </w:tcPr>
          <w:p>
            <w:pPr>
              <w:jc w:val="left"/>
            </w:pPr>
            <w:r>
              <w:rPr>
                <w:rFonts w:ascii="Arial" w:hAnsi="Arial" w:cs="Arial" w:eastAsia="Arial"/>
                <w:b w:val="0"/>
                <w:i w:val="0"/>
                <w:color w:val="000000"/>
                <w:sz w:val="21"/>
              </w:rPr>
              <w:t>Local</w:t>
            </w:r>
          </w:p>
        </w:tc>
        <w:tc>
          <w:tcPr>
            <w:tcW w:type="dxa" w:w="3402"/>
            <w:vAlign w:val="center"/>
          </w:tcPr>
          <w:p>
            <w:pPr>
              <w:jc w:val="left"/>
            </w:pPr>
            <w:r>
              <w:rPr>
                <w:rFonts w:ascii="Arial" w:hAnsi="Arial" w:cs="Arial" w:eastAsia="Arial"/>
                <w:b w:val="0"/>
                <w:i w:val="0"/>
                <w:color w:val="000000"/>
                <w:sz w:val="21"/>
              </w:rPr>
              <w:t>Adecuado para tareas clinicas, debilidad en biomarcadores.</w:t>
            </w:r>
          </w:p>
        </w:tc>
        <w:tc>
          <w:tcPr>
            <w:tcW w:type="dxa" w:w="2835"/>
            <w:vAlign w:val="center"/>
          </w:tcPr>
          <w:p>
            <w:pPr>
              <w:jc w:val="left"/>
            </w:pPr>
            <w:r>
              <w:rPr>
                <w:rFonts w:ascii="Arial" w:hAnsi="Arial" w:cs="Arial" w:eastAsia="Arial"/>
                <w:b w:val="0"/>
                <w:i w:val="0"/>
                <w:color w:val="000000"/>
                <w:sz w:val="21"/>
              </w:rPr>
              <w:t>Postergado para evaluacion futura.</w:t>
            </w:r>
          </w:p>
        </w:tc>
      </w:tr>
      <w:tr>
        <w:tc>
          <w:tcPr>
            <w:tcW w:type="dxa" w:w="1701"/>
            <w:vAlign w:val="center"/>
          </w:tcPr>
          <w:p>
            <w:pPr>
              <w:jc w:val="left"/>
            </w:pPr>
            <w:r>
              <w:rPr>
                <w:rFonts w:ascii="Arial" w:hAnsi="Arial" w:cs="Arial" w:eastAsia="Arial"/>
                <w:b w:val="0"/>
                <w:i w:val="0"/>
                <w:color w:val="000000"/>
                <w:sz w:val="21"/>
              </w:rPr>
              <w:t>MedGemma 27B</w:t>
            </w:r>
          </w:p>
        </w:tc>
        <w:tc>
          <w:tcPr>
            <w:tcW w:type="dxa" w:w="1134"/>
            <w:vAlign w:val="center"/>
          </w:tcPr>
          <w:p>
            <w:pPr>
              <w:jc w:val="left"/>
            </w:pPr>
            <w:r>
              <w:rPr>
                <w:rFonts w:ascii="Arial" w:hAnsi="Arial" w:cs="Arial" w:eastAsia="Arial"/>
                <w:b w:val="0"/>
                <w:i w:val="0"/>
                <w:color w:val="000000"/>
                <w:sz w:val="21"/>
              </w:rPr>
              <w:t>Local</w:t>
            </w:r>
          </w:p>
        </w:tc>
        <w:tc>
          <w:tcPr>
            <w:tcW w:type="dxa" w:w="3402"/>
            <w:vAlign w:val="center"/>
          </w:tcPr>
          <w:p>
            <w:pPr>
              <w:jc w:val="left"/>
            </w:pPr>
            <w:r>
              <w:rPr>
                <w:rFonts w:ascii="Arial" w:hAnsi="Arial" w:cs="Arial" w:eastAsia="Arial"/>
                <w:b w:val="0"/>
                <w:i w:val="0"/>
                <w:color w:val="000000"/>
                <w:sz w:val="21"/>
              </w:rPr>
              <w:t>Requiere GPU superior a la disponible.</w:t>
            </w:r>
          </w:p>
        </w:tc>
        <w:tc>
          <w:tcPr>
            <w:tcW w:type="dxa" w:w="2835"/>
            <w:vAlign w:val="center"/>
          </w:tcPr>
          <w:p>
            <w:pPr>
              <w:jc w:val="left"/>
            </w:pPr>
            <w:r>
              <w:rPr>
                <w:rFonts w:ascii="Arial" w:hAnsi="Arial" w:cs="Arial" w:eastAsia="Arial"/>
                <w:b w:val="0"/>
                <w:i w:val="0"/>
                <w:color w:val="000000"/>
                <w:sz w:val="21"/>
              </w:rPr>
              <w:t>No factible en hardware actual.</w:t>
            </w:r>
          </w:p>
        </w:tc>
      </w:tr>
      <w:tr>
        <w:tc>
          <w:tcPr>
            <w:tcW w:type="dxa" w:w="1701"/>
            <w:vAlign w:val="center"/>
          </w:tcPr>
          <w:p>
            <w:pPr>
              <w:jc w:val="left"/>
            </w:pPr>
            <w:r>
              <w:rPr>
                <w:rFonts w:ascii="Arial" w:hAnsi="Arial" w:cs="Arial" w:eastAsia="Arial"/>
                <w:b w:val="0"/>
                <w:i w:val="0"/>
                <w:color w:val="000000"/>
                <w:sz w:val="21"/>
              </w:rPr>
              <w:t>DeepSeek (cloud)</w:t>
            </w:r>
          </w:p>
        </w:tc>
        <w:tc>
          <w:tcPr>
            <w:tcW w:type="dxa" w:w="1134"/>
            <w:vAlign w:val="center"/>
          </w:tcPr>
          <w:p>
            <w:pPr>
              <w:jc w:val="left"/>
            </w:pPr>
            <w:r>
              <w:rPr>
                <w:rFonts w:ascii="Arial" w:hAnsi="Arial" w:cs="Arial" w:eastAsia="Arial"/>
                <w:b w:val="0"/>
                <w:i w:val="0"/>
                <w:color w:val="000000"/>
                <w:sz w:val="21"/>
              </w:rPr>
              <w:t>Nube</w:t>
            </w:r>
          </w:p>
        </w:tc>
        <w:tc>
          <w:tcPr>
            <w:tcW w:type="dxa" w:w="3402"/>
            <w:vAlign w:val="center"/>
          </w:tcPr>
          <w:p>
            <w:pPr>
              <w:jc w:val="left"/>
            </w:pPr>
            <w:r>
              <w:rPr>
                <w:rFonts w:ascii="Arial" w:hAnsi="Arial" w:cs="Arial" w:eastAsia="Arial"/>
                <w:b w:val="0"/>
                <w:i w:val="0"/>
                <w:color w:val="000000"/>
                <w:sz w:val="21"/>
              </w:rPr>
              <w:t>Calidad alta pero no cumple politica de confidencialidad.</w:t>
            </w:r>
          </w:p>
        </w:tc>
        <w:tc>
          <w:tcPr>
            <w:tcW w:type="dxa" w:w="2835"/>
            <w:vAlign w:val="center"/>
          </w:tcPr>
          <w:p>
            <w:pPr>
              <w:jc w:val="left"/>
            </w:pPr>
            <w:r>
              <w:rPr>
                <w:rFonts w:ascii="Arial" w:hAnsi="Arial" w:cs="Arial" w:eastAsia="Arial"/>
                <w:b w:val="0"/>
                <w:i w:val="0"/>
                <w:color w:val="000000"/>
                <w:sz w:val="21"/>
              </w:rPr>
              <w:t>Descartado.</w:t>
            </w:r>
          </w:p>
        </w:tc>
      </w:tr>
    </w:tbl>
    <w:p/>
    <w:p>
      <w:pPr>
        <w:jc w:val="left"/>
      </w:pPr>
      <w:r>
        <w:rPr>
          <w:rFonts w:ascii="Arial" w:hAnsi="Arial" w:cs="Arial" w:eastAsia="Arial"/>
          <w:b/>
          <w:i w:val="0"/>
          <w:color w:val="1F3A6A"/>
          <w:sz w:val="28"/>
        </w:rPr>
        <w:t>4. Ingenieria de prompt y reglas anti-N/A</w:t>
      </w:r>
    </w:p>
    <w:p>
      <w:pPr>
        <w:jc w:val="both"/>
      </w:pPr>
      <w:r>
        <w:rPr>
          <w:rFonts w:ascii="Arial" w:hAnsi="Arial" w:cs="Arial" w:eastAsia="Arial"/>
          <w:b w:val="0"/>
          <w:i w:val="0"/>
          <w:color w:val="000000"/>
          <w:sz w:val="22"/>
        </w:rPr>
        <w:t>El prompt del sistema esta disenado para combinar el rol clinico, el esquema JSON estricto y reglas explicitas de comportamiento. La version V6.9.9 introdujo cinco reglas adicionales para reducir la frecuencia de respuestas 'N/A' en campos donde la informacion esta presente pero requiere inferencia ligera.</w:t>
      </w:r>
    </w:p>
    <w:p>
      <w:pPr>
        <w:ind w:left="340"/>
      </w:pPr>
      <w:r>
        <w:rPr>
          <w:rFonts w:ascii="Arial" w:hAnsi="Arial" w:cs="Arial" w:eastAsia="Arial"/>
          <w:b w:val="0"/>
          <w:i w:val="0"/>
          <w:color w:val="000000"/>
          <w:sz w:val="22"/>
        </w:rPr>
        <w:t>1.  Si el informe describe un hallazgo no tumoral, debe registrarse explicitamente y no marcarse como N/A.</w:t>
      </w:r>
    </w:p>
    <w:p>
      <w:pPr>
        <w:ind w:left="340"/>
      </w:pPr>
      <w:r>
        <w:rPr>
          <w:rFonts w:ascii="Arial" w:hAnsi="Arial" w:cs="Arial" w:eastAsia="Arial"/>
          <w:b w:val="0"/>
          <w:i w:val="0"/>
          <w:color w:val="000000"/>
          <w:sz w:val="22"/>
        </w:rPr>
        <w:t>2.  Las negaciones tipo 'no se observa' deben mapearse a valor estandarizado 'Negativo'.</w:t>
      </w:r>
    </w:p>
    <w:p>
      <w:pPr>
        <w:ind w:left="340"/>
      </w:pPr>
      <w:r>
        <w:rPr>
          <w:rFonts w:ascii="Arial" w:hAnsi="Arial" w:cs="Arial" w:eastAsia="Arial"/>
          <w:b w:val="0"/>
          <w:i w:val="0"/>
          <w:color w:val="000000"/>
          <w:sz w:val="22"/>
        </w:rPr>
        <w:t>3.  Cuando un biomarcador este mencionado sin porcentaje, debe registrarse el resultado cualitativo.</w:t>
      </w:r>
    </w:p>
    <w:p>
      <w:pPr>
        <w:ind w:left="340"/>
      </w:pPr>
      <w:r>
        <w:rPr>
          <w:rFonts w:ascii="Arial" w:hAnsi="Arial" w:cs="Arial" w:eastAsia="Arial"/>
          <w:b w:val="0"/>
          <w:i w:val="0"/>
          <w:color w:val="000000"/>
          <w:sz w:val="22"/>
        </w:rPr>
        <w:t>4.  Las observaciones del patologo en parrafo libre deben condensarse en el campo 'Observaciones' sin perdida clinica.</w:t>
      </w:r>
    </w:p>
    <w:p>
      <w:pPr>
        <w:ind w:left="340"/>
      </w:pPr>
      <w:r>
        <w:rPr>
          <w:rFonts w:ascii="Arial" w:hAnsi="Arial" w:cs="Arial" w:eastAsia="Arial"/>
          <w:b w:val="0"/>
          <w:i w:val="0"/>
          <w:color w:val="000000"/>
          <w:sz w:val="22"/>
        </w:rPr>
        <w:t>5.  Si dos diagnosticos coexisten, debe registrarse el principal en 'Diagnostico Principal' y el secundario en 'Diagnostico Secundario'.</w:t>
      </w:r>
    </w:p>
    <w:p>
      <w:pPr>
        <w:jc w:val="left"/>
      </w:pPr>
      <w:r>
        <w:rPr>
          <w:rFonts w:ascii="Arial" w:hAnsi="Arial" w:cs="Arial" w:eastAsia="Arial"/>
          <w:b/>
          <w:i w:val="0"/>
          <w:color w:val="1F3A6A"/>
          <w:sz w:val="28"/>
        </w:rPr>
        <w:t>5. Tests de regresion y casos de referencia</w:t>
      </w:r>
    </w:p>
    <w:p>
      <w:pPr>
        <w:jc w:val="both"/>
      </w:pPr>
      <w:r>
        <w:rPr>
          <w:rFonts w:ascii="Arial" w:hAnsi="Arial" w:cs="Arial" w:eastAsia="Arial"/>
          <w:b w:val="0"/>
          <w:i w:val="0"/>
          <w:color w:val="000000"/>
          <w:sz w:val="22"/>
        </w:rPr>
        <w:t>Cada vez que se modifica un extractor o el prompt, se ejecuta un lote de regresion sobre casos de referencia previamente validados. El criterio es estricto: si cualquier caso de referencia baja su score, el cambio se revierte automaticamente.</w:t>
      </w:r>
    </w:p>
    <w:p>
      <w:pPr>
        <w:ind w:left="340"/>
      </w:pPr>
      <w:r>
        <w:rPr>
          <w:rFonts w:ascii="Arial" w:hAnsi="Arial" w:cs="Arial" w:eastAsia="Arial"/>
          <w:b w:val="0"/>
          <w:i w:val="0"/>
          <w:color w:val="000000"/>
          <w:sz w:val="22"/>
        </w:rPr>
        <w:t>-  Patron 'no presentan perdida': IHQ250133, IHQ250159.</w:t>
      </w:r>
    </w:p>
    <w:p>
      <w:pPr>
        <w:ind w:left="340"/>
      </w:pPr>
      <w:r>
        <w:rPr>
          <w:rFonts w:ascii="Arial" w:hAnsi="Arial" w:cs="Arial" w:eastAsia="Arial"/>
          <w:b w:val="0"/>
          <w:i w:val="0"/>
          <w:color w:val="000000"/>
          <w:sz w:val="22"/>
        </w:rPr>
        <w:t>-  Patron 'expresion positiva para': IHQ250035.</w:t>
      </w:r>
    </w:p>
    <w:p>
      <w:pPr>
        <w:ind w:left="340"/>
      </w:pPr>
      <w:r>
        <w:rPr>
          <w:rFonts w:ascii="Arial" w:hAnsi="Arial" w:cs="Arial" w:eastAsia="Arial"/>
          <w:b w:val="0"/>
          <w:i w:val="0"/>
          <w:color w:val="000000"/>
          <w:sz w:val="22"/>
        </w:rPr>
        <w:t>-  Patron 'negativo para': IHQ250127.</w:t>
      </w:r>
    </w:p>
    <w:p>
      <w:pPr>
        <w:ind w:left="340"/>
      </w:pPr>
      <w:r>
        <w:rPr>
          <w:rFonts w:ascii="Arial" w:hAnsi="Arial" w:cs="Arial" w:eastAsia="Arial"/>
          <w:b w:val="0"/>
          <w:i w:val="0"/>
          <w:color w:val="000000"/>
          <w:sz w:val="16"/>
        </w:rPr>
        <w:t>Reviso:</w:t>
        <w:tab/>
        <w:t>Innovacion y Desarrollo</w:t>
      </w:r>
    </w:p>
    <w:p>
      <w:pPr>
        <w:jc w:val="left"/>
      </w:pPr>
      <w:r>
        <w:rPr>
          <w:rFonts w:ascii="Arial" w:hAnsi="Arial" w:cs="Arial" w:eastAsia="Arial"/>
          <w:b/>
          <w:i w:val="0"/>
          <w:color w:val="1F3A6A"/>
          <w:sz w:val="28"/>
        </w:rPr>
        <w:t>6. Limitaciones conocidas</w:t>
      </w:r>
    </w:p>
    <w:p>
      <w:pPr>
        <w:ind w:left="340"/>
      </w:pPr>
      <w:r>
        <w:rPr>
          <w:rFonts w:ascii="Arial" w:hAnsi="Arial" w:cs="Arial" w:eastAsia="Arial"/>
          <w:b w:val="0"/>
          <w:i w:val="0"/>
          <w:color w:val="000000"/>
          <w:sz w:val="22"/>
        </w:rPr>
        <w:t>-  Velocidad: nemotron-3-nano puede tomar varios minutos por chunk complejo debido a su reasoning_content extendido.</w:t>
      </w:r>
    </w:p>
    <w:p>
      <w:pPr>
        <w:ind w:left="340"/>
      </w:pPr>
      <w:r>
        <w:rPr>
          <w:rFonts w:ascii="Arial" w:hAnsi="Arial" w:cs="Arial" w:eastAsia="Arial"/>
          <w:b w:val="0"/>
          <w:i w:val="0"/>
          <w:color w:val="000000"/>
          <w:sz w:val="22"/>
        </w:rPr>
        <w:t>-  Casos extrainstitucionales: PDFs sin formato HUV requieren validacion manual mayor.</w:t>
      </w:r>
    </w:p>
    <w:p>
      <w:pPr>
        <w:ind w:left="340"/>
      </w:pPr>
      <w:r>
        <w:rPr>
          <w:rFonts w:ascii="Arial" w:hAnsi="Arial" w:cs="Arial" w:eastAsia="Arial"/>
          <w:b w:val="0"/>
          <w:i w:val="0"/>
          <w:color w:val="000000"/>
          <w:sz w:val="22"/>
        </w:rPr>
        <w:t>-  Imagenes embebidas: las microfotografias no se procesan; el OCR se limita al texto.</w:t>
      </w:r>
    </w:p>
    <w:p>
      <w:pPr>
        <w:ind w:left="340"/>
      </w:pPr>
      <w:r>
        <w:rPr>
          <w:rFonts w:ascii="Arial" w:hAnsi="Arial" w:cs="Arial" w:eastAsia="Arial"/>
          <w:b w:val="0"/>
          <w:i w:val="0"/>
          <w:color w:val="000000"/>
          <w:sz w:val="22"/>
        </w:rPr>
        <w:t>-  Dependencia de hardware GPU: estaciones sin GPU dedicada operan en CPU con tiempos significativamente mayores.</w:t>
      </w:r>
    </w:p>
    <w:p>
      <w:pPr>
        <w:jc w:val="left"/>
      </w:pPr>
      <w:r>
        <w:rPr>
          <w:rFonts w:ascii="Arial" w:hAnsi="Arial" w:cs="Arial" w:eastAsia="Arial"/>
          <w:b/>
          <w:i w:val="0"/>
          <w:color w:val="1F3A6A"/>
          <w:sz w:val="28"/>
        </w:rPr>
        <w:t>7. Hallazgos tecnicos colaterales</w:t>
      </w:r>
    </w:p>
    <w:p>
      <w:pPr>
        <w:ind w:left="340"/>
      </w:pPr>
      <w:r>
        <w:rPr>
          <w:rFonts w:ascii="Arial" w:hAnsi="Arial" w:cs="Arial" w:eastAsia="Arial"/>
          <w:b w:val="0"/>
          <w:i w:val="0"/>
          <w:color w:val="000000"/>
          <w:sz w:val="22"/>
        </w:rPr>
        <w:t>-  reasoning_content: el modelo nemotron expone su cadena de razonamiento separada del content; el aplicativo la descarta antes de persistir.</w:t>
      </w:r>
    </w:p>
    <w:p>
      <w:pPr>
        <w:ind w:left="340"/>
      </w:pPr>
      <w:r>
        <w:rPr>
          <w:rFonts w:ascii="Arial" w:hAnsi="Arial" w:cs="Arial" w:eastAsia="Arial"/>
          <w:b w:val="0"/>
          <w:i w:val="0"/>
          <w:color w:val="000000"/>
          <w:sz w:val="22"/>
        </w:rPr>
        <w:t>-  Race condition: detectada en el refresco del Dashboard cuando se procesan lotes muy grandes; mitigada con bloqueo de UI.</w:t>
      </w:r>
    </w:p>
    <w:p>
      <w:pPr>
        <w:ind w:left="340"/>
      </w:pPr>
      <w:r>
        <w:rPr>
          <w:rFonts w:ascii="Arial" w:hAnsi="Arial" w:cs="Arial" w:eastAsia="Arial"/>
          <w:b w:val="0"/>
          <w:i w:val="0"/>
          <w:color w:val="000000"/>
          <w:sz w:val="22"/>
        </w:rPr>
        <w:t>-  Encoding ANSI vs UTF-8: corregido en el lector de config.ini para garantizar lectura uniforme.</w:t>
      </w:r>
    </w:p>
    <w:p>
      <w:pPr>
        <w:ind w:left="340"/>
      </w:pPr>
      <w:r>
        <w:rPr>
          <w:rFonts w:ascii="Arial" w:hAnsi="Arial" w:cs="Arial" w:eastAsia="Arial"/>
          <w:b w:val="0"/>
          <w:i w:val="0"/>
          <w:color w:val="000000"/>
          <w:sz w:val="22"/>
        </w:rPr>
        <w:t>-  Memoria: el procesamiento de PDFs muy grandes se segmenta por paginas para evitar saturacion de memoria.</w:t>
      </w:r>
    </w:p>
    <w:p>
      <w:pPr>
        <w:jc w:val="left"/>
      </w:pPr>
      <w:r>
        <w:rPr>
          <w:rFonts w:ascii="Arial" w:hAnsi="Arial" w:cs="Arial" w:eastAsia="Arial"/>
          <w:b/>
          <w:i w:val="0"/>
          <w:color w:val="1F3A6A"/>
          <w:sz w:val="28"/>
        </w:rPr>
        <w:t>8. Roadmap futuro propuesto</w:t>
      </w:r>
    </w:p>
    <w:p>
      <w:pPr>
        <w:ind w:left="340"/>
      </w:pPr>
      <w:r>
        <w:rPr>
          <w:rFonts w:ascii="Arial" w:hAnsi="Arial" w:cs="Arial" w:eastAsia="Arial"/>
          <w:b w:val="0"/>
          <w:i w:val="0"/>
          <w:color w:val="000000"/>
          <w:sz w:val="22"/>
        </w:rPr>
        <w:t>1.  Pipeline hibrido: combinar extractores deterministas con LLM para campos administrativos rigidos.</w:t>
      </w:r>
    </w:p>
    <w:p>
      <w:pPr>
        <w:ind w:left="340"/>
      </w:pPr>
      <w:r>
        <w:rPr>
          <w:rFonts w:ascii="Arial" w:hAnsi="Arial" w:cs="Arial" w:eastAsia="Arial"/>
          <w:b w:val="0"/>
          <w:i w:val="0"/>
          <w:color w:val="000000"/>
          <w:sz w:val="22"/>
        </w:rPr>
        <w:t>2.  Optimizacion del prompt: separar prompts por categoria de biomarcador para reducir tokens.</w:t>
      </w:r>
    </w:p>
    <w:p>
      <w:pPr>
        <w:ind w:left="340"/>
      </w:pPr>
      <w:r>
        <w:rPr>
          <w:rFonts w:ascii="Arial" w:hAnsi="Arial" w:cs="Arial" w:eastAsia="Arial"/>
          <w:b w:val="0"/>
          <w:i w:val="0"/>
          <w:color w:val="000000"/>
          <w:sz w:val="22"/>
        </w:rPr>
        <w:t>3.  Dashboard analitico: incorporar series temporales por organo y biomarcador.</w:t>
      </w:r>
    </w:p>
    <w:p>
      <w:pPr>
        <w:ind w:left="340"/>
      </w:pPr>
      <w:r>
        <w:rPr>
          <w:rFonts w:ascii="Arial" w:hAnsi="Arial" w:cs="Arial" w:eastAsia="Arial"/>
          <w:b w:val="0"/>
          <w:i w:val="0"/>
          <w:color w:val="000000"/>
          <w:sz w:val="22"/>
        </w:rPr>
        <w:t>4.  Integracion HIS: explorar interoperabilidad con el HIS del HUV via HL7 o FHIR.</w:t>
      </w:r>
    </w:p>
    <w:p>
      <w:pPr>
        <w:ind w:left="340"/>
      </w:pPr>
      <w:r>
        <w:rPr>
          <w:rFonts w:ascii="Arial" w:hAnsi="Arial" w:cs="Arial" w:eastAsia="Arial"/>
          <w:b w:val="0"/>
          <w:i w:val="0"/>
          <w:color w:val="000000"/>
          <w:sz w:val="16"/>
        </w:rPr>
        <w:t>Reviso:</w:t>
        <w:tab/>
        <w:t>Innovacion y Desarrollo</w:t>
      </w:r>
    </w:p>
    <w:p>
      <w:pPr>
        <w:jc w:val="left"/>
      </w:pPr>
      <w:r>
        <w:rPr>
          <w:rFonts w:ascii="Arial" w:hAnsi="Arial" w:cs="Arial" w:eastAsia="Arial"/>
          <w:b/>
          <w:i w:val="0"/>
          <w:color w:val="1F3A6A"/>
          <w:sz w:val="28"/>
        </w:rPr>
        <w:t>9. Referencias y enlaces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702"/>
        <w:gridCol w:w="4702"/>
      </w:tblGrid>
      <w:tr>
        <w:tc>
          <w:tcPr>
            <w:tcW w:type="dxa" w:w="3118"/>
            <w:shd w:val="clear" w:color="auto" w:fill="D9E1F2"/>
            <w:vAlign w:val="center"/>
          </w:tcPr>
          <w:p>
            <w:pPr>
              <w:jc w:val="center"/>
            </w:pPr>
            <w:r>
              <w:rPr>
                <w:rFonts w:ascii="Arial" w:hAnsi="Arial" w:cs="Arial" w:eastAsia="Arial"/>
                <w:b/>
                <w:i w:val="0"/>
                <w:color w:val="000000"/>
                <w:sz w:val="21"/>
              </w:rPr>
              <w:t>Recurso</w:t>
            </w:r>
          </w:p>
        </w:tc>
        <w:tc>
          <w:tcPr>
            <w:tcW w:type="dxa" w:w="5953"/>
            <w:shd w:val="clear" w:color="auto" w:fill="D9E1F2"/>
            <w:vAlign w:val="center"/>
          </w:tcPr>
          <w:p>
            <w:pPr>
              <w:jc w:val="center"/>
            </w:pPr>
            <w:r>
              <w:rPr>
                <w:rFonts w:ascii="Arial" w:hAnsi="Arial" w:cs="Arial" w:eastAsia="Arial"/>
                <w:b/>
                <w:i w:val="0"/>
                <w:color w:val="000000"/>
                <w:sz w:val="21"/>
              </w:rPr>
              <w:t>Ubicacion / Descripcion</w:t>
            </w:r>
          </w:p>
        </w:tc>
      </w:tr>
      <w:tr>
        <w:tc>
          <w:tcPr>
            <w:tcW w:type="dxa" w:w="3118"/>
            <w:vAlign w:val="center"/>
          </w:tcPr>
          <w:p>
            <w:pPr>
              <w:jc w:val="left"/>
            </w:pPr>
            <w:r>
              <w:rPr>
                <w:rFonts w:ascii="Arial" w:hAnsi="Arial" w:cs="Arial" w:eastAsia="Arial"/>
                <w:b w:val="0"/>
                <w:i w:val="0"/>
                <w:color w:val="000000"/>
                <w:sz w:val="21"/>
              </w:rPr>
              <w:t>Documentacion oficial del proyecto</w:t>
            </w:r>
          </w:p>
        </w:tc>
        <w:tc>
          <w:tcPr>
            <w:tcW w:type="dxa" w:w="5953"/>
            <w:vAlign w:val="center"/>
          </w:tcPr>
          <w:p>
            <w:pPr>
              <w:jc w:val="left"/>
            </w:pPr>
            <w:r>
              <w:rPr>
                <w:rFonts w:ascii="Arial" w:hAnsi="Arial" w:cs="Arial" w:eastAsia="Arial"/>
                <w:b w:val="0"/>
                <w:i w:val="0"/>
                <w:color w:val="000000"/>
                <w:sz w:val="21"/>
              </w:rPr>
              <w:t>documentacion/INFORME_GLOBAL_PROYECTO.md</w:t>
            </w:r>
          </w:p>
        </w:tc>
      </w:tr>
      <w:tr>
        <w:tc>
          <w:tcPr>
            <w:tcW w:type="dxa" w:w="3118"/>
            <w:vAlign w:val="center"/>
          </w:tcPr>
          <w:p>
            <w:pPr>
              <w:jc w:val="left"/>
            </w:pPr>
            <w:r>
              <w:rPr>
                <w:rFonts w:ascii="Arial" w:hAnsi="Arial" w:cs="Arial" w:eastAsia="Arial"/>
                <w:b w:val="0"/>
                <w:i w:val="0"/>
                <w:color w:val="000000"/>
                <w:sz w:val="21"/>
              </w:rPr>
              <w:t>CHANGELOG del programa</w:t>
            </w:r>
          </w:p>
        </w:tc>
        <w:tc>
          <w:tcPr>
            <w:tcW w:type="dxa" w:w="5953"/>
            <w:vAlign w:val="center"/>
          </w:tcPr>
          <w:p>
            <w:pPr>
              <w:jc w:val="left"/>
            </w:pPr>
            <w:r>
              <w:rPr>
                <w:rFonts w:ascii="Arial" w:hAnsi="Arial" w:cs="Arial" w:eastAsia="Arial"/>
                <w:b w:val="0"/>
                <w:i w:val="0"/>
                <w:color w:val="000000"/>
                <w:sz w:val="21"/>
              </w:rPr>
              <w:t>documentacion/CHANGELOG.md</w:t>
            </w:r>
          </w:p>
        </w:tc>
      </w:tr>
      <w:tr>
        <w:tc>
          <w:tcPr>
            <w:tcW w:type="dxa" w:w="3118"/>
            <w:vAlign w:val="center"/>
          </w:tcPr>
          <w:p>
            <w:pPr>
              <w:jc w:val="left"/>
            </w:pPr>
            <w:r>
              <w:rPr>
                <w:rFonts w:ascii="Arial" w:hAnsi="Arial" w:cs="Arial" w:eastAsia="Arial"/>
                <w:b w:val="0"/>
                <w:i w:val="0"/>
                <w:color w:val="000000"/>
                <w:sz w:val="21"/>
              </w:rPr>
              <w:t>CHANGELOG de IA / agentes</w:t>
            </w:r>
          </w:p>
        </w:tc>
        <w:tc>
          <w:tcPr>
            <w:tcW w:type="dxa" w:w="5953"/>
            <w:vAlign w:val="center"/>
          </w:tcPr>
          <w:p>
            <w:pPr>
              <w:jc w:val="left"/>
            </w:pPr>
            <w:r>
              <w:rPr>
                <w:rFonts w:ascii="Arial" w:hAnsi="Arial" w:cs="Arial" w:eastAsia="Arial"/>
                <w:b w:val="0"/>
                <w:i w:val="0"/>
                <w:color w:val="000000"/>
                <w:sz w:val="21"/>
              </w:rPr>
              <w:t>documentacion/CHANGELOG_CLAUDE.md</w:t>
            </w:r>
          </w:p>
        </w:tc>
      </w:tr>
      <w:tr>
        <w:tc>
          <w:tcPr>
            <w:tcW w:type="dxa" w:w="3118"/>
            <w:vAlign w:val="center"/>
          </w:tcPr>
          <w:p>
            <w:pPr>
              <w:jc w:val="left"/>
            </w:pPr>
            <w:r>
              <w:rPr>
                <w:rFonts w:ascii="Arial" w:hAnsi="Arial" w:cs="Arial" w:eastAsia="Arial"/>
                <w:b w:val="0"/>
                <w:i w:val="0"/>
                <w:color w:val="000000"/>
                <w:sz w:val="21"/>
              </w:rPr>
              <w:t>Bitacora de acercamientos</w:t>
            </w:r>
          </w:p>
        </w:tc>
        <w:tc>
          <w:tcPr>
            <w:tcW w:type="dxa" w:w="5953"/>
            <w:vAlign w:val="center"/>
          </w:tcPr>
          <w:p>
            <w:pPr>
              <w:jc w:val="left"/>
            </w:pPr>
            <w:r>
              <w:rPr>
                <w:rFonts w:ascii="Arial" w:hAnsi="Arial" w:cs="Arial" w:eastAsia="Arial"/>
                <w:b w:val="0"/>
                <w:i w:val="0"/>
                <w:color w:val="000000"/>
                <w:sz w:val="21"/>
              </w:rPr>
              <w:t>documentacion/BITACORA_DE_ACERCAMIENTOS.md</w:t>
            </w:r>
          </w:p>
        </w:tc>
      </w:tr>
      <w:tr>
        <w:tc>
          <w:tcPr>
            <w:tcW w:type="dxa" w:w="3118"/>
            <w:vAlign w:val="center"/>
          </w:tcPr>
          <w:p>
            <w:pPr>
              <w:jc w:val="left"/>
            </w:pPr>
            <w:r>
              <w:rPr>
                <w:rFonts w:ascii="Arial" w:hAnsi="Arial" w:cs="Arial" w:eastAsia="Arial"/>
                <w:b w:val="0"/>
                <w:i w:val="0"/>
                <w:color w:val="000000"/>
                <w:sz w:val="21"/>
              </w:rPr>
              <w:t>Manual de Tesseract</w:t>
            </w:r>
          </w:p>
        </w:tc>
        <w:tc>
          <w:tcPr>
            <w:tcW w:type="dxa" w:w="5953"/>
            <w:vAlign w:val="center"/>
          </w:tcPr>
          <w:p>
            <w:pPr>
              <w:jc w:val="left"/>
            </w:pPr>
            <w:r>
              <w:rPr>
                <w:rFonts w:ascii="Arial" w:hAnsi="Arial" w:cs="Arial" w:eastAsia="Arial"/>
                <w:b w:val="0"/>
                <w:i w:val="0"/>
                <w:color w:val="000000"/>
                <w:sz w:val="21"/>
              </w:rPr>
              <w:t>https://github.com/tesseract-ocr/tesseract</w:t>
            </w:r>
          </w:p>
        </w:tc>
      </w:tr>
      <w:tr>
        <w:tc>
          <w:tcPr>
            <w:tcW w:type="dxa" w:w="3118"/>
            <w:vAlign w:val="center"/>
          </w:tcPr>
          <w:p>
            <w:pPr>
              <w:jc w:val="left"/>
            </w:pPr>
            <w:r>
              <w:rPr>
                <w:rFonts w:ascii="Arial" w:hAnsi="Arial" w:cs="Arial" w:eastAsia="Arial"/>
                <w:b w:val="0"/>
                <w:i w:val="0"/>
                <w:color w:val="000000"/>
                <w:sz w:val="21"/>
              </w:rPr>
              <w:t>Documentacion LM Studio</w:t>
            </w:r>
          </w:p>
        </w:tc>
        <w:tc>
          <w:tcPr>
            <w:tcW w:type="dxa" w:w="5953"/>
            <w:vAlign w:val="center"/>
          </w:tcPr>
          <w:p>
            <w:pPr>
              <w:jc w:val="left"/>
            </w:pPr>
            <w:r>
              <w:rPr>
                <w:rFonts w:ascii="Arial" w:hAnsi="Arial" w:cs="Arial" w:eastAsia="Arial"/>
                <w:b w:val="0"/>
                <w:i w:val="0"/>
                <w:color w:val="000000"/>
                <w:sz w:val="21"/>
              </w:rPr>
              <w:t>https://lmstudio.ai/docs</w:t>
            </w:r>
          </w:p>
        </w:tc>
      </w:tr>
      <w:tr>
        <w:tc>
          <w:tcPr>
            <w:tcW w:type="dxa" w:w="3118"/>
            <w:vAlign w:val="center"/>
          </w:tcPr>
          <w:p>
            <w:pPr>
              <w:jc w:val="left"/>
            </w:pPr>
            <w:r>
              <w:rPr>
                <w:rFonts w:ascii="Arial" w:hAnsi="Arial" w:cs="Arial" w:eastAsia="Arial"/>
                <w:b w:val="0"/>
                <w:i w:val="0"/>
                <w:color w:val="000000"/>
                <w:sz w:val="21"/>
              </w:rPr>
              <w:t>python-docx</w:t>
            </w:r>
          </w:p>
        </w:tc>
        <w:tc>
          <w:tcPr>
            <w:tcW w:type="dxa" w:w="5953"/>
            <w:vAlign w:val="center"/>
          </w:tcPr>
          <w:p>
            <w:pPr>
              <w:jc w:val="left"/>
            </w:pPr>
            <w:r>
              <w:rPr>
                <w:rFonts w:ascii="Arial" w:hAnsi="Arial" w:cs="Arial" w:eastAsia="Arial"/>
                <w:b w:val="0"/>
                <w:i w:val="0"/>
                <w:color w:val="000000"/>
                <w:sz w:val="21"/>
              </w:rPr>
              <w:t>https://python-docx.readthedocs.io/</w:t>
            </w:r>
          </w:p>
        </w:tc>
      </w:tr>
    </w:tbl>
    <w:p/>
    <w:p/>
    <w:p w14:paraId="05413806" w14:textId="77777777" w:rsidR="00255259" w:rsidRPr="00352795" w:rsidRDefault="00255259">
      <w:pPr>
        <w:rPr>
          <w:rFonts w:ascii="Arial" w:hAnsi="Arial" w:cs="Arial"/>
          <w:sz w:val="16"/>
          <w:szCs w:val="16"/>
        </w:rPr>
      </w:pPr>
      <w:r>
        <w:rPr>
          <w:rFonts w:ascii="Arial" w:hAnsi="Arial" w:cs="Arial" w:eastAsia="Arial"/>
          <w:b w:val="0"/>
          <w:i w:val="0"/>
          <w:color w:val="000000"/>
          <w:sz w:val="16"/>
        </w:rPr>
        <w:t>Anexos: No aplica</w:t>
      </w:r>
    </w:p>
    <w:p w14:paraId="320EE0CC" w14:textId="77777777" w:rsidR="00255259" w:rsidRDefault="00255259">
      <w:pPr>
        <w:rPr>
          <w:rFonts w:ascii="Arial" w:hAnsi="Arial" w:cs="Arial"/>
          <w:sz w:val="16"/>
          <w:szCs w:val="16"/>
        </w:rPr>
      </w:pPr>
      <w:r>
        <w:rPr>
          <w:rFonts w:ascii="Arial" w:hAnsi="Arial" w:cs="Arial" w:eastAsia="Arial"/>
          <w:b w:val="0"/>
          <w:i w:val="0"/>
          <w:color w:val="000000"/>
          <w:sz w:val="16"/>
        </w:rPr>
        <w:t>Copia archivo: Innovacion y Desarrollo - HUV</w:t>
      </w:r>
    </w:p>
    <w:p w14:paraId="7FD2C8CC" w14:textId="77777777" w:rsidR="007C738F" w:rsidRPr="00352795" w:rsidRDefault="007C738F">
      <w:pPr>
        <w:rPr>
          <w:rFonts w:ascii="Arial" w:hAnsi="Arial" w:cs="Arial"/>
          <w:sz w:val="16"/>
          <w:szCs w:val="16"/>
        </w:rPr>
      </w:pPr>
      <w:r>
        <w:rPr>
          <w:rFonts w:ascii="Arial" w:hAnsi="Arial" w:cs="Arial" w:eastAsia="Arial"/>
          <w:b w:val="0"/>
          <w:i w:val="0"/>
          <w:color w:val="000000"/>
          <w:sz w:val="16"/>
        </w:rPr>
        <w:t>Fecha: Mayo 2026</w:t>
      </w:r>
    </w:p>
    <w:p w14:paraId="546E4061" w14:textId="77777777" w:rsidR="00255259" w:rsidRDefault="00255259">
      <w:pPr>
        <w:rPr>
          <w:rFonts w:ascii="Helvetica" w:hAnsi="Helvetica"/>
          <w:sz w:val="20"/>
          <w:szCs w:val="20"/>
        </w:rPr>
      </w:pPr>
    </w:p>
    <w:p w14:paraId="24A8B643" w14:textId="77777777" w:rsidR="00255259" w:rsidRPr="007C738F" w:rsidRDefault="00255259">
      <w:pPr>
        <w:jc w:val="both"/>
        <w:rPr>
          <w:rFonts w:ascii="Arial" w:hAnsi="Arial"/>
          <w:color w:val="FF0000"/>
          <w:sz w:val="16"/>
          <w:szCs w:val="16"/>
        </w:rPr>
      </w:pPr>
      <w:bookmarkStart w:id="0" w:name="_Hlk126576693"/>
      <w:r>
        <w:rPr>
          <w:rFonts w:ascii="Arial" w:hAnsi="Arial" w:cs="Arial" w:eastAsia="Arial"/>
          <w:b w:val="0"/>
          <w:i w:val="0"/>
          <w:color w:val="000000"/>
          <w:sz w:val="16"/>
        </w:rPr>
        <w:t>Proyecto:</w:t>
        <w:tab/>
        <w:t>Innovacion y Desarrollo</w:t>
      </w:r>
    </w:p>
    <w:p w14:paraId="7764E6D4" w14:textId="77777777" w:rsidR="00255259" w:rsidRPr="00222D55" w:rsidRDefault="00255259">
      <w:pPr>
        <w:jc w:val="both"/>
        <w:rPr>
          <w:rFonts w:ascii="Arial" w:hAnsi="Arial"/>
          <w:sz w:val="16"/>
          <w:szCs w:val="16"/>
        </w:rPr>
      </w:pPr>
      <w:r>
        <w:rPr>
          <w:rFonts w:ascii="Arial" w:hAnsi="Arial" w:cs="Arial" w:eastAsia="Arial"/>
          <w:b w:val="0"/>
          <w:i w:val="0"/>
          <w:color w:val="000000"/>
          <w:sz w:val="16"/>
        </w:rPr>
        <w:t>Reviso:</w:t>
        <w:tab/>
        <w:t>Innovacion y Desarrollo</w:t>
      </w:r>
    </w:p>
    <w:p w14:paraId="74F83F95" w14:textId="77777777" w:rsidR="00EA410F" w:rsidRPr="00222D55" w:rsidRDefault="00EA410F">
      <w:pPr>
        <w:jc w:val="both"/>
        <w:rPr>
          <w:rFonts w:ascii="Arial" w:hAnsi="Arial"/>
          <w:sz w:val="16"/>
          <w:szCs w:val="16"/>
        </w:rPr>
      </w:pPr>
      <w:r>
        <w:rPr>
          <w:rFonts w:ascii="Arial" w:hAnsi="Arial" w:cs="Arial" w:eastAsia="Arial"/>
          <w:b w:val="0"/>
          <w:i w:val="0"/>
          <w:color w:val="000000"/>
          <w:sz w:val="16"/>
        </w:rPr>
        <w:t>Aprobo:</w:t>
        <w:tab/>
        <w:t>Innovacion y Desarrollo</w:t>
      </w:r>
    </w:p>
    <w:bookmarkEnd w:id="0"/>
    <w:p w14:paraId="72AC3EF9" w14:textId="77777777" w:rsidR="00255259" w:rsidRPr="00222D55" w:rsidRDefault="00255259">
      <w:pPr>
        <w:jc w:val="both"/>
        <w:rPr>
          <w:rFonts w:ascii="Arial" w:hAnsi="Arial"/>
          <w:b/>
          <w:bCs/>
          <w:sz w:val="16"/>
          <w:szCs w:val="16"/>
        </w:rPr>
      </w:pPr>
    </w:p>
    <w:sectPr w:rsidR="00255259" w:rsidRPr="00222D55" w:rsidSect="00A154CB">
      <w:headerReference w:type="default" r:id="rId7"/>
      <w:footerReference w:type="default" r:id="rId8"/>
      <w:pgSz w:w="12240" w:h="15840"/>
      <w:pgMar w:top="2774" w:right="1134" w:bottom="1700" w:left="1701" w:header="283" w:footer="141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636E5" w14:textId="77777777" w:rsidR="00FE5BD2" w:rsidRDefault="00FE5BD2">
      <w:r>
        <w:separator/>
      </w:r>
    </w:p>
  </w:endnote>
  <w:endnote w:type="continuationSeparator" w:id="0">
    <w:p w14:paraId="04C03C56" w14:textId="77777777" w:rsidR="00FE5BD2" w:rsidRDefault="00FE5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jaVu Sans">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C417" w14:textId="77777777" w:rsidR="009B6CEF" w:rsidRDefault="009B6CEF" w:rsidP="006165A0">
    <w:pPr>
      <w:jc w:val="both"/>
      <w:rPr>
        <w:rFonts w:ascii="Arial" w:hAnsi="Arial"/>
        <w:b/>
        <w:b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F85E9" w14:textId="77777777" w:rsidR="00FE5BD2" w:rsidRDefault="00FE5BD2">
      <w:r>
        <w:separator/>
      </w:r>
    </w:p>
  </w:footnote>
  <w:footnote w:type="continuationSeparator" w:id="0">
    <w:p w14:paraId="2EAB7EFC" w14:textId="77777777" w:rsidR="00FE5BD2" w:rsidRDefault="00FE5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1782" w14:textId="77777777" w:rsidR="009B6CEF" w:rsidRDefault="00EF3514">
    <w:pPr>
      <w:pStyle w:val="Encabezado"/>
    </w:pPr>
    <w:r>
      <w:rPr>
        <w:noProof/>
      </w:rPr>
      <w:pict w14:anchorId="6DFD58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margin-left:-75pt;margin-top:-1.15pt;width:591.95pt;height:765.9pt;z-index:-251658752">
          <v:imagedata r:id="rId1" o:title=""/>
        </v:shape>
      </w:pict>
    </w:r>
    <w:r w:rsidR="009B6CEF">
      <w:tab/>
    </w:r>
  </w:p>
  <w:p w14:paraId="348A9DC9" w14:textId="77777777" w:rsidR="009B6CEF" w:rsidRDefault="00717028">
    <w:pPr>
      <w:pStyle w:val="Encabezado"/>
    </w:pPr>
    <w:r>
      <w:pict w14:anchorId="2B331238">
        <v:shape id="_x0000_i1025" type="#_x0000_t75" style="width:438.75pt;height:567.75pt">
          <v:imagedata r:id="rId2" o:title=""/>
        </v:shape>
      </w:pict>
    </w:r>
  </w:p>
  <w:p w14:paraId="44D3ED67" w14:textId="77777777" w:rsidR="009B6CEF" w:rsidRDefault="00717028">
    <w:pPr>
      <w:pStyle w:val="Encabezado"/>
    </w:pPr>
    <w:r>
      <w:pict>
        <v:shape id="_x0000_i1026" type="#_x0000_t75" style="width:438.75pt;height:567.75pt">
          <v:imagedata r:id="rId2" o:title=""/>
        </v:shape>
      </w:pict>
    </w:r>
  </w:p>
  <w:p w14:paraId="114769E7" w14:textId="77777777" w:rsidR="009B6CEF" w:rsidRDefault="009B6CEF">
    <w:pPr>
      <w:pStyle w:val="Encabezado"/>
    </w:pPr>
  </w:p>
  <w:p w14:paraId="7BB68274" w14:textId="77777777" w:rsidR="009B6CEF" w:rsidRDefault="009B6CEF">
    <w:pPr>
      <w:pStyle w:val="Encabezado"/>
    </w:pPr>
  </w:p>
  <w:p w14:paraId="23B79D8B" w14:textId="77777777" w:rsidR="009B6CEF" w:rsidRDefault="009B6CE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3AB2"/>
    <w:rsid w:val="00005BE5"/>
    <w:rsid w:val="00035650"/>
    <w:rsid w:val="0007558F"/>
    <w:rsid w:val="000E3AB2"/>
    <w:rsid w:val="000F0308"/>
    <w:rsid w:val="00185D78"/>
    <w:rsid w:val="001C7B5D"/>
    <w:rsid w:val="001F79CC"/>
    <w:rsid w:val="00222D55"/>
    <w:rsid w:val="00255259"/>
    <w:rsid w:val="002B2FAF"/>
    <w:rsid w:val="002D2430"/>
    <w:rsid w:val="002F4ECD"/>
    <w:rsid w:val="003139A4"/>
    <w:rsid w:val="003349EF"/>
    <w:rsid w:val="003401EB"/>
    <w:rsid w:val="00340DA9"/>
    <w:rsid w:val="00352795"/>
    <w:rsid w:val="003605DB"/>
    <w:rsid w:val="00382F1A"/>
    <w:rsid w:val="00402A36"/>
    <w:rsid w:val="004062F6"/>
    <w:rsid w:val="00447B13"/>
    <w:rsid w:val="00450E99"/>
    <w:rsid w:val="0049728C"/>
    <w:rsid w:val="004D0E78"/>
    <w:rsid w:val="00541B8C"/>
    <w:rsid w:val="00584B71"/>
    <w:rsid w:val="006165A0"/>
    <w:rsid w:val="006674D2"/>
    <w:rsid w:val="006F2043"/>
    <w:rsid w:val="00717028"/>
    <w:rsid w:val="00740A0D"/>
    <w:rsid w:val="00776A6D"/>
    <w:rsid w:val="007A4331"/>
    <w:rsid w:val="007C738F"/>
    <w:rsid w:val="007E657F"/>
    <w:rsid w:val="00842459"/>
    <w:rsid w:val="00872D8D"/>
    <w:rsid w:val="00886295"/>
    <w:rsid w:val="008D0764"/>
    <w:rsid w:val="009320F9"/>
    <w:rsid w:val="00953CDC"/>
    <w:rsid w:val="0096620A"/>
    <w:rsid w:val="0096769F"/>
    <w:rsid w:val="00994663"/>
    <w:rsid w:val="009B6CEF"/>
    <w:rsid w:val="009C162F"/>
    <w:rsid w:val="009E3993"/>
    <w:rsid w:val="00A06304"/>
    <w:rsid w:val="00A154CB"/>
    <w:rsid w:val="00A23068"/>
    <w:rsid w:val="00A31673"/>
    <w:rsid w:val="00A92EC0"/>
    <w:rsid w:val="00AE0797"/>
    <w:rsid w:val="00B5128F"/>
    <w:rsid w:val="00BD024C"/>
    <w:rsid w:val="00C20487"/>
    <w:rsid w:val="00C21C03"/>
    <w:rsid w:val="00C92B2D"/>
    <w:rsid w:val="00C95B16"/>
    <w:rsid w:val="00CD5070"/>
    <w:rsid w:val="00D5450C"/>
    <w:rsid w:val="00D95B81"/>
    <w:rsid w:val="00DE3A83"/>
    <w:rsid w:val="00E40381"/>
    <w:rsid w:val="00E9514F"/>
    <w:rsid w:val="00EA40FA"/>
    <w:rsid w:val="00EA410F"/>
    <w:rsid w:val="00EB2C3D"/>
    <w:rsid w:val="00EC4AB9"/>
    <w:rsid w:val="00ED6A6E"/>
    <w:rsid w:val="00EF3514"/>
    <w:rsid w:val="00F00BA5"/>
    <w:rsid w:val="00F316C3"/>
    <w:rsid w:val="00F32D40"/>
    <w:rsid w:val="00F670E8"/>
    <w:rsid w:val="00F9140D"/>
    <w:rsid w:val="00FE5B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EA2133"/>
  <w15:chartTrackingRefBased/>
  <w15:docId w15:val="{E0C168CD-C5EA-4F32-9590-CD92706F5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eastAsia="DejaVu Sans"/>
      <w:kern w:val="1"/>
      <w:sz w:val="24"/>
      <w:szCs w:val="24"/>
      <w:lang/>
    </w:rPr>
  </w:style>
  <w:style w:type="character" w:default="1" w:styleId="Fuentedeprrafopredeter">
    <w:name w:val="Default Paragraph Font"/>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Carcterdenumeracin">
    <w:name w:val="Carácter de numeración"/>
  </w:style>
  <w:style w:type="paragraph" w:styleId="Encabezado">
    <w:name w:val="header"/>
    <w:basedOn w:val="Normal"/>
    <w:pPr>
      <w:suppressLineNumbers/>
      <w:tabs>
        <w:tab w:val="center" w:pos="4702"/>
        <w:tab w:val="right" w:pos="9405"/>
      </w:tabs>
    </w:pPr>
  </w:style>
  <w:style w:type="paragraph" w:customStyle="1" w:styleId="Cuerpodetextoindividual">
    <w:name w:val="Cuerpo de texto individual"/>
    <w:basedOn w:val="Normal"/>
    <w:pPr>
      <w:spacing w:after="120"/>
    </w:pPr>
  </w:style>
  <w:style w:type="paragraph" w:styleId="Textoindependiente">
    <w:name w:val="Body Text"/>
    <w:basedOn w:val="Normal"/>
    <w:pPr>
      <w:spacing w:after="120"/>
    </w:pPr>
  </w:style>
  <w:style w:type="paragraph" w:styleId="Lista">
    <w:name w:val="List"/>
    <w:basedOn w:val="Cuerpodetextoindividual"/>
  </w:style>
  <w:style w:type="paragraph" w:customStyle="1" w:styleId="Rtulo">
    <w:name w:val="Rótulo"/>
    <w:basedOn w:val="Normal"/>
    <w:pPr>
      <w:suppressLineNumbers/>
      <w:spacing w:before="120" w:after="120"/>
    </w:pPr>
    <w:rPr>
      <w:i/>
      <w:iCs/>
    </w:rPr>
  </w:style>
  <w:style w:type="paragraph" w:customStyle="1" w:styleId="ndice">
    <w:name w:val="Índice"/>
    <w:basedOn w:val="Normal"/>
    <w:pPr>
      <w:suppressLineNumbers/>
    </w:pPr>
  </w:style>
  <w:style w:type="paragraph" w:styleId="Piedepgina">
    <w:name w:val="footer"/>
    <w:basedOn w:val="Normal"/>
    <w:pPr>
      <w:suppressLineNumbers/>
      <w:tabs>
        <w:tab w:val="center" w:pos="4702"/>
        <w:tab w:val="right" w:pos="9405"/>
      </w:tabs>
    </w:pPr>
  </w:style>
  <w:style w:type="paragraph" w:customStyle="1" w:styleId="Contenidodelmarco">
    <w:name w:val="Contenido del marco"/>
    <w:basedOn w:val="Cuerpodetextoindividu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1378C-8E60-461B-9984-2FA424C1C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Words>
  <Characters>248</Characters>
  <Application>Microsoft Office Word</Application>
  <DocSecurity>0</DocSecurity>
  <Lines>2</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[Código de Oficina]</vt:lpstr>
      <vt:lpstr>[Código de Oficina]</vt:lpstr>
    </vt:vector>
  </TitlesOfParts>
  <Company>Hewlett-Packard Company</Company>
  <LinksUpToDate>false</LinksUpToDate>
  <CharactersWithSpaces>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Oficina]</dc:title>
  <dc:subject/>
  <dc:creator>usuario</dc:creator>
  <cp:keywords/>
  <cp:lastModifiedBy>Kevin David Chavarro Erazo</cp:lastModifiedBy>
  <cp:revision>2</cp:revision>
  <cp:lastPrinted>2026-05-22T15:55:00Z</cp:lastPrinted>
  <dcterms:created xsi:type="dcterms:W3CDTF">2026-05-25T13:53:00Z</dcterms:created>
  <dcterms:modified xsi:type="dcterms:W3CDTF">2026-05-25T13:53:00Z</dcterms:modified>
</cp:coreProperties>
</file>