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2D3E5E"/>
          <w:sz w:val="48"/>
          <w:szCs w:val="48"/>
        </w:rPr>
        <w:t xml:space="preserve">INFORME GENERAL DE ESTADO</w:t>
      </w:r>
    </w:p>
    <w:p>
      <w:pPr>
        <w:spacing w:after="0" w:before="80"/>
        <w:jc w:val="center"/>
      </w:pPr>
      <w:r>
        <w:rPr>
          <w:color w:val="5A6472"/>
          <w:sz w:val="30"/>
          <w:szCs w:val="30"/>
        </w:rPr>
        <w:t xml:space="preserve">Sistema EVARISIS Gestor Oncológico</w:t>
      </w:r>
    </w:p>
    <w:p>
      <w:pPr>
        <w:spacing w:after="480" w:before="40"/>
        <w:jc w:val="center"/>
      </w:pPr>
      <w:r>
        <w:rPr>
          <w:i/>
          <w:iCs/>
          <w:color w:val="5A6472"/>
          <w:sz w:val="22"/>
          <w:szCs w:val="22"/>
        </w:rPr>
        <w:t xml:space="preserve">Estado del sistema, intervención técnica e inconvenientes</w:t>
      </w:r>
    </w:p>
    <w:tbl>
      <w:tblPr>
        <w:tblW w:type="dxa" w:w="9360"/>
        <w:tblBorders>
          <w:top w:val="single" w:color="C7CEDA" w:sz="1"/>
          <w:left w:val="single" w:color="C7CEDA" w:sz="1"/>
          <w:bottom w:val="single" w:color="C7CEDA" w:sz="1"/>
          <w:right w:val="single" w:color="C7CEDA" w:sz="1"/>
          <w:insideH w:val="single" w:color="C7CEDA" w:sz="1"/>
          <w:insideV w:val="single" w:color="C7CEDA" w:sz="1"/>
        </w:tblBorders>
      </w:tblPr>
      <w:tblGrid>
        <w:gridCol w:w="2400"/>
        <w:gridCol w:w="6960"/>
      </w:tblGrid>
      <w:tr>
        <w:trPr>
          <w:tblHeader/>
        </w:trPr>
        <w:tc>
          <w:tcPr>
            <w:tcW w:type="dxa" w:w="24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Campo</w:t>
            </w:r>
          </w:p>
        </w:tc>
        <w:tc>
          <w:tcPr>
            <w:tcW w:type="dxa" w:w="696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Detalle</w:t>
            </w:r>
          </w:p>
        </w:tc>
      </w:tr>
      <w:tr>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Institución</w:t>
            </w:r>
          </w:p>
        </w:tc>
        <w:tc>
          <w:tcPr>
            <w:tcW w:type="dxa" w:w="69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Hospital Universitario del Valle — Área de Cirugía Oncológica</w:t>
            </w:r>
          </w:p>
        </w:tc>
      </w:tr>
      <w:tr>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Elaborado por</w:t>
            </w:r>
          </w:p>
        </w:tc>
        <w:tc>
          <w:tcPr>
            <w:tcW w:type="dxa" w:w="69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Oficina de Innovación y Desarrollo (Ingenieros de Soluciones)</w:t>
            </w:r>
          </w:p>
        </w:tc>
      </w:tr>
      <w:tr>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Fecha</w:t>
            </w:r>
          </w:p>
        </w:tc>
        <w:tc>
          <w:tcPr>
            <w:tcW w:type="dxa" w:w="69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29 de mayo de 2026</w:t>
            </w:r>
          </w:p>
        </w:tc>
      </w:tr>
      <w:tr>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Versión del sistema</w:t>
            </w:r>
          </w:p>
        </w:tc>
        <w:tc>
          <w:tcPr>
            <w:tcW w:type="dxa" w:w="69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6.9.5 (base) · intervención V6.9.15–V6.9.18</w:t>
            </w:r>
          </w:p>
        </w:tc>
      </w:tr>
      <w:tr>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Estado</w:t>
            </w:r>
          </w:p>
        </w:tc>
        <w:tc>
          <w:tcPr>
            <w:tcW w:type="dxa" w:w="69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EN PRODUCCIÓN — datos completos (1462 casos)</w:t>
            </w:r>
          </w:p>
        </w:tc>
      </w:tr>
      <w:tr>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Clasificación</w:t>
            </w:r>
          </w:p>
        </w:tc>
        <w:tc>
          <w:tcPr>
            <w:tcW w:type="dxa" w:w="69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Confidencial (datos clínicos de pacientes)</w:t>
            </w:r>
          </w:p>
        </w:tc>
      </w:tr>
    </w:tbl>
    <w:p>
      <w:pPr>
        <w:spacing w:after="0" w:before="360"/>
      </w:pPr>
      <w:r>
        <w:t xml:space="preserve"/>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before="0" w:line="276"/>
      </w:pPr>
      <w:r>
        <w:t xml:space="preserve">EVARISIS Gestor Oncológico es el sistema del Hospital Universitario del Valle que extrae 184 campos estructurados de los informes de inmunohistoquímica (IHQ) de patología, a partir de los PDF, mediante OCR y reglas de extracción, con apoyo de inteligencia artificial local para tareas de auditoría.</w:t>
      </w:r>
    </w:p>
    <w:p>
      <w:pPr>
        <w:spacing w:after="120" w:before="0" w:line="276"/>
      </w:pPr>
      <w:r>
        <w:t xml:space="preserve">El sistema se encuentra EN PRODUCCIÓN. A la fecha, la base de datos contiene 1.462 casos, equivalentes al 100% de los casos presentes en los 38 PDF disponibles (reconciliación oficial: 1.462 = 1.462, sin faltantes ni registros huérfanos).</w:t>
      </w:r>
    </w:p>
    <w:p>
      <w:pPr>
        <w:spacing w:after="120" w:before="0" w:line="276"/>
      </w:pPr>
      <w:r>
        <w:t xml:space="preserve">La intervención técnica reciente abordó seis frentes: (1) corrección del motor de IA local (Mistral); (2) remediación de una fuga de seguridad crítica; (3) rediseño visual completo de la interfaz; (4) recuperación de un caso que no se había guardado; (5) corrección de las métricas de biomarcadores; y (6) detección de un problema de calidad de datos en la extracción de biomarcadores.</w:t>
      </w:r>
    </w:p>
    <w:p>
      <w:pPr>
        <w:spacing w:after="120" w:line="276"/>
      </w:pPr>
      <w:r>
        <w:rPr>
          <w:b/>
          <w:bCs/>
        </w:rPr>
        <w:t xml:space="preserve">Conclusión principal: </w:t>
      </w:r>
      <w:r>
        <w:t xml:space="preserve">el sistema está operativo y los datos están completos. El siguiente foco recomendado es la calidad de extracción de biomarcadores (ver sección 6.3), único hallazgo de impacto clínico abierto.</w:t>
      </w:r>
    </w:p>
    <w:p>
      <w:pPr>
        <w:pStyle w:val="Heading1"/>
      </w:pPr>
      <w:r>
        <w:t xml:space="preserve">2. PDF y casos analizados</w:t>
      </w:r>
    </w:p>
    <w:p>
      <w:pPr>
        <w:spacing w:after="120" w:before="0" w:line="276"/>
      </w:pPr>
      <w:r>
        <w:t xml:space="preserve">Se han procesado 38 PDF de patología. El número de caso más alto es IHQ251526; sin embargo, el laboratorio NO usa numeración consecutiva (omite números), por lo que el total real de casos emitidos es 1.462, no 1.526. Esto se confirmó segmentando los 38 PDF con la función oficial del sistema y comparando contra la base de datos.</w:t>
      </w:r>
    </w:p>
    <w:p>
      <w:pPr>
        <w:spacing w:after="120" w:line="276"/>
      </w:pPr>
      <w:r>
        <w:rPr>
          <w:b/>
          <w:bCs/>
        </w:rPr>
        <w:t xml:space="preserve">Reconciliación PDF vs base de datos: </w:t>
      </w:r>
      <w:r>
        <w:t xml:space="preserve">1462 casos en los PDF = 1462 en la base de datos · 0 faltantes · 0 huérfanos.</w:t>
      </w:r>
    </w:p>
    <w:p>
      <w:pPr>
        <w:spacing w:after="160" w:before="0" w:line="276"/>
      </w:pPr>
      <w:r>
        <w:t xml:space="preserve">Durante la revisión se recuperó el caso IHQ250740 (estaba procesado pero no se había guardado en la base; 1.461 → 1.462) y se confirmó que IHQ251036 NO era un caso real, sino un salto legítimo de numeración (apareció solo como cita dentro del informe de otro paciente).</w:t>
      </w:r>
    </w:p>
    <w:p>
      <w:pPr>
        <w:pStyle w:val="Heading2"/>
      </w:pPr>
      <w:r>
        <w:t xml:space="preserve">2.1. Detalle por archivo PDF</w:t>
      </w:r>
    </w:p>
    <w:tbl>
      <w:tblPr>
        <w:tblW w:type="dxa" w:w="9360"/>
        <w:tblBorders>
          <w:top w:val="single" w:color="C7CEDA" w:sz="1"/>
          <w:left w:val="single" w:color="C7CEDA" w:sz="1"/>
          <w:bottom w:val="single" w:color="C7CEDA" w:sz="1"/>
          <w:right w:val="single" w:color="C7CEDA" w:sz="1"/>
          <w:insideH w:val="single" w:color="C7CEDA" w:sz="1"/>
          <w:insideV w:val="single" w:color="C7CEDA" w:sz="1"/>
        </w:tblBorders>
      </w:tblPr>
      <w:tblGrid>
        <w:gridCol w:w="7560"/>
        <w:gridCol w:w="1800"/>
      </w:tblGrid>
      <w:tr>
        <w:trPr>
          <w:tblHeader/>
        </w:trPr>
        <w:tc>
          <w:tcPr>
            <w:tcW w:type="dxa" w:w="756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Archivo PDF</w:t>
            </w:r>
          </w:p>
        </w:tc>
        <w:tc>
          <w:tcPr>
            <w:tcW w:type="dxa" w:w="18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jc w:val="center"/>
            </w:pPr>
            <w:r>
              <w:rPr>
                <w:b/>
                <w:bCs/>
                <w:color w:val="2D3E5E"/>
                <w:sz w:val="19"/>
                <w:szCs w:val="19"/>
              </w:rPr>
              <w:t xml:space="preserve">Casos</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001 AL 050</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052 AL 107</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108 AL 159</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49</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160 AL 211</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212 AL 262</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263 AL 313</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49</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314 AL 363</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364 AL 413</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51</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414 AL 463</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464 AL 515</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517 AL 568</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569 AL 619</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620 AL 671</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672 AL 722</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723 AL 774</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775 AL 826</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827 AL 876</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877 AL 929</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930 AL 979</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 DEL 980 AL 1037</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47</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IHQ251038 AL IHQ251088</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IHQ251090 AL IHQ251138</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48</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IHQ251139 AL IHQ251188</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49</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IHQ251189 AL IHQ251238</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49</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IHQ251239 AL IHQ251288</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48</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IHQ251289 AL IHQ251338</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45</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IHQ251339 AL IHQ251388</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45</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IHQ251389 AL IHQ251438</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35</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IHQ251391</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1</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IHQ251409</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1</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IHQ251411</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1</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IHQ251420</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1</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IHQ251424</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1</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IHQ251427 AL IHQ251429</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3</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IHQ251433 AL IHQ251434</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2</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IHQ251436</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1</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IHQ251439 AL IHQ251489</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50</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IHQ251490 AL IHQ251526</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37</w:t>
            </w:r>
          </w:p>
        </w:tc>
      </w:tr>
      <w:tr>
        <w:tc>
          <w:tcPr>
            <w:tcW w:type="dxa" w:w="7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TOTAL</w:t>
            </w:r>
          </w:p>
        </w:tc>
        <w:tc>
          <w:tcPr>
            <w:tcW w:type="dxa" w:w="18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1462</w:t>
            </w:r>
          </w:p>
        </w:tc>
      </w:tr>
    </w:tbl>
    <w:p>
      <w:pPr>
        <w:pStyle w:val="Heading1"/>
      </w:pPr>
      <w:r>
        <w:t xml:space="preserve">3. La IA: estado e inconvenientes</w:t>
      </w:r>
    </w:p>
    <w:p>
      <w:pPr>
        <w:spacing w:after="120" w:line="276"/>
      </w:pPr>
      <w:r>
        <w:rPr>
          <w:b/>
          <w:bCs/>
        </w:rPr>
        <w:t xml:space="preserve">Confidencialidad: </w:t>
      </w:r>
      <w:r>
        <w:t xml:space="preserve">por la Ley 1581 (Habeas Data), la IA se ejecuta 100% LOCAL (servidor LM Studio en el equipo). Los datos de pacientes NUNCA salen a la nube; los proveedores en línea (Gemini, Groq, OpenRouter) están deshabilitados.</w:t>
      </w:r>
    </w:p>
    <w:p>
      <w:pPr>
        <w:spacing w:after="120" w:line="276"/>
      </w:pPr>
      <w:r>
        <w:rPr>
          <w:b/>
          <w:bCs/>
        </w:rPr>
        <w:t xml:space="preserve">Aclaración importante: </w:t>
      </w:r>
      <w:r>
        <w:t xml:space="preserve">la IA NO extrae los 184 campos. Esa extracción es por reglas (regex), determinista y rápida. La IA solo interviene en la auditoría/diagnóstico posterior, que es opcional.</w:t>
      </w:r>
    </w:p>
    <w:p>
      <w:pPr>
        <w:spacing w:after="160" w:before="0" w:line="276"/>
      </w:pPr>
      <w:r>
        <w:t xml:space="preserve">Modelo en uso: Mistral 7B Instruct v0.3.</w:t>
      </w:r>
    </w:p>
    <w:p>
      <w:pPr>
        <w:pStyle w:val="Heading2"/>
      </w:pPr>
      <w:r>
        <w:t xml:space="preserve">3.1. Inconvenientes resueltos</w:t>
      </w:r>
    </w:p>
    <w:tbl>
      <w:tblPr>
        <w:tblW w:type="dxa" w:w="9360"/>
        <w:tblBorders>
          <w:top w:val="single" w:color="C7CEDA" w:sz="1"/>
          <w:left w:val="single" w:color="C7CEDA" w:sz="1"/>
          <w:bottom w:val="single" w:color="C7CEDA" w:sz="1"/>
          <w:right w:val="single" w:color="C7CEDA" w:sz="1"/>
          <w:insideH w:val="single" w:color="C7CEDA" w:sz="1"/>
          <w:insideV w:val="single" w:color="C7CEDA" w:sz="1"/>
        </w:tblBorders>
      </w:tblPr>
      <w:tblGrid>
        <w:gridCol w:w="2600"/>
        <w:gridCol w:w="3200"/>
        <w:gridCol w:w="3560"/>
      </w:tblGrid>
      <w:tr>
        <w:trPr>
          <w:tblHeader/>
        </w:trPr>
        <w:tc>
          <w:tcPr>
            <w:tcW w:type="dxa" w:w="26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Inconveniente</w:t>
            </w:r>
          </w:p>
        </w:tc>
        <w:tc>
          <w:tcPr>
            <w:tcW w:type="dxa" w:w="32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Causa</w:t>
            </w:r>
          </w:p>
        </w:tc>
        <w:tc>
          <w:tcPr>
            <w:tcW w:type="dxa" w:w="356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Solución aplicada</w:t>
            </w:r>
          </w:p>
        </w:tc>
      </w:tr>
      <w:tr>
        <w:tc>
          <w:tcPr>
            <w:tcW w:type="dxa" w:w="26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Error HTTP 400 al procesar</w:t>
            </w:r>
          </w:p>
        </w:tc>
        <w:tc>
          <w:tcPr>
            <w:tcW w:type="dxa" w:w="3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Mistral no acepta el rol 'system' en el prompt</w:t>
            </w:r>
          </w:p>
        </w:tc>
        <w:tc>
          <w:tcPr>
            <w:tcW w:type="dxa" w:w="3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Se fusiona el contenido 'system' dentro del mensaje del usuario</w:t>
            </w:r>
          </w:p>
        </w:tc>
      </w:tr>
      <w:tr>
        <w:tc>
          <w:tcPr>
            <w:tcW w:type="dxa" w:w="26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'Context size exceeded'</w:t>
            </w:r>
          </w:p>
        </w:tc>
        <w:tc>
          <w:tcPr>
            <w:tcW w:type="dxa" w:w="3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El procesamiento en paralelo saturaba el contexto del modelo</w:t>
            </w:r>
          </w:p>
        </w:tc>
        <w:tc>
          <w:tcPr>
            <w:tcW w:type="dxa" w:w="35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Modo secuencial (paralelo_max = 1): más lento pero 100% confiable</w:t>
            </w:r>
          </w:p>
        </w:tc>
      </w:tr>
    </w:tbl>
    <w:p>
      <w:pPr>
        <w:pStyle w:val="Heading1"/>
      </w:pPr>
      <w:r>
        <w:t xml:space="preserve">4. Rendimiento y lentitud</w:t>
      </w:r>
    </w:p>
    <w:p>
      <w:pPr>
        <w:pStyle w:val="ListParagraph"/>
        <w:numPr>
          <w:ilvl w:val="0"/>
          <w:numId w:val="2"/>
        </w:numPr>
        <w:spacing w:after="60" w:line="268"/>
      </w:pPr>
      <w:r>
        <w:t xml:space="preserve">Procesamiento de IA en modo secuencial (un caso a la vez): es más lento (1×), pero elimina los errores de saturación de contexto. Se bajó progresivamente de 4 → 2 → 1 trabajadores en paralelo por inestabilidad del modelo.</w:t>
      </w:r>
    </w:p>
    <w:p>
      <w:pPr>
        <w:pStyle w:val="ListParagraph"/>
        <w:numPr>
          <w:ilvl w:val="0"/>
          <w:numId w:val="2"/>
        </w:numPr>
        <w:spacing w:after="60" w:line="268"/>
      </w:pPr>
      <w:r>
        <w:t xml:space="preserve">Mitigación activa: se envía al modelo solo las secciones relevantes del informe (filtrar_secciones = true), ≈ 70% menos texto y 3–4× más rápido en la fase de IA.</w:t>
      </w:r>
    </w:p>
    <w:p>
      <w:pPr>
        <w:pStyle w:val="ListParagraph"/>
        <w:numPr>
          <w:ilvl w:val="0"/>
          <w:numId w:val="2"/>
        </w:numPr>
        <w:spacing w:after="60" w:line="268"/>
      </w:pPr>
      <w:r>
        <w:t xml:space="preserve">OCR: se usa el texto nativo del PDF primero (instantáneo en PDF de texto); el OCR pesado (Tesseract a 400 DPI) solo actúa si el PDF es escaneado.</w:t>
      </w:r>
    </w:p>
    <w:p>
      <w:pPr>
        <w:pStyle w:val="ListParagraph"/>
        <w:numPr>
          <w:ilvl w:val="0"/>
          <w:numId w:val="2"/>
        </w:numPr>
        <w:spacing w:after="60" w:line="268"/>
      </w:pPr>
      <w:r>
        <w:t xml:space="preserve">La carga de datos (los 184 campos) es rápida y determinista: no depende del modelo ni de su velocidad.</w:t>
      </w:r>
    </w:p>
    <w:p>
      <w:pPr>
        <w:spacing w:after="120" w:line="276"/>
      </w:pPr>
      <w:r>
        <w:rPr>
          <w:b/>
          <w:bCs/>
        </w:rPr>
        <w:t xml:space="preserve">Conclusión: </w:t>
      </w:r>
      <w:r>
        <w:t xml:space="preserve">la lentitud percibida corresponde a la fase de auditoría con IA (opcional y secuencial), no a la carga ni a la extracción de datos.</w:t>
      </w:r>
    </w:p>
    <w:p>
      <w:pPr>
        <w:pStyle w:val="Heading1"/>
      </w:pPr>
      <w:r>
        <w:t xml:space="preserve">5. Qué se ha cambiado</w:t>
      </w:r>
    </w:p>
    <w:tbl>
      <w:tblPr>
        <w:tblW w:type="dxa" w:w="9360"/>
        <w:tblBorders>
          <w:top w:val="single" w:color="C7CEDA" w:sz="1"/>
          <w:left w:val="single" w:color="C7CEDA" w:sz="1"/>
          <w:bottom w:val="single" w:color="C7CEDA" w:sz="1"/>
          <w:right w:val="single" w:color="C7CEDA" w:sz="1"/>
          <w:insideH w:val="single" w:color="C7CEDA" w:sz="1"/>
          <w:insideV w:val="single" w:color="C7CEDA" w:sz="1"/>
        </w:tblBorders>
      </w:tblPr>
      <w:tblGrid>
        <w:gridCol w:w="1500"/>
        <w:gridCol w:w="6660"/>
        <w:gridCol w:w="1200"/>
      </w:tblGrid>
      <w:tr>
        <w:trPr>
          <w:tblHeader/>
        </w:trPr>
        <w:tc>
          <w:tcPr>
            <w:tcW w:type="dxa" w:w="15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Área</w:t>
            </w:r>
          </w:p>
        </w:tc>
        <w:tc>
          <w:tcPr>
            <w:tcW w:type="dxa" w:w="666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Cambio</w:t>
            </w:r>
          </w:p>
        </w:tc>
        <w:tc>
          <w:tcPr>
            <w:tcW w:type="dxa" w:w="12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Versión</w:t>
            </w:r>
          </w:p>
        </w:tc>
      </w:tr>
      <w:tr>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Seguridad</w:t>
            </w:r>
          </w:p>
        </w:tc>
        <w:tc>
          <w:tcPr>
            <w:tcW w:type="dxa" w:w="66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Remediación de fuga de datos: 637 .db de pacientes estaban en el repo público → reescritura de historial Git y repo puesto en PRIVADO</w:t>
            </w:r>
          </w:p>
        </w:tc>
        <w:tc>
          <w:tcPr>
            <w:tcW w:type="dxa" w:w="1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Crítico</w:t>
            </w:r>
          </w:p>
        </w:tc>
      </w:tr>
      <w:tr>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IA</w:t>
            </w:r>
          </w:p>
        </w:tc>
        <w:tc>
          <w:tcPr>
            <w:tcW w:type="dxa" w:w="66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Fix Mistral (fusión system→user) y modo secuencial (paralelo_max=1) para evitar 'Context size exceeded'</w:t>
            </w:r>
          </w:p>
        </w:tc>
        <w:tc>
          <w:tcPr>
            <w:tcW w:type="dxa" w:w="1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V6.9.15</w:t>
            </w:r>
          </w:p>
        </w:tc>
      </w:tr>
      <w:tr>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UI / UX</w:t>
            </w:r>
          </w:p>
        </w:tc>
        <w:tc>
          <w:tcPr>
            <w:tcW w:type="dxa" w:w="66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Rediseño minimalista completo con color institucional navy (#2D3E5E): inicio, menú flotante (Ctrl+B), 6 secciones de Base de Datos y gráficas; lanzador con tema 'huv'</w:t>
            </w:r>
          </w:p>
        </w:tc>
        <w:tc>
          <w:tcPr>
            <w:tcW w:type="dxa" w:w="1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V6.9.16</w:t>
            </w:r>
          </w:p>
        </w:tc>
      </w:tr>
      <w:tr>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Datos</w:t>
            </w:r>
          </w:p>
        </w:tc>
        <w:tc>
          <w:tcPr>
            <w:tcW w:type="dxa" w:w="66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Recuperación del caso IHQ250740 (1461→1462) y corrección de su campo FACTOR_PRONOSTICO</w:t>
            </w:r>
          </w:p>
        </w:tc>
        <w:tc>
          <w:tcPr>
            <w:tcW w:type="dxa" w:w="1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V6.9.x</w:t>
            </w:r>
          </w:p>
        </w:tc>
      </w:tr>
      <w:tr>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Métricas</w:t>
            </w:r>
          </w:p>
        </w:tc>
        <w:tc>
          <w:tcPr>
            <w:tcW w:type="dxa" w:w="66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Corrección de las tarjetas de biomarcadores (PDL-1, ER/PR, OTROS)</w:t>
            </w:r>
          </w:p>
        </w:tc>
        <w:tc>
          <w:tcPr>
            <w:tcW w:type="dxa" w:w="1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V6.9.17</w:t>
            </w:r>
          </w:p>
        </w:tc>
      </w:tr>
      <w:tr>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Limpieza</w:t>
            </w:r>
          </w:p>
        </w:tc>
        <w:tc>
          <w:tcPr>
            <w:tcW w:type="dxa" w:w="66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Consolidación piloto de columna duplicada (Cromogranina) sin pérdida de datos (186→185 columnas)</w:t>
            </w:r>
          </w:p>
        </w:tc>
        <w:tc>
          <w:tcPr>
            <w:tcW w:type="dxa" w:w="1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V6.9.18</w:t>
            </w:r>
          </w:p>
        </w:tc>
      </w:tr>
    </w:tbl>
    <w:p>
      <w:pPr>
        <w:pStyle w:val="Heading1"/>
      </w:pPr>
      <w:r>
        <w:t xml:space="preserve">6. Hallazgos de calidad de datos</w:t>
      </w:r>
    </w:p>
    <w:p>
      <w:pPr>
        <w:pStyle w:val="Heading2"/>
      </w:pPr>
      <w:r>
        <w:t xml:space="preserve">6.1. Tarjetas de biomarcadores (corregido)</w:t>
      </w:r>
    </w:p>
    <w:p>
      <w:pPr>
        <w:spacing w:after="120" w:before="0" w:line="276"/>
      </w:pPr>
      <w:r>
        <w:t xml:space="preserve">Las tarjetas del panel 'Resumen de biomarcadores' contenían errores de conteo, ya corregidos:</w:t>
      </w:r>
    </w:p>
    <w:tbl>
      <w:tblPr>
        <w:tblW w:type="dxa" w:w="9360"/>
        <w:tblBorders>
          <w:top w:val="single" w:color="C7CEDA" w:sz="1"/>
          <w:left w:val="single" w:color="C7CEDA" w:sz="1"/>
          <w:bottom w:val="single" w:color="C7CEDA" w:sz="1"/>
          <w:right w:val="single" w:color="C7CEDA" w:sz="1"/>
          <w:insideH w:val="single" w:color="C7CEDA" w:sz="1"/>
          <w:insideV w:val="single" w:color="C7CEDA" w:sz="1"/>
        </w:tblBorders>
      </w:tblPr>
      <w:tblGrid>
        <w:gridCol w:w="2200"/>
        <w:gridCol w:w="1500"/>
        <w:gridCol w:w="1500"/>
        <w:gridCol w:w="4160"/>
      </w:tblGrid>
      <w:tr>
        <w:trPr>
          <w:tblHeader/>
        </w:trPr>
        <w:tc>
          <w:tcPr>
            <w:tcW w:type="dxa" w:w="22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Tarjeta</w:t>
            </w:r>
          </w:p>
        </w:tc>
        <w:tc>
          <w:tcPr>
            <w:tcW w:type="dxa" w:w="15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jc w:val="center"/>
            </w:pPr>
            <w:r>
              <w:rPr>
                <w:b/>
                <w:bCs/>
                <w:color w:val="2D3E5E"/>
                <w:sz w:val="19"/>
                <w:szCs w:val="19"/>
              </w:rPr>
              <w:t xml:space="preserve">Antes</w:t>
            </w:r>
          </w:p>
        </w:tc>
        <w:tc>
          <w:tcPr>
            <w:tcW w:type="dxa" w:w="15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jc w:val="center"/>
            </w:pPr>
            <w:r>
              <w:rPr>
                <w:b/>
                <w:bCs/>
                <w:color w:val="2D3E5E"/>
                <w:sz w:val="19"/>
                <w:szCs w:val="19"/>
              </w:rPr>
              <w:t xml:space="preserve">Ahora</w:t>
            </w:r>
          </w:p>
        </w:tc>
        <w:tc>
          <w:tcPr>
            <w:tcW w:type="dxa" w:w="416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Estado</w:t>
            </w:r>
          </w:p>
        </w:tc>
      </w:tr>
      <w:tr>
        <w:tc>
          <w:tcPr>
            <w:tcW w:type="dxa" w:w="2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HER2</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300</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300</w:t>
            </w:r>
          </w:p>
        </w:tc>
        <w:tc>
          <w:tcPr>
            <w:tcW w:type="dxa" w:w="41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Correcto</w:t>
            </w:r>
          </w:p>
        </w:tc>
      </w:tr>
      <w:tr>
        <w:tc>
          <w:tcPr>
            <w:tcW w:type="dxa" w:w="2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Ki-67</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538</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538</w:t>
            </w:r>
          </w:p>
        </w:tc>
        <w:tc>
          <w:tcPr>
            <w:tcW w:type="dxa" w:w="41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Correcto</w:t>
            </w:r>
          </w:p>
        </w:tc>
      </w:tr>
      <w:tr>
        <w:tc>
          <w:tcPr>
            <w:tcW w:type="dxa" w:w="2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ER/PR</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859</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269</w:t>
            </w:r>
          </w:p>
        </w:tc>
        <w:tc>
          <w:tcPr>
            <w:tcW w:type="dxa" w:w="41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Corregido (estaba inflado)</w:t>
            </w:r>
          </w:p>
        </w:tc>
      </w:tr>
      <w:tr>
        <w:tc>
          <w:tcPr>
            <w:tcW w:type="dxa" w:w="2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P16</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193</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193</w:t>
            </w:r>
          </w:p>
        </w:tc>
        <w:tc>
          <w:tcPr>
            <w:tcW w:type="dxa" w:w="41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Correcto</w:t>
            </w:r>
          </w:p>
        </w:tc>
      </w:tr>
      <w:tr>
        <w:tc>
          <w:tcPr>
            <w:tcW w:type="dxa" w:w="2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PDL-1</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0</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4</w:t>
            </w:r>
          </w:p>
        </w:tc>
        <w:tc>
          <w:tcPr>
            <w:tcW w:type="dxa" w:w="41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Corregido (no contaba)</w:t>
            </w:r>
          </w:p>
        </w:tc>
      </w:tr>
      <w:tr>
        <w:tc>
          <w:tcPr>
            <w:tcW w:type="dxa" w:w="22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OTROS</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705</w:t>
            </w:r>
          </w:p>
        </w:tc>
        <w:tc>
          <w:tcPr>
            <w:tcW w:type="dxa" w:w="15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jc w:val="center"/>
            </w:pPr>
            <w:r>
              <w:rPr>
                <w:sz w:val="19"/>
                <w:szCs w:val="19"/>
              </w:rPr>
              <w:t xml:space="preserve">1087</w:t>
            </w:r>
          </w:p>
        </w:tc>
        <w:tc>
          <w:tcPr>
            <w:tcW w:type="dxa" w:w="41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Redefinido (ya no oculta biomarcadores)</w:t>
            </w:r>
          </w:p>
        </w:tc>
      </w:tr>
    </w:tbl>
    <w:p>
      <w:pPr>
        <w:spacing w:after="120" w:before="100" w:line="276"/>
      </w:pPr>
      <w:r>
        <w:t xml:space="preserve">'OTROS' no significaba 'todo lo demás', sino un subconjunto fijo; ahora cuenta cualquier biomarcador no destacado, de modo que ninguno queda invisible.</w:t>
      </w:r>
    </w:p>
    <w:p>
      <w:pPr>
        <w:pStyle w:val="Heading2"/>
      </w:pPr>
      <w:r>
        <w:t xml:space="preserve">6.2. Columnas de biomarcadores duplicadas</w:t>
      </w:r>
    </w:p>
    <w:p>
      <w:pPr>
        <w:spacing w:after="120" w:before="0" w:line="276"/>
      </w:pPr>
      <w:r>
        <w:t xml:space="preserve">Un mismo biomarcador quedó guardado en 2–3 columnas distintas (por typos o por mezcla español/inglés), lo que fragmenta los datos. Se identificaron 6 grupos:</w:t>
      </w:r>
    </w:p>
    <w:tbl>
      <w:tblPr>
        <w:tblW w:type="dxa" w:w="9360"/>
        <w:tblBorders>
          <w:top w:val="single" w:color="C7CEDA" w:sz="1"/>
          <w:left w:val="single" w:color="C7CEDA" w:sz="1"/>
          <w:bottom w:val="single" w:color="C7CEDA" w:sz="1"/>
          <w:right w:val="single" w:color="C7CEDA" w:sz="1"/>
          <w:insideH w:val="single" w:color="C7CEDA" w:sz="1"/>
          <w:insideV w:val="single" w:color="C7CEDA" w:sz="1"/>
        </w:tblBorders>
      </w:tblPr>
      <w:tblGrid>
        <w:gridCol w:w="1700"/>
        <w:gridCol w:w="2400"/>
        <w:gridCol w:w="3260"/>
        <w:gridCol w:w="2000"/>
      </w:tblGrid>
      <w:tr>
        <w:trPr>
          <w:tblHeader/>
        </w:trPr>
        <w:tc>
          <w:tcPr>
            <w:tcW w:type="dxa" w:w="17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Biomarcador</w:t>
            </w:r>
          </w:p>
        </w:tc>
        <w:tc>
          <w:tcPr>
            <w:tcW w:type="dxa" w:w="24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Columna canónica</w:t>
            </w:r>
          </w:p>
        </w:tc>
        <w:tc>
          <w:tcPr>
            <w:tcW w:type="dxa" w:w="326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Columnas duplicadas</w:t>
            </w:r>
          </w:p>
        </w:tc>
        <w:tc>
          <w:tcPr>
            <w:tcW w:type="dxa" w:w="20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Estado</w:t>
            </w:r>
          </w:p>
        </w:tc>
      </w:tr>
      <w:tr>
        <w:tc>
          <w:tcPr>
            <w:tcW w:type="dxa" w:w="17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Cromogranina</w:t>
            </w:r>
          </w:p>
        </w:tc>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IHQ_CROMOGRANINA</w:t>
            </w:r>
          </w:p>
        </w:tc>
        <w:tc>
          <w:tcPr>
            <w:tcW w:type="dxa" w:w="32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IHQ_CROMOGRAMINA</w:t>
            </w:r>
          </w:p>
        </w:tc>
        <w:tc>
          <w:tcPr>
            <w:tcW w:type="dxa" w:w="20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RESUELTO (piloto)</w:t>
            </w:r>
          </w:p>
        </w:tc>
      </w:tr>
      <w:tr>
        <w:tc>
          <w:tcPr>
            <w:tcW w:type="dxa" w:w="17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Calretinina</w:t>
            </w:r>
          </w:p>
        </w:tc>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IHQ_CALRETININA</w:t>
            </w:r>
          </w:p>
        </w:tc>
        <w:tc>
          <w:tcPr>
            <w:tcW w:type="dxa" w:w="32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IHQ_CALRETININ, IHQ_CALRRETININA</w:t>
            </w:r>
          </w:p>
        </w:tc>
        <w:tc>
          <w:tcPr>
            <w:tcW w:type="dxa" w:w="20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Pendiente (contaminado)</w:t>
            </w:r>
          </w:p>
        </w:tc>
      </w:tr>
      <w:tr>
        <w:tc>
          <w:tcPr>
            <w:tcW w:type="dxa" w:w="17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Desmina</w:t>
            </w:r>
          </w:p>
        </w:tc>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IHQ_DESMINA</w:t>
            </w:r>
          </w:p>
        </w:tc>
        <w:tc>
          <w:tcPr>
            <w:tcW w:type="dxa" w:w="32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IHQ_DESMIN</w:t>
            </w:r>
          </w:p>
        </w:tc>
        <w:tc>
          <w:tcPr>
            <w:tcW w:type="dxa" w:w="20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Pendiente (contaminado)</w:t>
            </w:r>
          </w:p>
        </w:tc>
      </w:tr>
      <w:tr>
        <w:tc>
          <w:tcPr>
            <w:tcW w:type="dxa" w:w="17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CK 34βE12</w:t>
            </w:r>
          </w:p>
        </w:tc>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IHQ_CK34BETAE12</w:t>
            </w:r>
          </w:p>
        </w:tc>
        <w:tc>
          <w:tcPr>
            <w:tcW w:type="dxa" w:w="32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IHQ_CK34BE12, IHQ_CK34BETA12</w:t>
            </w:r>
          </w:p>
        </w:tc>
        <w:tc>
          <w:tcPr>
            <w:tcW w:type="dxa" w:w="20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Pendiente (contaminado)</w:t>
            </w:r>
          </w:p>
        </w:tc>
      </w:tr>
      <w:tr>
        <w:tc>
          <w:tcPr>
            <w:tcW w:type="dxa" w:w="17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Mamoglobina</w:t>
            </w:r>
          </w:p>
        </w:tc>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IHQ_MAMOGLOBINA</w:t>
            </w:r>
          </w:p>
        </w:tc>
        <w:tc>
          <w:tcPr>
            <w:tcW w:type="dxa" w:w="32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IHQ_MAMAGLOBINA</w:t>
            </w:r>
          </w:p>
        </w:tc>
        <w:tc>
          <w:tcPr>
            <w:tcW w:type="dxa" w:w="20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Pendiente (contaminado)</w:t>
            </w:r>
          </w:p>
        </w:tc>
      </w:tr>
      <w:tr>
        <w:tc>
          <w:tcPr>
            <w:tcW w:type="dxa" w:w="17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Miogenina</w:t>
            </w:r>
          </w:p>
        </w:tc>
        <w:tc>
          <w:tcPr>
            <w:tcW w:type="dxa" w:w="24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IHQ_MIOGENINA</w:t>
            </w:r>
          </w:p>
        </w:tc>
        <w:tc>
          <w:tcPr>
            <w:tcW w:type="dxa" w:w="32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IHQ_MYOGENIN</w:t>
            </w:r>
          </w:p>
        </w:tc>
        <w:tc>
          <w:tcPr>
            <w:tcW w:type="dxa" w:w="20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Pendiente (contaminado)</w:t>
            </w:r>
          </w:p>
        </w:tc>
      </w:tr>
    </w:tbl>
    <w:p>
      <w:pPr>
        <w:pStyle w:val="Heading2"/>
      </w:pPr>
      <w:r>
        <w:t xml:space="preserve">6.3. Contaminación de extracción (crítico, pendiente)</w:t>
      </w:r>
    </w:p>
    <w:p>
      <w:pPr>
        <w:spacing w:after="120" w:before="0" w:line="276"/>
      </w:pPr>
      <w:r>
        <w:t xml:space="preserve">Hallazgo de fondo: el extractor de biomarcadores es demasiado permisivo. Llena una columna cuando el nombre del biomarcador aparece MENCIONADO en el informe (en listas de anticuerpos disponibles o en enumeraciones del tipo 'negativo para: X, Y, Z'), y no solo cuando hay un resultado real. Esto infla los conteos y contamina columnas. Se observan tres patrones:</w:t>
      </w:r>
    </w:p>
    <w:p>
      <w:pPr>
        <w:pStyle w:val="ListParagraph"/>
        <w:numPr>
          <w:ilvl w:val="0"/>
          <w:numId w:val="2"/>
        </w:numPr>
        <w:spacing w:after="60" w:line="268"/>
      </w:pPr>
      <w:r>
        <w:t xml:space="preserve">Nombre como valor: la celda guarda el propio nombre del biomarcador (p. ej. CD3 = 'CD3') en lugar de un resultado.</w:t>
      </w:r>
    </w:p>
    <w:p>
      <w:pPr>
        <w:pStyle w:val="ListParagraph"/>
        <w:numPr>
          <w:ilvl w:val="0"/>
          <w:numId w:val="2"/>
        </w:numPr>
        <w:spacing w:after="60" w:line="268"/>
      </w:pPr>
      <w:r>
        <w:t xml:space="preserve">'NOMBRE: N/A' espurio: biomarcadores que ni siquiera se realizaron quedan con 'NOMBRE: N/A' escrito en su columna.</w:t>
      </w:r>
    </w:p>
    <w:p>
      <w:pPr>
        <w:pStyle w:val="ListParagraph"/>
        <w:numPr>
          <w:ilvl w:val="0"/>
          <w:numId w:val="2"/>
        </w:numPr>
        <w:spacing w:after="60" w:line="268"/>
      </w:pPr>
      <w:r>
        <w:t xml:space="preserve">Derrame de panel: en casos con paneles grandes, los valores correctos se mapean bien pero además se filtran a columnas ajenas.</w:t>
      </w:r>
    </w:p>
    <w:p>
      <w:pPr>
        <w:spacing w:after="120" w:before="100" w:line="276"/>
      </w:pPr>
      <w:r>
        <w:t xml:space="preserve">Casos representativos:</w:t>
      </w:r>
    </w:p>
    <w:tbl>
      <w:tblPr>
        <w:tblW w:type="dxa" w:w="9360"/>
        <w:tblBorders>
          <w:top w:val="single" w:color="C7CEDA" w:sz="1"/>
          <w:left w:val="single" w:color="C7CEDA" w:sz="1"/>
          <w:bottom w:val="single" w:color="C7CEDA" w:sz="1"/>
          <w:right w:val="single" w:color="C7CEDA" w:sz="1"/>
          <w:insideH w:val="single" w:color="C7CEDA" w:sz="1"/>
          <w:insideV w:val="single" w:color="C7CEDA" w:sz="1"/>
        </w:tblBorders>
      </w:tblPr>
      <w:tblGrid>
        <w:gridCol w:w="1300"/>
        <w:gridCol w:w="2300"/>
        <w:gridCol w:w="3760"/>
        <w:gridCol w:w="2000"/>
      </w:tblGrid>
      <w:tr>
        <w:trPr>
          <w:tblHeader/>
        </w:trPr>
        <w:tc>
          <w:tcPr>
            <w:tcW w:type="dxa" w:w="13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Caso</w:t>
            </w:r>
          </w:p>
        </w:tc>
        <w:tc>
          <w:tcPr>
            <w:tcW w:type="dxa" w:w="23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Diagnóstico</w:t>
            </w:r>
          </w:p>
        </w:tc>
        <w:tc>
          <w:tcPr>
            <w:tcW w:type="dxa" w:w="376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Ejemplo de valor contaminado</w:t>
            </w:r>
          </w:p>
        </w:tc>
        <w:tc>
          <w:tcPr>
            <w:tcW w:type="dxa" w:w="2000"/>
            <w:tcBorders>
              <w:top w:val="single" w:color="C7CEDA" w:sz="1"/>
              <w:left w:val="single" w:color="C7CEDA" w:sz="1"/>
              <w:bottom w:val="single" w:color="C7CEDA" w:sz="1"/>
              <w:right w:val="single" w:color="C7CEDA" w:sz="1"/>
            </w:tcBorders>
            <w:shd w:fill="E9EDF3" w:color="auto" w:val="clear"/>
            <w:tcMar>
              <w:top w:type="dxa" w:w="60"/>
              <w:left w:type="dxa" w:w="110"/>
              <w:bottom w:type="dxa" w:w="60"/>
              <w:right w:type="dxa" w:w="110"/>
            </w:tcMar>
            <w:vAlign w:val="center"/>
          </w:tcPr>
          <w:p>
            <w:pPr>
              <w:spacing w:after="0" w:line="252"/>
            </w:pPr>
            <w:r>
              <w:rPr>
                <w:b/>
                <w:bCs/>
                <w:color w:val="2D3E5E"/>
                <w:sz w:val="19"/>
                <w:szCs w:val="19"/>
              </w:rPr>
              <w:t xml:space="preserve">Patrón</w:t>
            </w:r>
          </w:p>
        </w:tc>
      </w:tr>
      <w:tr>
        <w:tc>
          <w:tcPr>
            <w:tcW w:type="dxa" w:w="13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IHQ250097</w:t>
            </w:r>
          </w:p>
        </w:tc>
        <w:tc>
          <w:tcPr>
            <w:tcW w:type="dxa" w:w="23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Adenoma hipofisario</w:t>
            </w:r>
          </w:p>
        </w:tc>
        <w:tc>
          <w:tcPr>
            <w:tcW w:type="dxa" w:w="37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DESMINA='Prolactina', CK34βE12='TSH', MAMAGLOBINA='FSH'</w:t>
            </w:r>
          </w:p>
        </w:tc>
        <w:tc>
          <w:tcPr>
            <w:tcW w:type="dxa" w:w="20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Derrame de panel</w:t>
            </w:r>
          </w:p>
        </w:tc>
      </w:tr>
      <w:tr>
        <w:tc>
          <w:tcPr>
            <w:tcW w:type="dxa" w:w="13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IHQ250326</w:t>
            </w:r>
          </w:p>
        </w:tc>
        <w:tc>
          <w:tcPr>
            <w:tcW w:type="dxa" w:w="23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Melanoma (74 columnas)</w:t>
            </w:r>
          </w:p>
        </w:tc>
        <w:tc>
          <w:tcPr>
            <w:tcW w:type="dxa" w:w="37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CD3='CD3', MELAN_A='MELAN-A', MLH1='MLH1'</w:t>
            </w:r>
          </w:p>
        </w:tc>
        <w:tc>
          <w:tcPr>
            <w:tcW w:type="dxa" w:w="20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Nombre como valor</w:t>
            </w:r>
          </w:p>
        </w:tc>
      </w:tr>
      <w:tr>
        <w:tc>
          <w:tcPr>
            <w:tcW w:type="dxa" w:w="13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IHQ251417</w:t>
            </w:r>
          </w:p>
        </w:tc>
        <w:tc>
          <w:tcPr>
            <w:tcW w:type="dxa" w:w="23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Hiperplasia linfoide (47 col.)</w:t>
            </w:r>
          </w:p>
        </w:tc>
        <w:tc>
          <w:tcPr>
            <w:tcW w:type="dxa" w:w="376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CALRETININ='CALRETININ: N/A', SALL4='SALL4: N/A'</w:t>
            </w:r>
          </w:p>
        </w:tc>
        <w:tc>
          <w:tcPr>
            <w:tcW w:type="dxa" w:w="2000"/>
            <w:tcBorders>
              <w:top w:val="single" w:color="C7CEDA" w:sz="1"/>
              <w:left w:val="single" w:color="C7CEDA" w:sz="1"/>
              <w:bottom w:val="single" w:color="C7CEDA" w:sz="1"/>
              <w:right w:val="single" w:color="C7CEDA" w:sz="1"/>
            </w:tcBorders>
            <w:tcMar>
              <w:top w:type="dxa" w:w="60"/>
              <w:left w:type="dxa" w:w="110"/>
              <w:bottom w:type="dxa" w:w="60"/>
              <w:right w:type="dxa" w:w="110"/>
            </w:tcMar>
            <w:vAlign w:val="center"/>
          </w:tcPr>
          <w:p>
            <w:pPr>
              <w:spacing w:after="0" w:line="252"/>
            </w:pPr>
            <w:r>
              <w:rPr>
                <w:sz w:val="19"/>
                <w:szCs w:val="19"/>
              </w:rPr>
              <w:t xml:space="preserve">'NOMBRE: N/A' espurio</w:t>
            </w:r>
          </w:p>
        </w:tc>
      </w:tr>
    </w:tbl>
    <w:p>
      <w:pPr>
        <w:spacing w:after="120" w:line="276"/>
      </w:pPr>
      <w:r>
        <w:rPr>
          <w:b/>
          <w:bCs/>
        </w:rPr>
        <w:t xml:space="preserve">Impacto y decisión: </w:t>
      </w:r>
      <w:r>
        <w:t xml:space="preserve">consolidar columnas sin resolver esto antes propagaría datos erróneos a la columna canónica. Por la regla de protección anti-regresión, la consolidación de los 5 grupos restantes queda en pausa hasta corregir la causa raíz en el extractor.</w:t>
      </w:r>
    </w:p>
    <w:p>
      <w:pPr>
        <w:pStyle w:val="Heading1"/>
      </w:pPr>
      <w:r>
        <w:t xml:space="preserve">7. Próximos pasos</w:t>
      </w:r>
    </w:p>
    <w:p>
      <w:pPr>
        <w:pStyle w:val="ListParagraph"/>
        <w:numPr>
          <w:ilvl w:val="0"/>
          <w:numId w:val="3"/>
        </w:numPr>
        <w:spacing w:after="80" w:line="268"/>
      </w:pPr>
      <w:r>
        <w:t xml:space="preserve">Investigar y corregir la causa raíz de la contaminación de extracción de biomarcadores (modificación de extractores con validación anti-regresión estricta).</w:t>
      </w:r>
    </w:p>
    <w:p>
      <w:pPr>
        <w:pStyle w:val="ListParagraph"/>
        <w:numPr>
          <w:ilvl w:val="0"/>
          <w:numId w:val="3"/>
        </w:numPr>
        <w:spacing w:after="80" w:line="268"/>
      </w:pPr>
      <w:r>
        <w:t xml:space="preserve">Consolidar los 5 grupos de columnas duplicadas restantes (Calretinina, Desmina, CK 34βE12, Mamoglobina, Miogenina), una vez saneada la extracción.</w:t>
      </w:r>
    </w:p>
    <w:p>
      <w:pPr>
        <w:pStyle w:val="ListParagraph"/>
        <w:numPr>
          <w:ilvl w:val="0"/>
          <w:numId w:val="3"/>
        </w:numPr>
        <w:spacing w:after="80" w:line="268"/>
      </w:pPr>
      <w:r>
        <w:t xml:space="preserve">Alinear el camino de IA (columnas_huv_ia) respecto a la consolidación de Cromogranina ya realizada.</w:t>
      </w:r>
    </w:p>
    <w:p>
      <w:pPr>
        <w:pStyle w:val="ListParagraph"/>
        <w:numPr>
          <w:ilvl w:val="0"/>
          <w:numId w:val="3"/>
        </w:numPr>
        <w:spacing w:after="80" w:line="268"/>
      </w:pPr>
      <w:r>
        <w:t xml:space="preserve">Continuar la validación del dashboard sección por sección (malignidad, distribución por diagnósticos, visualizador).</w:t>
      </w:r>
    </w:p>
    <w:p>
      <w:pPr>
        <w:pStyle w:val="Heading1"/>
      </w:pPr>
      <w:r>
        <w:t xml:space="preserve">8. Trazabilidad y respaldos</w:t>
      </w:r>
    </w:p>
    <w:p>
      <w:pPr>
        <w:pStyle w:val="ListParagraph"/>
        <w:numPr>
          <w:ilvl w:val="0"/>
          <w:numId w:val="2"/>
        </w:numPr>
        <w:spacing w:after="60" w:line="268"/>
      </w:pPr>
      <w:r>
        <w:t xml:space="preserve">Respaldos de la base de datos antes de cada cambio: carpeta backups/recuperacion_2casos/.</w:t>
      </w:r>
    </w:p>
    <w:p>
      <w:pPr>
        <w:pStyle w:val="ListParagraph"/>
        <w:numPr>
          <w:ilvl w:val="0"/>
          <w:numId w:val="2"/>
        </w:numPr>
        <w:spacing w:after="60" w:line="268"/>
      </w:pPr>
      <w:r>
        <w:t xml:space="preserve">Evidencia de cada análisis (reportes JSON): carpeta herramientas_ia/resultados/ (reconciliación PDF–BD, recuperación de caso, corrección de campo, auditoría de columnas).</w:t>
      </w:r>
    </w:p>
    <w:p>
      <w:pPr>
        <w:pStyle w:val="ListParagraph"/>
        <w:numPr>
          <w:ilvl w:val="0"/>
          <w:numId w:val="2"/>
        </w:numPr>
        <w:spacing w:after="60" w:line="268"/>
      </w:pPr>
      <w:r>
        <w:t xml:space="preserve">Cada modificación de código quedó anotada con su versión (V6.9.15–V6.9.18) en los archivos correspondientes.</w:t>
      </w:r>
    </w:p>
    <w:p>
      <w:pPr>
        <w:spacing w:before="280"/>
        <w:jc w:val="center"/>
      </w:pPr>
      <w:r>
        <w:rPr>
          <w:i/>
          <w:iCs/>
          <w:color w:val="5A6472"/>
          <w:sz w:val="18"/>
          <w:szCs w:val="18"/>
        </w:rPr>
        <w:t xml:space="preserve">— Fin del informe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EDA" w:sz="4" w:space="2"/>
      </w:pBdr>
      <w:tabs>
        <w:tab w:val="right" w:pos="9360"/>
      </w:tabs>
      <w:spacing w:before="0"/>
    </w:pPr>
    <w:r>
      <w:rPr>
        <w:i/>
        <w:iCs/>
        <w:color w:val="5A6472"/>
        <w:sz w:val="15"/>
        <w:szCs w:val="15"/>
      </w:rPr>
      <w:t xml:space="preserve">Documento confidencial — Ley 1581 (Habeas Data)</w:t>
    </w:r>
    <w:r>
      <w:rPr>
        <w:color w:val="5A6472"/>
        <w:sz w:val="15"/>
        <w:szCs w:val="15"/>
      </w:rPr>
      <w:t xml:space="preserve">	Página </w:t>
    </w:r>
    <w:r>
      <w:rPr>
        <w:color w:val="5A6472"/>
        <w:sz w:val="15"/>
        <w:szCs w:val="15"/>
      </w:rPr>
      <w:fldChar w:fldCharType="begin"/>
      <w:instrText xml:space="preserve">PAGE</w:instrText>
      <w:fldChar w:fldCharType="separate"/>
      <w:fldChar w:fldCharType="end"/>
    </w:r>
    <w:r>
      <w:rPr>
        <w:color w:val="5A6472"/>
        <w:sz w:val="15"/>
        <w:szCs w:val="15"/>
      </w:rPr>
      <w:t xml:space="preserve"> de </w:t>
    </w:r>
    <w:r>
      <w:rPr>
        <w:color w:val="5A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EDA" w:sz="4" w:space="2"/>
      </w:pBdr>
      <w:tabs>
        <w:tab w:val="right" w:pos="9360"/>
      </w:tabs>
      <w:spacing w:after="0"/>
    </w:pPr>
    <w:r>
      <w:rPr>
        <w:b/>
        <w:bCs/>
        <w:color w:val="2D3E5E"/>
        <w:sz w:val="16"/>
        <w:szCs w:val="16"/>
      </w:rPr>
      <w:t xml:space="preserve">Hospital Universitario del Valle</w:t>
    </w:r>
    <w:r>
      <w:rPr>
        <w:color w:val="5A6472"/>
        <w:sz w:val="16"/>
        <w:szCs w:val="16"/>
      </w:rPr>
      <w:t xml:space="preserve">	EVARISIS Gestor Oncológico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3E5E" w:sz="6" w:space="4"/>
      </w:pBdr>
      <w:spacing w:after="140" w:before="320"/>
      <w:outlineLvl w:val="0"/>
    </w:pPr>
    <w:rPr>
      <w:rFonts w:ascii="Arial" w:cs="Arial" w:eastAsia="Arial" w:hAnsi="Arial"/>
      <w:b/>
      <w:bCs/>
      <w:color w:val="2D3E5E"/>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D3E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General EVARISIS Gestor Oncológico</dc:title>
  <dc:creator>Oficina de Innovación y Desarrollo - HUV</dc:creator>
  <cp:lastModifiedBy>Un-named</cp:lastModifiedBy>
  <cp:revision>1</cp:revision>
  <dcterms:created xsi:type="dcterms:W3CDTF">2026-06-01T12:04:47.709Z</dcterms:created>
  <dcterms:modified xsi:type="dcterms:W3CDTF">2026-06-01T12:04:47.709Z</dcterms:modified>
</cp:coreProperties>
</file>

<file path=docProps/custom.xml><?xml version="1.0" encoding="utf-8"?>
<Properties xmlns="http://schemas.openxmlformats.org/officeDocument/2006/custom-properties" xmlns:vt="http://schemas.openxmlformats.org/officeDocument/2006/docPropsVTypes"/>
</file>