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spacing w:before="120" w:after="240"/>
        <w:jc w:val="center"/>
      </w:pPr>
      <w:r>
        <w:rPr>
          <w:rFonts w:ascii="Arial" w:hAnsi="Arial" w:cs="Arial"/>
          <w:b/>
          <w:bCs/>
          <w:color w:val="1E40AF"/>
          <w:sz w:val="40"/>
          <w:szCs w:val="40"/>
        </w:rPr>
        <w:t xml:space="preserve">MANUAL DE USUARIO</w:t>
      </w:r>
    </w:p>
    <w:p>
      <w:pPr>
        <w:spacing w:before="0" w:after="320"/>
        <w:jc w:val="center"/>
      </w:pPr>
      <w:r>
        <w:rPr>
          <w:rFonts w:ascii="Arial" w:hAnsi="Arial" w:cs="Arial"/>
          <w:b/>
          <w:bCs/>
          <w:color w:val="555555"/>
          <w:sz w:val="22"/>
          <w:szCs w:val="22"/>
        </w:rPr>
        <w:t xml:space="preserve">Sistema de Gestión de Turnos - Turnero HUV</w:t>
      </w:r>
    </w:p>
    <w:p>
      <w:pPr>
        <w:spacing w:before="0" w:after="120"/>
        <w:jc w:val="center"/>
      </w:pPr>
      <w:r>
        <w:rPr>
          <w:rFonts w:ascii="Arial" w:hAnsi="Arial" w:cs="Arial"/>
          <w:b/>
          <w:bCs/>
          <w:sz w:val="20"/>
          <w:szCs w:val="20"/>
        </w:rPr>
        <w:t xml:space="preserve">Guía operativa para administradores, asesores y pacientes</w:t>
      </w:r>
    </w:p>
    <w:p>
      <w:pPr>
        <w:spacing w:before="0" w:after="120"/>
        <w:jc w:val="center"/>
      </w:pPr>
      <w:r>
        <w:rPr>
          <w:rFonts w:ascii="Arial" w:hAnsi="Arial" w:cs="Arial"/>
          <w:sz w:val="20"/>
          <w:szCs w:val="20"/>
        </w:rPr>
        <w:t xml:space="preserve">Innovación y Desarrollo - HUV - Mayo 2026</w:t>
      </w:r>
    </w:p>
    <w:p>
      <w:pPr>
        <w:pBdr>
          <w:bottom w:val="single" w:sz="6" w:space="1" w:color="1E40AF"/>
        </w:pBdr>
        <w:spacing w:before="60" w:after="120"/>
      </w:pP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1. INTRODUCCIÓN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Bienvenido al Manual de Usuario del Sistema de Gestión de Turnos del Hospital Universitario del Valle. Este documento describe paso a paso cómo operar el sistema según el rol del usuario: administrador, asesor (personal médico o administrativo), paciente y operador de atril o pantalla de televisión.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El sistema busca eliminar las colas físicas, agilizar la atención y ofrecer trazabilidad operativa. La interfaz fue diseñada para ser usable sin entrenamiento técnico previo.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1.1 Perfiles cubiertos en este manual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Administrador del sistema.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Asesor / médico atendiendo en caja o consultorio.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Paciente (vista móvil vía QR).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Operador del atril de generación de turnos.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Operador de la pantalla TV pública.</w:t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2. ACCESO AL SISTEMA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2.1 URL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Abrir el navegador (recomendado: Google Chrome o Microsoft Edge) e ingresar a la URL provista por el equipo de TI (ejemplo: http://turnos.huv.gov.co o la IP interna asignada).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2.2 Inicio de sesión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1.	</w:t>
      </w:r>
      <w:r>
        <w:rPr>
          <w:rFonts w:ascii="Arial" w:hAnsi="Arial" w:cs="Arial"/>
          <w:sz w:val="20"/>
          <w:szCs w:val="20"/>
        </w:rPr>
        <w:t xml:space="preserve">Ingresar nombre de usuario (no es el correo).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2.	</w:t>
      </w:r>
      <w:r>
        <w:rPr>
          <w:rFonts w:ascii="Arial" w:hAnsi="Arial" w:cs="Arial"/>
          <w:sz w:val="20"/>
          <w:szCs w:val="20"/>
        </w:rPr>
        <w:t xml:space="preserve">Ingresar contraseña.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3.	</w:t>
      </w:r>
      <w:r>
        <w:rPr>
          <w:rFonts w:ascii="Arial" w:hAnsi="Arial" w:cs="Arial"/>
          <w:sz w:val="20"/>
          <w:szCs w:val="20"/>
        </w:rPr>
        <w:t xml:space="preserve">Hacer clic en "Iniciar sesión".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El sistema redirigirá automáticamente al panel correspondiente según el rol. Si el usuario es Asesor sin caja asignada, se pedirá seleccionar una caja al iniciar la sesión.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2.3 Reglas de sesión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Solo se permite una sesión activa por usuario. Si se inicia desde otro equipo, la sesión anterior se cierra automáticamente.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La sesión expira tras 15 minutos sin actividad.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Si se pierde la conexión, refrescar la página (F5) recupera el estado.</w:t>
      </w:r>
    </w:p>
    <w:p>
      <w:r>
        <w:br w:type="page"/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3. PERFIL: ADMINISTRADOR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El administrador tiene control total sobre el sistema. Las opciones disponibles en el menú lateral se describen a continuación.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3.1 Dashboard principal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Métricas en tiempo real disponibles en /dashboard: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Turnos en espera por servicio.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Turnos atendidos del día.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Asesores conectados y su estado.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Tiempo promedio de atención y de espera.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3.2 Gestión de usuarios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Menú: Usuarios. Permite crear, editar e inactivar cuentas.</w:t>
      </w:r>
    </w:p>
    <w:tbl>
      <w:tblPr>
        <w:tblW w:w="940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</w:tblPr>
      <w:tblGrid>
        <w:gridCol w:w="3000"/>
        <w:gridCol w:w="6405"/>
      </w:tblGrid>
      <w:tr>
        <w:trPr>
          <w:tblHeader/>
        </w:trPr>
        <w:tc>
          <w:tcPr>
            <w:tcW w:w="30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w="6405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Nombre completo</w:t>
            </w:r>
          </w:p>
        </w:tc>
        <w:tc>
          <w:tcPr>
            <w:tcW w:w="6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Como aparece en el carnet del funcionario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Correo electrónico</w:t>
            </w:r>
          </w:p>
        </w:tc>
        <w:tc>
          <w:tcPr>
            <w:tcW w:w="6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Email institucional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Nombre de usuario</w:t>
            </w:r>
          </w:p>
        </w:tc>
        <w:tc>
          <w:tcPr>
            <w:tcW w:w="6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Identificador para login (único)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Cédula</w:t>
            </w:r>
          </w:p>
        </w:tc>
        <w:tc>
          <w:tcPr>
            <w:tcW w:w="6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Documento del funcionario (único)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Rol</w:t>
            </w:r>
          </w:p>
        </w:tc>
        <w:tc>
          <w:tcPr>
            <w:tcW w:w="6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Administrador o Asesor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Contraseña</w:t>
            </w:r>
          </w:p>
        </w:tc>
        <w:tc>
          <w:tcPr>
            <w:tcW w:w="6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Temporal; el usuario debe cambiarla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Estado del asesor</w:t>
            </w:r>
          </w:p>
        </w:tc>
        <w:tc>
          <w:tcPr>
            <w:tcW w:w="6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Disponible / Ocupado / Descanso / No disponible</w:t>
            </w:r>
          </w:p>
        </w:tc>
      </w:tr>
    </w:tbl>
    <w:p>
      <w:pPr>
        <w:spacing w:before="0" w:after="120"/>
      </w:pP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Para inactivar un funcionario que se retira, editar y cambiar estado a inactivo. NO eliminar (se perdería el historial).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Para resetear contraseña, usar la opción "Editar" y asignar una nueva clave temporal.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3.3 Gestión de servicios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Menú: Servicios. Define las colas de atención.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Servicios principales (CITAS, COPAGOS, FACTURACIÓN, PROGRAMACIÓN, etc.).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Subservicios anidados (Citas Medicina General, Facturación Ambulatoria, ...).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Código: prefijo del turno (3 letras). Se muestra al paciente (ej. CIT-001).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Orden: posición en el atril.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Ocultar turno: si está marcado, el número no se muestra en la pantalla pública.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Requiere priorización: habilita el botón de priorización en el atril.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3.4 Gestión de cajas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Menú: Cajas. Define los puntos físicos de atención.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Nombre: "Caja 1", "Consultorio 205", "Módulo A", etc.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Ubicación: descripción física para guiar al paciente.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Estado activa: si está apagada, no aparece para ser seleccionada por los asesores.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Asesor asignado: la caja se libera automáticamente cuando la sesión del asesor expira.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3.5 Asignación de servicios a asesores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Menú: Asignación de servicios.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1.	</w:t>
      </w:r>
      <w:r>
        <w:rPr>
          <w:rFonts w:ascii="Arial" w:hAnsi="Arial" w:cs="Arial"/>
          <w:sz w:val="20"/>
          <w:szCs w:val="20"/>
        </w:rPr>
        <w:t xml:space="preserve">Seleccionar el asesor.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2.	</w:t>
      </w:r>
      <w:r>
        <w:rPr>
          <w:rFonts w:ascii="Arial" w:hAnsi="Arial" w:cs="Arial"/>
          <w:sz w:val="20"/>
          <w:szCs w:val="20"/>
        </w:rPr>
        <w:t xml:space="preserve">Marcar los servicios que está autorizado a atender.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3.	</w:t>
      </w:r>
      <w:r>
        <w:rPr>
          <w:rFonts w:ascii="Arial" w:hAnsi="Arial" w:cs="Arial"/>
          <w:sz w:val="20"/>
          <w:szCs w:val="20"/>
        </w:rPr>
        <w:t xml:space="preserve">Guardar. Los cambios aplican inmediatamente.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El sistema usa esta tabla para mostrar al asesor únicamente los turnos de servicios que puede atender.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3.6 Configuración del TV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Menú: TV Config. Personaliza la pantalla pública.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Logo institucional.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Mensaje rodante (marquesina inferior).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Multimedia: imágenes y videos que rotan junto a la cola de turnos.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Orden de reproducción de multimedia.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Habilitar/deshabilitar audio.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3.7 Multimedia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1.	</w:t>
      </w:r>
      <w:r>
        <w:rPr>
          <w:rFonts w:ascii="Arial" w:hAnsi="Arial" w:cs="Arial"/>
          <w:sz w:val="20"/>
          <w:szCs w:val="20"/>
        </w:rPr>
        <w:t xml:space="preserve">Cargar archivo (imagen .jpg/.png o video .mp4).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2.	</w:t>
      </w:r>
      <w:r>
        <w:rPr>
          <w:rFonts w:ascii="Arial" w:hAnsi="Arial" w:cs="Arial"/>
          <w:sz w:val="20"/>
          <w:szCs w:val="20"/>
        </w:rPr>
        <w:t xml:space="preserve">Definir duración (segundos) si es imagen.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3.	</w:t>
      </w:r>
      <w:r>
        <w:rPr>
          <w:rFonts w:ascii="Arial" w:hAnsi="Arial" w:cs="Arial"/>
          <w:sz w:val="20"/>
          <w:szCs w:val="20"/>
        </w:rPr>
        <w:t xml:space="preserve">Activar / desactivar.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4.	</w:t>
      </w:r>
      <w:r>
        <w:rPr>
          <w:rFonts w:ascii="Arial" w:hAnsi="Arial" w:cs="Arial"/>
          <w:sz w:val="20"/>
          <w:szCs w:val="20"/>
        </w:rPr>
        <w:t xml:space="preserve">Reordenar arrastrando.</w:t>
      </w:r>
    </w:p>
    <w:p>
      <w:pPr>
        <w:spacing w:before="0" w:after="120"/>
      </w:pPr>
      <w:r>
        <w:rPr>
          <w:rFonts w:ascii="Arial" w:hAnsi="Arial" w:cs="Arial"/>
          <w:i/>
          <w:iCs/>
          <w:sz w:val="20"/>
          <w:szCs w:val="20"/>
        </w:rPr>
        <w:t xml:space="preserve">Tamaño recomendado: imágenes 1920x1080, videos máximo 50 MB.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3.8 Gráficos y reportes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Menú Gráficos: panel interactivo en tiempo real e histórico.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Menú Reportes: generación de PDF y Excel filtrando por rango de fechas, servicio o asesor.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Botón "Exportar dashboard histórico" descarga un reporte ejecutivo consolidado.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3.9 Soporte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Menú: Soporte. Permite registrar incidencias o solicitudes hacia el área de Innovación y Desarrollo. Cada solicitud queda con número de ticket y se atiende según los SLA definidos en el Acta de Entrega.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3.10 Mantenimiento de sesiones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Limpiar sesiones expiradas: libera cajas ocupadas por usuarios desconectados.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Limpiar todas las sesiones: cierra todas las sesiones del sistema.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Limpiar sesión de un usuario específico: cierra solo la del usuario seleccionado.</w:t>
      </w:r>
    </w:p>
    <w:p>
      <w:r>
        <w:br w:type="page"/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4. PERFIL: ASESOR / MÉDICO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El asesor es el funcionario que atiende a los pacientes. El panel fue diseñado para ser rápido y mantener la atención en un solo botón.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4.1 Selección de caja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Al iniciar sesión por primera vez en el día: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1.	</w:t>
      </w:r>
      <w:r>
        <w:rPr>
          <w:rFonts w:ascii="Arial" w:hAnsi="Arial" w:cs="Arial"/>
          <w:sz w:val="20"/>
          <w:szCs w:val="20"/>
        </w:rPr>
        <w:t xml:space="preserve">Aparece la pantalla "Seleccionar caja".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2.	</w:t>
      </w:r>
      <w:r>
        <w:rPr>
          <w:rFonts w:ascii="Arial" w:hAnsi="Arial" w:cs="Arial"/>
          <w:sz w:val="20"/>
          <w:szCs w:val="20"/>
        </w:rPr>
        <w:t xml:space="preserve">Elegir la caja física donde se atenderá hoy.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3.	</w:t>
      </w:r>
      <w:r>
        <w:rPr>
          <w:rFonts w:ascii="Arial" w:hAnsi="Arial" w:cs="Arial"/>
          <w:sz w:val="20"/>
          <w:szCs w:val="20"/>
        </w:rPr>
        <w:t xml:space="preserve">Presionar "Iniciar atención".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La caja queda asociada al asesor hasta que cierre sesión o expire por inactividad. Si necesita cambiar de caja durante el día, usar la opción "Cambiar caja" del menú superior.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4.2 Llamar al siguiente paciente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En el dashboard del asesor se ve el botón gigante LLAMAR SIGUIENTE.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1.	</w:t>
      </w:r>
      <w:r>
        <w:rPr>
          <w:rFonts w:ascii="Arial" w:hAnsi="Arial" w:cs="Arial"/>
          <w:sz w:val="20"/>
          <w:szCs w:val="20"/>
        </w:rPr>
        <w:t xml:space="preserve">Presionar el botón.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2.	</w:t>
      </w:r>
      <w:r>
        <w:rPr>
          <w:rFonts w:ascii="Arial" w:hAnsi="Arial" w:cs="Arial"/>
          <w:sz w:val="20"/>
          <w:szCs w:val="20"/>
        </w:rPr>
        <w:t xml:space="preserve">El sistema busca el siguiente turno según prioridad y orden de llegada.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3.	</w:t>
      </w:r>
      <w:r>
        <w:rPr>
          <w:rFonts w:ascii="Arial" w:hAnsi="Arial" w:cs="Arial"/>
          <w:sz w:val="20"/>
          <w:szCs w:val="20"/>
        </w:rPr>
        <w:t xml:space="preserve">Se emite el anuncio por voz en la pantalla TV: "Turno CIT-001, diríjase a la Caja 1".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4.	</w:t>
      </w:r>
      <w:r>
        <w:rPr>
          <w:rFonts w:ascii="Arial" w:hAnsi="Arial" w:cs="Arial"/>
          <w:sz w:val="20"/>
          <w:szCs w:val="20"/>
        </w:rPr>
        <w:t xml:space="preserve">El estado del turno cambia a "llamado" y se muestra en la TV en color destacado.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4.3 Atender turno específico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Si el paciente trae un turno específico, se puede llamar directamente ingresando el código en la opción "Llamar turno específico".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4.4 Marcar como atendido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1.	</w:t>
      </w:r>
      <w:r>
        <w:rPr>
          <w:rFonts w:ascii="Arial" w:hAnsi="Arial" w:cs="Arial"/>
          <w:sz w:val="20"/>
          <w:szCs w:val="20"/>
        </w:rPr>
        <w:t xml:space="preserve">Al terminar con el paciente, presionar FINALIZAR.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2.	</w:t>
      </w:r>
      <w:r>
        <w:rPr>
          <w:rFonts w:ascii="Arial" w:hAnsi="Arial" w:cs="Arial"/>
          <w:sz w:val="20"/>
          <w:szCs w:val="20"/>
        </w:rPr>
        <w:t xml:space="preserve">El sistema calcula la duración real de atención.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3.	</w:t>
      </w:r>
      <w:r>
        <w:rPr>
          <w:rFonts w:ascii="Arial" w:hAnsi="Arial" w:cs="Arial"/>
          <w:sz w:val="20"/>
          <w:szCs w:val="20"/>
        </w:rPr>
        <w:t xml:space="preserve">Se libera la caja y se queda lista para llamar al siguiente.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4.5 Aplazar turno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Si el paciente requiere completar documentación o regresar más tarde, presionar "Aplazar". El turno se devuelve a la cola al final.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4.6 Rellamar (paciente ausente)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1.	</w:t>
      </w:r>
      <w:r>
        <w:rPr>
          <w:rFonts w:ascii="Arial" w:hAnsi="Arial" w:cs="Arial"/>
          <w:sz w:val="20"/>
          <w:szCs w:val="20"/>
        </w:rPr>
        <w:t xml:space="preserve">Tras llamar, esperar 20 segundos.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2.	</w:t>
      </w:r>
      <w:r>
        <w:rPr>
          <w:rFonts w:ascii="Arial" w:hAnsi="Arial" w:cs="Arial"/>
          <w:sz w:val="20"/>
          <w:szCs w:val="20"/>
        </w:rPr>
        <w:t xml:space="preserve">Si el paciente no aparece, presionar el ícono de bocina (rellamar).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3.	</w:t>
      </w:r>
      <w:r>
        <w:rPr>
          <w:rFonts w:ascii="Arial" w:hAnsi="Arial" w:cs="Arial"/>
          <w:sz w:val="20"/>
          <w:szCs w:val="20"/>
        </w:rPr>
        <w:t xml:space="preserve">Esperar otros 20 segundos.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4.	</w:t>
      </w:r>
      <w:r>
        <w:rPr>
          <w:rFonts w:ascii="Arial" w:hAnsi="Arial" w:cs="Arial"/>
          <w:sz w:val="20"/>
          <w:szCs w:val="20"/>
        </w:rPr>
        <w:t xml:space="preserve">Si tras el segundo intento no aparece, marcar como ausente / aplazar.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4.7 Canal no presencial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Si el asesor atiende llamadas o canales virtuales (no pacientes presenciales), debe usar las opciones: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Iniciar canal no presencial: define el tipo de actividad (callcenter, virtual).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Finalizar canal no presencial: registra el tiempo total.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Mientras esté en canal no presencial, el asesor figura como "No disponible" para turnos presenciales y los tiempos se registran en los reportes correspondientes.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4.8 Historial de turnos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El menú "Historial" muestra los turnos atendidos por el asesor en el día, con tiempos de atención y estado final.</w:t>
      </w:r>
    </w:p>
    <w:p>
      <w:r>
        <w:br w:type="page"/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5. PERFIL: PACIENTE (VISTA MÓVIL)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5.1 Acceso vía QR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1.	</w:t>
      </w:r>
      <w:r>
        <w:rPr>
          <w:rFonts w:ascii="Arial" w:hAnsi="Arial" w:cs="Arial"/>
          <w:sz w:val="20"/>
          <w:szCs w:val="20"/>
        </w:rPr>
        <w:t xml:space="preserve">Tomar el ticket impreso al generar el turno.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2.	</w:t>
      </w:r>
      <w:r>
        <w:rPr>
          <w:rFonts w:ascii="Arial" w:hAnsi="Arial" w:cs="Arial"/>
          <w:sz w:val="20"/>
          <w:szCs w:val="20"/>
        </w:rPr>
        <w:t xml:space="preserve">Escanear el código QR con la cámara del celular.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3.	</w:t>
      </w:r>
      <w:r>
        <w:rPr>
          <w:rFonts w:ascii="Arial" w:hAnsi="Arial" w:cs="Arial"/>
          <w:sz w:val="20"/>
          <w:szCs w:val="20"/>
        </w:rPr>
        <w:t xml:space="preserve">Se abre la página /movil del sistema con el estado del turno.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5.2 Información disponible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Código del turno (ej. CIT-001).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Servicio solicitado.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Posición en la cola.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Estado actual (en espera / llamado / atendido).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Caja asignada cuando sea llamado.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5.3 Notificaciones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Cuando se llama el turno, la página se actualiza automáticamente y, si el navegador lo permite, vibra y reproduce un sonido de notificación. Es responsabilidad del paciente mantener la página abierta para recibir el aviso.</w:t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6. ATRIL DE GENERACIÓN DE TURNOS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6.1 Flujo paciente / recepcionista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1.	</w:t>
      </w:r>
      <w:r>
        <w:rPr>
          <w:rFonts w:ascii="Arial" w:hAnsi="Arial" w:cs="Arial"/>
          <w:sz w:val="20"/>
          <w:szCs w:val="20"/>
        </w:rPr>
        <w:t xml:space="preserve">Tocar el botón del servicio deseado (Citas, Copagos, Facturación, ...).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2.	</w:t>
      </w:r>
      <w:r>
        <w:rPr>
          <w:rFonts w:ascii="Arial" w:hAnsi="Arial" w:cs="Arial"/>
          <w:sz w:val="20"/>
          <w:szCs w:val="20"/>
        </w:rPr>
        <w:t xml:space="preserve">Si el servicio tiene subservicios, seleccionar la opción concreta.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3.	</w:t>
      </w:r>
      <w:r>
        <w:rPr>
          <w:rFonts w:ascii="Arial" w:hAnsi="Arial" w:cs="Arial"/>
          <w:sz w:val="20"/>
          <w:szCs w:val="20"/>
        </w:rPr>
        <w:t xml:space="preserve">Si aplica, tocar "Prioritario" antes de generar (adulto mayor, embarazada, discapacidad).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4.	</w:t>
      </w:r>
      <w:r>
        <w:rPr>
          <w:rFonts w:ascii="Arial" w:hAnsi="Arial" w:cs="Arial"/>
          <w:sz w:val="20"/>
          <w:szCs w:val="20"/>
        </w:rPr>
        <w:t xml:space="preserve">Esperar la impresión del ticket con el código y el QR.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5.	</w:t>
      </w:r>
      <w:r>
        <w:rPr>
          <w:rFonts w:ascii="Arial" w:hAnsi="Arial" w:cs="Arial"/>
          <w:sz w:val="20"/>
          <w:szCs w:val="20"/>
        </w:rPr>
        <w:t xml:space="preserve">Tomar asiento en la sala de espera y observar la pantalla.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6.2 Buenas prácticas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Mantener el rollo de papel térmico abastecido.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Limpiar la pantalla táctil al inicio y al final del día.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Si la impresora se atasca, abrir, retirar el papel arrugado y reinsertar el rollo con la cara térmica hacia afuera.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En caso de congelamiento, reiniciar el mini-PC desde el botón físico.</w:t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7. PANTALLA TV PÚBLICA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7.1 Configuración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1.	</w:t>
      </w:r>
      <w:r>
        <w:rPr>
          <w:rFonts w:ascii="Arial" w:hAnsi="Arial" w:cs="Arial"/>
          <w:sz w:val="20"/>
          <w:szCs w:val="20"/>
        </w:rPr>
        <w:t xml:space="preserve">Iniciar el navegador en modo pantalla completa (F11).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2.	</w:t>
      </w:r>
      <w:r>
        <w:rPr>
          <w:rFonts w:ascii="Arial" w:hAnsi="Arial" w:cs="Arial"/>
          <w:sz w:val="20"/>
          <w:szCs w:val="20"/>
        </w:rPr>
        <w:t xml:space="preserve">Ingresar a /tv.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3.	</w:t>
      </w:r>
      <w:r>
        <w:rPr>
          <w:rFonts w:ascii="Arial" w:hAnsi="Arial" w:cs="Arial"/>
          <w:sz w:val="20"/>
          <w:szCs w:val="20"/>
        </w:rPr>
        <w:t xml:space="preserve">Hacer un clic en cualquier parte de la pantalla para autorizar el audio del navegador.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7.2 Qué muestra la pantalla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Cola de turnos en espera por servicio.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Turno actualmente llamado con caja destacada.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Multimedia institucional (imágenes y videos).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Mensaje rodante configurable.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Reloj y fecha sincronizados con el servidor.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7.3 Reinicio rápido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Si la TV se queda congelada o pierde la conexión, refrescar la página con F5. El sistema recupera el estado automáticamente.</w:t>
      </w:r>
    </w:p>
    <w:p>
      <w:r>
        <w:br w:type="page"/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8. SOLUCIÓN DE PROBLEMAS COMUNES</w:t>
      </w:r>
    </w:p>
    <w:tbl>
      <w:tblPr>
        <w:tblW w:w="940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</w:tblPr>
      <w:tblGrid>
        <w:gridCol w:w="2800"/>
        <w:gridCol w:w="2900"/>
        <w:gridCol w:w="3705"/>
      </w:tblGrid>
      <w:tr>
        <w:trPr>
          <w:tblHeader/>
        </w:trPr>
        <w:tc>
          <w:tcPr>
            <w:tcW w:w="28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w="29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Causa probable</w:t>
            </w:r>
          </w:p>
        </w:tc>
        <w:tc>
          <w:tcPr>
            <w:tcW w:w="3705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Solución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No suena el audio del llamado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Navegador bloqueó autoplay</w:t>
            </w:r>
          </w:p>
        </w:tc>
        <w:tc>
          <w:tcPr>
            <w:tcW w:w="3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Hacer clic una vez sobre la TV para autorizar el audio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Pantalla TV no actualiza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WebSocket caído</w:t>
            </w:r>
          </w:p>
        </w:tc>
        <w:tc>
          <w:tcPr>
            <w:tcW w:w="3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Refrescar con F5; el polling de respaldo recupera en 3s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No puedo iniciar sesión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Usuario o contraseña incorrectos</w:t>
            </w:r>
          </w:p>
        </w:tc>
        <w:tc>
          <w:tcPr>
            <w:tcW w:w="3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Solicitar reset al administrador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No aparezco como disponible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Sesión expirada</w:t>
            </w:r>
          </w:p>
        </w:tc>
        <w:tc>
          <w:tcPr>
            <w:tcW w:w="3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Cerrar y volver a iniciar sesión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No veo turnos en espera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Ningún turno generado o no se atienden esos servicios</w:t>
            </w:r>
          </w:p>
        </w:tc>
        <w:tc>
          <w:tcPr>
            <w:tcW w:w="3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Verificar asignación en /asignacion-servicios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Impresora sin papel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Rollo agotado</w:t>
            </w:r>
          </w:p>
        </w:tc>
        <w:tc>
          <w:tcPr>
            <w:tcW w:w="3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Cambiar rollo y reiniciar la pantalla del atril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Error 419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Token CSRF expirado</w:t>
            </w:r>
          </w:p>
        </w:tc>
        <w:tc>
          <w:tcPr>
            <w:tcW w:w="3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Refrescar la página; en kiosko ejecutar fix-session-419.bat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Caja ocupada por otro usuario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Otro asesor inició sesión</w:t>
            </w:r>
          </w:p>
        </w:tc>
        <w:tc>
          <w:tcPr>
            <w:tcW w:w="3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Esperar que libere; admin puede limpiar la sesión</w:t>
            </w:r>
          </w:p>
        </w:tc>
      </w:tr>
    </w:tbl>
    <w:p>
      <w:pPr>
        <w:spacing w:before="0" w:after="120"/>
      </w:pP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9. CONTACTO DE SOPORTE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Mesa de servicio HUV: Ext. 1234.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Correo: soporte_sistemas@huv.gov.co.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Solicitudes formales: módulo /soporte dentro del sistema.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Horario: lunes a viernes 7:00 - 18:00; turnos rotativos 24/7 para incidentes críticos.</w:t>
      </w:r>
    </w:p>
    <w:p>
      <w:pPr>
        <w:pBdr>
          <w:bottom w:val="single" w:sz="6" w:space="1" w:color="1E40AF"/>
        </w:pBdr>
        <w:spacing w:before="60" w:after="120"/>
      </w:pPr>
    </w:p>
    <w:p>
      <w:pPr>
        <w:spacing w:before="0" w:after="120"/>
        <w:jc w:val="center"/>
      </w:pPr>
      <w:r>
        <w:rPr>
          <w:rFonts w:ascii="Arial" w:hAnsi="Arial" w:cs="Arial"/>
          <w:b/>
          <w:bCs/>
          <w:sz w:val="20"/>
          <w:szCs w:val="20"/>
        </w:rPr>
        <w:t xml:space="preserve">FIN DEL MANUAL DE USUARIO.</w:t>
      </w:r>
    </w:p>
    <w:p>
      <w:pPr>
        <w:spacing w:before="0" w:after="120"/>
        <w:jc w:val="center"/>
      </w:pPr>
      <w:r>
        <w:rPr>
          <w:rFonts w:ascii="Arial" w:hAnsi="Arial" w:cs="Arial"/>
          <w:sz w:val="20"/>
          <w:szCs w:val="20"/>
        </w:rPr>
        <w:t xml:space="preserve">Innovación y Desarrollo - Hospital Universitario del Valle</w:t>
      </w:r>
    </w:p>
    <w:p>
      <w:pPr>
        <w:spacing w:before="240" w:after="80"/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Anexos: Documentación técnica y operativa del Sistema de Turnos HUV.</w:t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Copia archivo: Innovación y Desarrollo - HUV.</w:t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Fecha: 26 de mayo de 2026</w:t>
      </w:r>
    </w:p>
    <w:p>
      <w:pPr>
        <w:spacing w:before="0" w:after="60"/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Proyectó: Kevin Echavarro - Desarrollador Innovación y Desarrollo</w:t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Revisó: Líder de Innovación y Desarrollo - HUV</w:t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Aprobó: Coordinación de Innovación y Desarrollo - HUV</w:t>
      </w:r>
    </w:p>
    <w:sectPr>
      <w:headerReference w:type="default" r:id="rId7"/>
      <w:footerReference w:type="default" r:id="rId8"/>
      <w:pgSz w:w="12240" w:h="15840"/>
      <w:pgMar w:top="2774" w:right="1134" w:bottom="1700" w:left="1701" w:header="283" w:footer="141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636E5" w14:textId="77777777" w:rsidR="00FE5BD2" w:rsidRDefault="00FE5BD2">
      <w:r>
        <w:separator/>
      </w:r>
    </w:p>
  </w:endnote>
  <w:endnote w:type="continuationSeparator" w:id="0">
    <w:p w14:paraId="04C03C56" w14:textId="77777777" w:rsidR="00FE5BD2" w:rsidRDefault="00FE5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CC417" w14:textId="77777777" w:rsidR="009B6CEF" w:rsidRDefault="009B6CEF" w:rsidP="006165A0">
    <w:pPr>
      <w:jc w:val="both"/>
      <w:rPr>
        <w:rFonts w:ascii="Arial" w:hAnsi="Arial"/>
        <w:b/>
        <w:bCs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F85E9" w14:textId="77777777" w:rsidR="00FE5BD2" w:rsidRDefault="00FE5BD2">
      <w:r>
        <w:separator/>
      </w:r>
    </w:p>
  </w:footnote>
  <w:footnote w:type="continuationSeparator" w:id="0">
    <w:p w14:paraId="2EAB7EFC" w14:textId="77777777" w:rsidR="00FE5BD2" w:rsidRDefault="00FE5B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81782" w14:textId="77777777" w:rsidR="009B6CEF" w:rsidRDefault="00EF3514">
    <w:pPr>
      <w:pStyle w:val="Encabezado"/>
    </w:pPr>
    <w:r>
      <w:rPr>
        <w:noProof/>
      </w:rPr>
      <w:pict w14:anchorId="6DFD58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position:absolute;margin-left:-75pt;margin-top:-1.15pt;width:591.95pt;height:765.9pt;z-index:-251658752">
          <v:imagedata r:id="rId1" o:title=""/>
        </v:shape>
      </w:pict>
    </w:r>
    <w:r w:rsidR="009B6CEF">
      <w:tab/>
    </w:r>
  </w:p>
  <w:p w14:paraId="348A9DC9" w14:textId="77777777" w:rsidR="009B6CEF" w:rsidRDefault="00717028">
    <w:pPr>
      <w:pStyle w:val="Encabezado"/>
    </w:pPr>
    <w:r>
      <w:pict w14:anchorId="2B331238">
        <v:shape id="_x0000_i1025" type="#_x0000_t75" style="width:438.75pt;height:567.75pt">
          <v:imagedata r:id="rId2" o:title=""/>
        </v:shape>
      </w:pict>
    </w:r>
  </w:p>
  <w:p w14:paraId="44D3ED67" w14:textId="77777777" w:rsidR="009B6CEF" w:rsidRDefault="00717028">
    <w:pPr>
      <w:pStyle w:val="Encabezado"/>
    </w:pPr>
    <w:r>
      <w:pict>
        <v:shape id="_x0000_i1026" type="#_x0000_t75" style="width:438.75pt;height:567.75pt">
          <v:imagedata r:id="rId2" o:title=""/>
        </v:shape>
      </w:pict>
    </w:r>
  </w:p>
  <w:p w14:paraId="114769E7" w14:textId="77777777" w:rsidR="009B6CEF" w:rsidRDefault="009B6CEF">
    <w:pPr>
      <w:pStyle w:val="Encabezado"/>
    </w:pPr>
  </w:p>
  <w:p w14:paraId="7BB68274" w14:textId="77777777" w:rsidR="009B6CEF" w:rsidRDefault="009B6CEF">
    <w:pPr>
      <w:pStyle w:val="Encabezado"/>
    </w:pPr>
  </w:p>
  <w:p w14:paraId="23B79D8B" w14:textId="77777777" w:rsidR="009B6CEF" w:rsidRDefault="009B6CE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3AB2"/>
    <w:rsid w:val="00005BE5"/>
    <w:rsid w:val="00035650"/>
    <w:rsid w:val="0007558F"/>
    <w:rsid w:val="000E3AB2"/>
    <w:rsid w:val="000F0308"/>
    <w:rsid w:val="00185D78"/>
    <w:rsid w:val="001C7B5D"/>
    <w:rsid w:val="001F79CC"/>
    <w:rsid w:val="00222D55"/>
    <w:rsid w:val="00255259"/>
    <w:rsid w:val="002B2FAF"/>
    <w:rsid w:val="002D2430"/>
    <w:rsid w:val="002F4ECD"/>
    <w:rsid w:val="003139A4"/>
    <w:rsid w:val="003349EF"/>
    <w:rsid w:val="003401EB"/>
    <w:rsid w:val="00340DA9"/>
    <w:rsid w:val="00352795"/>
    <w:rsid w:val="003605DB"/>
    <w:rsid w:val="00382F1A"/>
    <w:rsid w:val="00402A36"/>
    <w:rsid w:val="004062F6"/>
    <w:rsid w:val="00447B13"/>
    <w:rsid w:val="00450E99"/>
    <w:rsid w:val="0049728C"/>
    <w:rsid w:val="004D0E78"/>
    <w:rsid w:val="00541B8C"/>
    <w:rsid w:val="00584B71"/>
    <w:rsid w:val="006165A0"/>
    <w:rsid w:val="006674D2"/>
    <w:rsid w:val="006F2043"/>
    <w:rsid w:val="00717028"/>
    <w:rsid w:val="00740A0D"/>
    <w:rsid w:val="00776A6D"/>
    <w:rsid w:val="007A4331"/>
    <w:rsid w:val="007C738F"/>
    <w:rsid w:val="007E657F"/>
    <w:rsid w:val="00842459"/>
    <w:rsid w:val="00872D8D"/>
    <w:rsid w:val="00886295"/>
    <w:rsid w:val="008D0764"/>
    <w:rsid w:val="009320F9"/>
    <w:rsid w:val="00953CDC"/>
    <w:rsid w:val="0096620A"/>
    <w:rsid w:val="0096769F"/>
    <w:rsid w:val="00994663"/>
    <w:rsid w:val="009B6CEF"/>
    <w:rsid w:val="009C162F"/>
    <w:rsid w:val="009E3993"/>
    <w:rsid w:val="00A06304"/>
    <w:rsid w:val="00A154CB"/>
    <w:rsid w:val="00A23068"/>
    <w:rsid w:val="00A31673"/>
    <w:rsid w:val="00A92EC0"/>
    <w:rsid w:val="00AE0797"/>
    <w:rsid w:val="00B5128F"/>
    <w:rsid w:val="00BD024C"/>
    <w:rsid w:val="00C20487"/>
    <w:rsid w:val="00C21C03"/>
    <w:rsid w:val="00C92B2D"/>
    <w:rsid w:val="00C95B16"/>
    <w:rsid w:val="00CD5070"/>
    <w:rsid w:val="00D5450C"/>
    <w:rsid w:val="00D95B81"/>
    <w:rsid w:val="00DE3A83"/>
    <w:rsid w:val="00E40381"/>
    <w:rsid w:val="00E9514F"/>
    <w:rsid w:val="00EA40FA"/>
    <w:rsid w:val="00EA410F"/>
    <w:rsid w:val="00EB2C3D"/>
    <w:rsid w:val="00EC4AB9"/>
    <w:rsid w:val="00ED6A6E"/>
    <w:rsid w:val="00EF3514"/>
    <w:rsid w:val="00F00BA5"/>
    <w:rsid w:val="00F316C3"/>
    <w:rsid w:val="00F32D40"/>
    <w:rsid w:val="00F670E8"/>
    <w:rsid w:val="00F9140D"/>
    <w:rsid w:val="00FE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."/>
  <w14:docId w14:val="23EA2133"/>
  <w15:chartTrackingRefBased/>
  <w15:docId w15:val="{E0C168CD-C5EA-4F32-9590-CD92706F5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DejaVu Sans"/>
      <w:kern w:val="1"/>
      <w:sz w:val="24"/>
      <w:szCs w:val="24"/>
      <w:lang/>
    </w:rPr>
  </w:style>
  <w:style w:type="character" w:default="1" w:styleId="Fuentedeprrafopredeter">
    <w:name w:val="Default Paragraph Font"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character" w:customStyle="1" w:styleId="Carcterdenumeracin">
    <w:name w:val="Carácter de numeración"/>
  </w:style>
  <w:style w:type="paragraph" w:styleId="Encabezado">
    <w:name w:val="header"/>
    <w:basedOn w:val="Normal"/>
    <w:pPr>
      <w:suppressLineNumbers/>
      <w:tabs>
        <w:tab w:val="center" w:pos="4702"/>
        <w:tab w:val="right" w:pos="9405"/>
      </w:tabs>
    </w:pPr>
  </w:style>
  <w:style w:type="paragraph" w:customStyle="1" w:styleId="Cuerpodetextoindividual">
    <w:name w:val="Cuerpo de texto individual"/>
    <w:basedOn w:val="Normal"/>
    <w:pPr>
      <w:spacing w:after="120"/>
    </w:p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Cuerpodetextoindividual"/>
  </w:style>
  <w:style w:type="paragraph" w:customStyle="1" w:styleId="Rtulo">
    <w:name w:val="Rótulo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styleId="Piedepgina">
    <w:name w:val="footer"/>
    <w:basedOn w:val="Normal"/>
    <w:pPr>
      <w:suppressLineNumbers/>
      <w:tabs>
        <w:tab w:val="center" w:pos="4702"/>
        <w:tab w:val="right" w:pos="9405"/>
      </w:tabs>
    </w:pPr>
  </w:style>
  <w:style w:type="paragraph" w:customStyle="1" w:styleId="Contenidodelmarco">
    <w:name w:val="Contenido del marco"/>
    <w:basedOn w:val="Cuerpodetextoindividu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11378C-8E60-461B-9984-2FA424C1C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248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[Código de Oficina]</vt:lpstr>
      <vt:lpstr>[Código de Oficina]</vt:lpstr>
    </vt:vector>
  </TitlesOfParts>
  <Company>Hewlett-Packard Company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[Código de Oficina]</dc:title>
  <dc:subject/>
  <dc:creator>usuario</dc:creator>
  <cp:keywords/>
  <cp:lastModifiedBy>Kevin David Chavarro Erazo</cp:lastModifiedBy>
  <cp:revision>2</cp:revision>
  <cp:lastPrinted>2026-05-22T15:55:00Z</cp:lastPrinted>
  <dcterms:created xsi:type="dcterms:W3CDTF">2026-05-25T13:53:00Z</dcterms:created>
  <dcterms:modified xsi:type="dcterms:W3CDTF">2026-05-25T13:53:00Z</dcterms:modified>
</cp:coreProperties>
</file>