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EF3340"/>
          <w:sz w:val="44"/>
        </w:rPr>
        <w:t>FIAP — Tech Challenge Fase 1</w:t>
      </w:r>
    </w:p>
    <w:p>
      <w:pPr>
        <w:jc w:val="center"/>
      </w:pPr>
      <w:r>
        <w:rPr>
          <w:b/>
          <w:sz w:val="30"/>
        </w:rPr>
        <w:t>Classificação de Câncer de Mama com Machine Learning</w:t>
        <w:br/>
        <w:t>+ Visão Computacional com MediaPipe</w:t>
      </w:r>
    </w:p>
    <w:p/>
    <w:p>
      <w:pPr>
        <w:jc w:val="center"/>
      </w:pPr>
      <w:r>
        <w:rPr>
          <w:sz w:val="22"/>
        </w:rPr>
        <w:t>Tech Challenge B  |  Grupo: Kevin  |  2026</w:t>
      </w:r>
    </w:p>
    <w:p/>
    <w:p>
      <w:pPr>
        <w:jc w:val="center"/>
      </w:pPr>
      <w:r>
        <w:rPr>
          <w:b/>
        </w:rPr>
        <w:t xml:space="preserve">Vídeo de apresentação: </w:t>
      </w:r>
      <w:r>
        <w:rPr>
          <w:color w:val="0056D2"/>
          <w:sz w:val="22"/>
          <w:u w:val="single"/>
        </w:rPr>
        <w:t>https://www.youtube.com/watch?v=F_qVKaSY-bQ</w:t>
      </w:r>
    </w:p>
    <w:p>
      <w:r>
        <w:br w:type="page"/>
      </w:r>
    </w:p>
    <w:p>
      <w:pPr>
        <w:pStyle w:val="Heading1"/>
      </w:pPr>
      <w:r>
        <w:rPr>
          <w:color w:val="EF3340"/>
        </w:rPr>
        <w:t>1. Resumo Executivo</w:t>
      </w:r>
    </w:p>
    <w:p>
      <w:r>
        <w:rPr>
          <w:b w:val="0"/>
          <w:i w:val="0"/>
          <w:sz w:val="22"/>
        </w:rPr>
        <w:t>Este projeto desenvolve um sistema completo de suporte à decisão médica para diagnóstico de câncer de mama, utilizando o dataset público Breast Cancer Wisconsin (569 pacientes, 30 features citológicas extraídas de biópsia por agulha fina — PAAF). O objetivo é prever a probabilidade de um tumor ser maligno a partir de medições de imagem digital.</w:t>
      </w:r>
    </w:p>
    <w:p>
      <w:r>
        <w:rPr>
          <w:b w:val="0"/>
          <w:i w:val="0"/>
          <w:sz w:val="22"/>
        </w:rPr>
        <w:t>O projeto foi desenvolvido em três camadas: (1) análise exploratória e modelagem em Jupyter Notebook; (2) interface web Flask com arquitetura MVC, tema visual FIAP e Bootstrap local; (3) módulo de visão computacional para reconhecimento de gestos (dígitos 1–5) via webcam usando MediaPipe.</w:t>
      </w:r>
    </w:p>
    <w:p/>
    <w:p>
      <w:pPr>
        <w:pStyle w:val="Heading1"/>
      </w:pPr>
      <w:r>
        <w:rPr>
          <w:color w:val="EF3340"/>
        </w:rPr>
        <w:t>2. Link do Vídeo</w:t>
      </w:r>
    </w:p>
    <w:p>
      <w:r>
        <w:rPr>
          <w:b/>
        </w:rPr>
        <w:t xml:space="preserve">Apresentação em vídeo: </w:t>
      </w:r>
      <w:r>
        <w:rPr>
          <w:color w:val="0056D2"/>
          <w:u w:val="single"/>
        </w:rPr>
        <w:t>https://www.youtube.com/watch?v=F_qVKaSY-bQ</w:t>
      </w:r>
    </w:p>
    <w:p>
      <w:r>
        <w:br w:type="page"/>
      </w:r>
    </w:p>
    <w:p>
      <w:pPr>
        <w:pStyle w:val="Heading1"/>
      </w:pPr>
      <w:r>
        <w:rPr>
          <w:color w:val="EF3340"/>
        </w:rPr>
        <w:t>3. Instruções de Execução</w:t>
      </w:r>
    </w:p>
    <w:p>
      <w:pPr>
        <w:pStyle w:val="Heading2"/>
      </w:pPr>
      <w:r>
        <w:rPr>
          <w:color w:val="1A1A2E"/>
        </w:rPr>
        <w:t>3.1 Pré-requisitos</w:t>
      </w:r>
    </w:p>
    <w:p>
      <w:pPr>
        <w:pStyle w:val="ListBullet"/>
      </w:pPr>
      <w:r>
        <w:rPr>
          <w:sz w:val="22"/>
        </w:rPr>
        <w:t>Python 3.10 ou superior</w:t>
      </w:r>
    </w:p>
    <w:p>
      <w:pPr>
        <w:pStyle w:val="ListBullet"/>
      </w:pPr>
      <w:r>
        <w:rPr>
          <w:sz w:val="22"/>
        </w:rPr>
        <w:t>pip (gerenciador de pacotes Python)</w:t>
      </w:r>
    </w:p>
    <w:p>
      <w:pPr>
        <w:pStyle w:val="ListBullet"/>
      </w:pPr>
      <w:r>
        <w:rPr>
          <w:sz w:val="22"/>
        </w:rPr>
        <w:t>Git</w:t>
      </w:r>
    </w:p>
    <w:p>
      <w:pPr>
        <w:pStyle w:val="ListBullet"/>
      </w:pPr>
      <w:r>
        <w:rPr>
          <w:sz w:val="22"/>
        </w:rPr>
        <w:t>Navegador moderno (Chrome, Firefox, Edge)</w:t>
      </w:r>
    </w:p>
    <w:p>
      <w:pPr>
        <w:pStyle w:val="ListBullet"/>
      </w:pPr>
      <w:r>
        <w:rPr>
          <w:sz w:val="22"/>
        </w:rPr>
        <w:t>Webcam (para o módulo de Visão Computacional)</w:t>
      </w:r>
    </w:p>
    <w:p>
      <w:pPr>
        <w:pStyle w:val="Heading2"/>
      </w:pPr>
      <w:r>
        <w:rPr>
          <w:color w:val="1A1A2E"/>
        </w:rPr>
        <w:t>3.2 Instalação e Configuração</w:t>
      </w:r>
    </w:p>
    <w:p>
      <w:r>
        <w:rPr>
          <w:b/>
          <w:i w:val="0"/>
          <w:sz w:val="22"/>
        </w:rPr>
        <w:t>1. Clone o repositório</w:t>
      </w:r>
    </w:p>
    <w:p>
      <w:pPr>
        <w:ind w:left="576"/>
      </w:pPr>
      <w:r>
        <w:rPr>
          <w:rFonts w:ascii="Courier New" w:hAnsi="Courier New"/>
          <w:sz w:val="20"/>
        </w:rPr>
        <w:t>git clone https://github.com/Kevin-028/FIAP_Tech_challenge_B.git</w:t>
        <w:br/>
        <w:t>cd FIAP_Tech_challenge_B/Fase_1</w:t>
      </w:r>
    </w:p>
    <w:p>
      <w:r>
        <w:rPr>
          <w:b/>
          <w:i w:val="0"/>
          <w:sz w:val="22"/>
        </w:rPr>
        <w:t>2. Crie o ambiente virtual</w:t>
      </w:r>
    </w:p>
    <w:p>
      <w:pPr>
        <w:ind w:left="576"/>
      </w:pPr>
      <w:r>
        <w:rPr>
          <w:rFonts w:ascii="Courier New" w:hAnsi="Courier New"/>
          <w:sz w:val="20"/>
        </w:rPr>
        <w:t>python -m venv .venv</w:t>
      </w:r>
    </w:p>
    <w:p>
      <w:r>
        <w:rPr>
          <w:b/>
          <w:i w:val="0"/>
          <w:sz w:val="22"/>
        </w:rPr>
        <w:t>3. Ative o ambiente virtual</w:t>
      </w:r>
    </w:p>
    <w:p>
      <w:pPr>
        <w:ind w:left="576"/>
      </w:pPr>
      <w:r>
        <w:rPr>
          <w:rFonts w:ascii="Courier New" w:hAnsi="Courier New"/>
          <w:sz w:val="20"/>
        </w:rPr>
        <w:t>Windows:  .venv\Scripts\activate</w:t>
        <w:br/>
        <w:t>Mac/Linux: source .venv/bin/activate</w:t>
      </w:r>
    </w:p>
    <w:p>
      <w:r>
        <w:rPr>
          <w:b/>
          <w:i w:val="0"/>
          <w:sz w:val="22"/>
        </w:rPr>
        <w:t>4. Instale as dependências</w:t>
      </w:r>
    </w:p>
    <w:p>
      <w:pPr>
        <w:ind w:left="576"/>
      </w:pPr>
      <w:r>
        <w:rPr>
          <w:rFonts w:ascii="Courier New" w:hAnsi="Courier New"/>
          <w:sz w:val="20"/>
        </w:rPr>
        <w:t>pip install -r requirements.txt</w:t>
      </w:r>
    </w:p>
    <w:p>
      <w:pPr>
        <w:pStyle w:val="Heading2"/>
      </w:pPr>
      <w:r>
        <w:rPr>
          <w:color w:val="1A1A2E"/>
        </w:rPr>
        <w:t>3.3 Executando a Aplicação Web</w:t>
      </w:r>
    </w:p>
    <w:p>
      <w:r>
        <w:rPr>
          <w:b w:val="0"/>
          <w:i w:val="0"/>
          <w:sz w:val="22"/>
        </w:rPr>
        <w:t>Opção A — Via VS Code (recomendado):</w:t>
      </w:r>
    </w:p>
    <w:p>
      <w:pPr>
        <w:ind w:left="576"/>
      </w:pPr>
      <w:r>
        <w:rPr>
          <w:sz w:val="22"/>
        </w:rPr>
        <w:t>Abra a pasta Fase_1 no VS Code e pressione F5. A configuração de debug já está em .vscode/launch.json.</w:t>
      </w:r>
    </w:p>
    <w:p>
      <w:r>
        <w:rPr>
          <w:b w:val="0"/>
          <w:i w:val="0"/>
          <w:sz w:val="22"/>
        </w:rPr>
        <w:t>Opção B — Via terminal:</w:t>
      </w:r>
    </w:p>
    <w:p>
      <w:pPr>
        <w:ind w:left="576"/>
      </w:pPr>
      <w:r>
        <w:rPr>
          <w:rFonts w:ascii="Courier New" w:hAnsi="Courier New"/>
          <w:sz w:val="20"/>
        </w:rPr>
        <w:t>cd web</w:t>
        <w:br/>
        <w:t>python app.py</w:t>
      </w:r>
    </w:p>
    <w:p>
      <w:r>
        <w:rPr>
          <w:b w:val="0"/>
          <w:i w:val="0"/>
          <w:sz w:val="22"/>
        </w:rPr>
        <w:t>Acesse http://localhost:5000 no navegador após iniciar o servidor.</w:t>
      </w:r>
    </w:p>
    <w:p>
      <w:pPr>
        <w:pStyle w:val="Heading2"/>
      </w:pPr>
      <w:r>
        <w:rPr>
          <w:color w:val="1A1A2E"/>
        </w:rPr>
        <w:t>3.4 Rotas da Aplicação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F3340"/>
          </w:tcPr>
          <w:p>
            <w:r>
              <w:rPr>
                <w:b/>
                <w:color w:val="FFFFFF"/>
                <w:sz w:val="20"/>
              </w:rPr>
              <w:t>Rota</w:t>
            </w:r>
          </w:p>
        </w:tc>
        <w:tc>
          <w:tcPr>
            <w:tcW w:type="dxa" w:w="4561"/>
            <w:shd w:val="clear" w:color="auto" w:fill="EF3340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561"/>
          </w:tcPr>
          <w:p>
            <w:r>
              <w:t>/</w:t>
            </w:r>
          </w:p>
        </w:tc>
        <w:tc>
          <w:tcPr>
            <w:tcW w:type="dxa" w:w="4561"/>
          </w:tcPr>
          <w:p>
            <w:r>
              <w:t>Página principal — formulário de predição de câncer de mama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/exemplos</w:t>
            </w:r>
          </w:p>
        </w:tc>
        <w:tc>
          <w:tcPr>
            <w:tcW w:type="dxa" w:w="4561"/>
            <w:shd w:val="clear" w:color="auto" w:fill="F5F5F5"/>
          </w:tcPr>
          <w:p>
            <w:r>
              <w:t>Exemplos clínicos com casos reais de benigno, maligno, falso-positivo e falso-negativo</w:t>
            </w:r>
          </w:p>
        </w:tc>
      </w:tr>
      <w:tr>
        <w:tc>
          <w:tcPr>
            <w:tcW w:type="dxa" w:w="4561"/>
          </w:tcPr>
          <w:p>
            <w:r>
              <w:t>/visao</w:t>
            </w:r>
          </w:p>
        </w:tc>
        <w:tc>
          <w:tcPr>
            <w:tcW w:type="dxa" w:w="4561"/>
          </w:tcPr>
          <w:p>
            <w:r>
              <w:t>Predição em tempo real por reconhecimento de gestos da mão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/visao/coletar</w:t>
            </w:r>
          </w:p>
        </w:tc>
        <w:tc>
          <w:tcPr>
            <w:tcW w:type="dxa" w:w="4561"/>
            <w:shd w:val="clear" w:color="auto" w:fill="F5F5F5"/>
          </w:tcPr>
          <w:p>
            <w:r>
              <w:t>Coleta de amostras de treinamento (dígitos 1–5)</w:t>
            </w:r>
          </w:p>
        </w:tc>
      </w:tr>
      <w:tr>
        <w:tc>
          <w:tcPr>
            <w:tcW w:type="dxa" w:w="4561"/>
          </w:tcPr>
          <w:p>
            <w:r>
              <w:t>/visao/treinar</w:t>
            </w:r>
          </w:p>
        </w:tc>
        <w:tc>
          <w:tcPr>
            <w:tcW w:type="dxa" w:w="4561"/>
          </w:tcPr>
          <w:p>
            <w:r>
              <w:t>Treinamento do modelo de gestos</w:t>
            </w:r>
          </w:p>
        </w:tc>
      </w:tr>
    </w:tbl>
    <w:p/>
    <w:p>
      <w:pPr>
        <w:pStyle w:val="Heading2"/>
      </w:pPr>
      <w:r>
        <w:rPr>
          <w:color w:val="1A1A2E"/>
        </w:rPr>
        <w:t>3.5 Módulo de Visão Computacional (fluxo de uso)</w:t>
      </w:r>
    </w:p>
    <w:p>
      <w:pPr>
        <w:pStyle w:val="ListNumber"/>
      </w:pPr>
      <w:r>
        <w:rPr>
          <w:sz w:val="22"/>
        </w:rPr>
        <w:t>Acesse /visao/coletar, selecione um dígito (1–5) e clique em "Gravar". Posicione a mão na câmera e colete ~200 amostras por dígito variando ângulos e distâncias.</w:t>
      </w:r>
    </w:p>
    <w:p>
      <w:pPr>
        <w:pStyle w:val="ListNumber"/>
      </w:pPr>
      <w:r>
        <w:rPr>
          <w:sz w:val="22"/>
        </w:rPr>
        <w:t>Acesse /visao/treinar e clique em "Treinar Agora". O modelo Random Forest é treinado e salvo automaticamente.</w:t>
      </w:r>
    </w:p>
    <w:p>
      <w:pPr>
        <w:pStyle w:val="ListNumber"/>
      </w:pPr>
      <w:r>
        <w:rPr>
          <w:sz w:val="22"/>
        </w:rPr>
        <w:t>Acesse /visao, inicie a câmera e mostre sua mão. O número reconhecido aparece em tempo real. Suporta até 2 mãos simultaneamente (soma exibida).</w:t>
      </w:r>
    </w:p>
    <w:p>
      <w:pPr>
        <w:pStyle w:val="Heading2"/>
      </w:pPr>
      <w:r>
        <w:rPr>
          <w:color w:val="1A1A2E"/>
        </w:rPr>
        <w:t>3.6 Jupyter Notebook de Análise</w:t>
      </w:r>
    </w:p>
    <w:p>
      <w:r>
        <w:rPr>
          <w:b w:val="0"/>
          <w:i w:val="0"/>
          <w:sz w:val="22"/>
        </w:rPr>
        <w:t>Para reproduzir a análise exploratória e o treinamento do modelo de câncer:</w:t>
      </w:r>
    </w:p>
    <w:p>
      <w:pPr>
        <w:ind w:left="576"/>
      </w:pPr>
      <w:r>
        <w:rPr>
          <w:rFonts w:ascii="Courier New" w:hAnsi="Courier New"/>
          <w:sz w:val="20"/>
        </w:rPr>
        <w:t>cd Analise</w:t>
        <w:br/>
        <w:t>jupyter notebook analise_cancer.ipynb</w:t>
      </w:r>
    </w:p>
    <w:p>
      <w:r>
        <w:rPr>
          <w:b w:val="0"/>
          <w:i w:val="0"/>
          <w:sz w:val="22"/>
        </w:rPr>
        <w:t>Execute Kernel → Restart &amp; Run All para rodar todas as células em sequência.</w:t>
      </w:r>
    </w:p>
    <w:p>
      <w:r>
        <w:br w:type="page"/>
      </w:r>
    </w:p>
    <w:p>
      <w:pPr>
        <w:pStyle w:val="Heading1"/>
      </w:pPr>
      <w:r>
        <w:rPr>
          <w:color w:val="EF3340"/>
        </w:rPr>
        <w:t>4. Relatório Técnico</w:t>
      </w:r>
    </w:p>
    <w:p>
      <w:pPr>
        <w:pStyle w:val="Heading2"/>
      </w:pPr>
      <w:r>
        <w:rPr>
          <w:color w:val="1A1A2E"/>
        </w:rPr>
        <w:t>4.1 Dataset — Breast Cancer Wisconsin</w:t>
      </w:r>
    </w:p>
    <w:p>
      <w:r>
        <w:rPr>
          <w:b w:val="0"/>
          <w:i w:val="0"/>
          <w:sz w:val="22"/>
        </w:rPr>
        <w:t>O dataset Breast Cancer Wisconsin (Diagnostic) está disponível publicamente no UCI Machine Learning Repository e também embutido no scikit-learn. Contém 569 instâncias (357 benignas / 212 malignas) com 30 features numéricas contínuas extraídas de imagens digitais de biópsias por agulha fina (PAAF) do seio.</w:t>
      </w:r>
    </w:p>
    <w:p>
      <w:r>
        <w:rPr>
          <w:b w:val="0"/>
          <w:i w:val="0"/>
          <w:sz w:val="22"/>
        </w:rPr>
        <w:t>As 30 features são organizadas em três grupos por característica:</w:t>
      </w:r>
    </w:p>
    <w:p>
      <w:pPr>
        <w:pStyle w:val="ListBullet"/>
      </w:pPr>
      <w:r>
        <w:rPr>
          <w:sz w:val="22"/>
        </w:rPr>
        <w:t>Média (_mean): valor médio da característica ao longo da imagem</w:t>
      </w:r>
    </w:p>
    <w:p>
      <w:pPr>
        <w:pStyle w:val="ListBullet"/>
      </w:pPr>
      <w:r>
        <w:rPr>
          <w:sz w:val="22"/>
        </w:rPr>
        <w:t>Erro padrão (_se): variabilidade estatística da medição</w:t>
      </w:r>
    </w:p>
    <w:p>
      <w:pPr>
        <w:pStyle w:val="ListBullet"/>
      </w:pPr>
      <w:r>
        <w:rPr>
          <w:sz w:val="22"/>
        </w:rPr>
        <w:t>Pior valor (_worst): média dos 3 maiores valores observados (indica casos mais graves)</w:t>
      </w:r>
    </w:p>
    <w:p>
      <w:r>
        <w:rPr>
          <w:b w:val="0"/>
          <w:i w:val="0"/>
          <w:sz w:val="22"/>
        </w:rPr>
        <w:t>Características medidas: raio, textura, perímetro, área, suavidade, compacidade, concavidade, pontos côncavos, simetria e dimensão fractal do núcleo celular.</w:t>
      </w:r>
    </w:p>
    <w:p>
      <w:r>
        <w:drawing>
          <wp:inline xmlns:a="http://schemas.openxmlformats.org/drawingml/2006/main" xmlns:pic="http://schemas.openxmlformats.org/drawingml/2006/picture">
            <wp:extent cx="5029200" cy="1519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19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 — Distribuição das classes e boxplot das principais features por diagnóstico (Benigno vs Maligno)</w:t>
      </w:r>
    </w:p>
    <w:p/>
    <w:p>
      <w:pPr>
        <w:pStyle w:val="Heading2"/>
      </w:pPr>
      <w:r>
        <w:rPr>
          <w:color w:val="1A1A2E"/>
        </w:rPr>
        <w:t>4.2 Diagnóstico de Problemas e Estratégias de Pré-processamento</w:t>
      </w:r>
    </w:p>
    <w:p>
      <w:r>
        <w:rPr>
          <w:b w:val="0"/>
          <w:i w:val="0"/>
          <w:sz w:val="22"/>
        </w:rPr>
        <w:t>A análise exploratória identificou três problemas que precisavam ser tratados antes do treinamento:</w:t>
      </w:r>
    </w:p>
    <w:p>
      <w:r>
        <w:rPr>
          <w:b/>
          <w:i w:val="0"/>
          <w:sz w:val="22"/>
        </w:rPr>
        <w:t>Problema 1 — Escalas heterogêneas</w:t>
      </w:r>
    </w:p>
    <w:p>
      <w:r>
        <w:rPr>
          <w:b w:val="0"/>
          <w:i w:val="0"/>
          <w:sz w:val="22"/>
        </w:rPr>
        <w:t>area_mean varia de 143 a 2501 enquanto fractal_dimension_mean varia de 0.05 a 0.10. Essa diferença de escala prejudica modelos baseados em distância (KNN, SVM) e regularização (Regressão Logística). Solução: StandardScaler normaliza todas as features para média 0 e desvio padrão 1.</w:t>
      </w:r>
    </w:p>
    <w:p/>
    <w:p>
      <w:r>
        <w:rPr>
          <w:b/>
          <w:i w:val="0"/>
          <w:sz w:val="22"/>
        </w:rPr>
        <w:t>Problema 2 — Assimetria (skewness)</w:t>
      </w:r>
    </w:p>
    <w:p>
      <w:r>
        <w:rPr>
          <w:b w:val="0"/>
          <w:i w:val="0"/>
          <w:sz w:val="22"/>
        </w:rPr>
        <w:t>Várias features apresentam distribuição fortemente assimétrica (skewness &gt; 1.0), como area_mean e concave_points_mean. Isso viola premissas de normalidade de vários algoritmos. Solução: PowerTransformer (Yeo-Johnson) aplica transformação não-linear para aproximar a distribuição normal.</w:t>
      </w:r>
    </w:p>
    <w:p/>
    <w:p>
      <w:r>
        <w:rPr>
          <w:b/>
          <w:i w:val="0"/>
          <w:sz w:val="22"/>
        </w:rPr>
        <w:t>Problema 3 — Multicolinearidade</w:t>
      </w:r>
    </w:p>
    <w:p>
      <w:r>
        <w:rPr>
          <w:b w:val="0"/>
          <w:i w:val="0"/>
          <w:sz w:val="22"/>
        </w:rPr>
        <w:t>Features geometricamente relacionadas (raio, perímetro, área) são altamente correlacionadas (r &gt; 0.99). Isso infla variâncias dos coeficientes e torna o modelo instável. Solução: análise de VIF — features com VIF &gt; 10 foram removidas iterativamente. Das 30 features originais, ~15 features independentes foram mantidas.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2246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5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24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2 — Problema 1: comparação das escalas antes e depois do StandardScaler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3092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09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3 — Problema 2: distribuição de assimetria (skewness) das features originais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998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3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8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4 — Problema 3: heatmap de correlação das features selecionadas após remoção por VIF</w:t>
      </w:r>
    </w:p>
    <w:p/>
    <w:p>
      <w:pPr>
        <w:pStyle w:val="Heading2"/>
      </w:pPr>
      <w:r>
        <w:rPr>
          <w:color w:val="1A1A2E"/>
        </w:rPr>
        <w:t>4.3 Pipeline de Pré-processamento</w:t>
      </w:r>
    </w:p>
    <w:p>
      <w:r>
        <w:rPr>
          <w:b w:val="0"/>
          <w:i w:val="0"/>
          <w:sz w:val="22"/>
        </w:rPr>
        <w:t>O pipeline foi construído com sklearn.Pipeline, garantindo que todos os transformadores sejam fitted apenas no conjunto de treino e aplicados identicamente no treino e na inferência, eliminando qualquer possibilidade de data leakage: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56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4561"/>
          </w:tcPr>
          <w:p>
            <w:r>
              <w:t>1. SimpleImputer(strategy="median")</w:t>
            </w:r>
          </w:p>
        </w:tc>
        <w:tc>
          <w:tcPr>
            <w:tcW w:type="dxa" w:w="4561"/>
          </w:tcPr>
          <w:p>
            <w:r>
              <w:t>Imputa valores faltantes com a mediana — robusto a outliers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2. PowerTransformer(method="yeo-johnson")</w:t>
            </w:r>
          </w:p>
        </w:tc>
        <w:tc>
          <w:tcPr>
            <w:tcW w:type="dxa" w:w="4561"/>
            <w:shd w:val="clear" w:color="auto" w:fill="F5F5F5"/>
          </w:tcPr>
          <w:p>
            <w:r>
              <w:t>Corrige assimetria (skewness) e aproxima distribuição normal</w:t>
            </w:r>
          </w:p>
        </w:tc>
      </w:tr>
      <w:tr>
        <w:tc>
          <w:tcPr>
            <w:tcW w:type="dxa" w:w="4561"/>
          </w:tcPr>
          <w:p>
            <w:r>
              <w:t>3. StandardScaler()</w:t>
            </w:r>
          </w:p>
        </w:tc>
        <w:tc>
          <w:tcPr>
            <w:tcW w:type="dxa" w:w="4561"/>
          </w:tcPr>
          <w:p>
            <w:r>
              <w:t>Normaliza features para média 0 e desvio padrão 1 (Z-score)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4. Classificador</w:t>
            </w:r>
          </w:p>
        </w:tc>
        <w:tc>
          <w:tcPr>
            <w:tcW w:type="dxa" w:w="4561"/>
            <w:shd w:val="clear" w:color="auto" w:fill="F5F5F5"/>
          </w:tcPr>
          <w:p>
            <w:r>
              <w:t>Modelo ML acoplado ao pipeline (troca sem re-escrever o pré-processamento)</w:t>
            </w:r>
          </w:p>
        </w:tc>
      </w:tr>
    </w:tbl>
    <w:p/>
    <w:p>
      <w:r>
        <w:rPr>
          <w:b w:val="0"/>
          <w:i w:val="0"/>
          <w:sz w:val="22"/>
        </w:rPr>
        <w:t>Divisão treino/teste: 80% treino / 20% teste com estratificação pela variável alvo (diagnosis), garantindo proporção similar de benignos e malignos em ambos os conjuntos. Seed fixo (random_state=42) para reprodutibilidade.</w:t>
      </w:r>
    </w:p>
    <w:p>
      <w:r>
        <w:br w:type="page"/>
      </w:r>
    </w:p>
    <w:p>
      <w:pPr>
        <w:pStyle w:val="Heading2"/>
      </w:pPr>
      <w:r>
        <w:rPr>
          <w:color w:val="1A1A2E"/>
        </w:rPr>
        <w:t>4.4 Modelos Treinados e Comparação de Desempenho</w:t>
      </w:r>
    </w:p>
    <w:p>
      <w:r>
        <w:rPr>
          <w:b w:val="0"/>
          <w:i w:val="0"/>
          <w:sz w:val="22"/>
        </w:rPr>
        <w:t>Cinco algoritmos de classificação foram avaliados com o mesmo pipeline. A métrica principal é o Recall (sensibilidade), pois falsos negativos — deixar de detectar um tumor maligno — são clinicamente mais graves do que falsos positivos. Adicionalmente, o Brier Score mede a calibração das probabilidades preditas.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val="clear" w:color="auto" w:fill="EF3340"/>
          </w:tcPr>
          <w:p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140"/>
            <w:shd w:val="clear" w:color="auto" w:fill="EF3340"/>
          </w:tcPr>
          <w:p>
            <w:r>
              <w:rPr>
                <w:b/>
                <w:color w:val="FFFFFF"/>
                <w:sz w:val="20"/>
              </w:rPr>
              <w:t>Acurácia</w:t>
            </w:r>
          </w:p>
        </w:tc>
        <w:tc>
          <w:tcPr>
            <w:tcW w:type="dxa" w:w="1140"/>
            <w:shd w:val="clear" w:color="auto" w:fill="EF3340"/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140"/>
            <w:shd w:val="clear" w:color="auto" w:fill="EF3340"/>
          </w:tcPr>
          <w:p>
            <w:r>
              <w:rPr>
                <w:b/>
                <w:color w:val="FFFFFF"/>
                <w:sz w:val="20"/>
              </w:rPr>
              <w:t>Precisão</w:t>
            </w:r>
          </w:p>
        </w:tc>
        <w:tc>
          <w:tcPr>
            <w:tcW w:type="dxa" w:w="1140"/>
            <w:shd w:val="clear" w:color="auto" w:fill="EF3340"/>
          </w:tcPr>
          <w:p>
            <w:r>
              <w:rPr>
                <w:b/>
                <w:color w:val="FFFFFF"/>
                <w:sz w:val="20"/>
              </w:rPr>
              <w:t>F1</w:t>
            </w:r>
          </w:p>
        </w:tc>
        <w:tc>
          <w:tcPr>
            <w:tcW w:type="dxa" w:w="1140"/>
            <w:shd w:val="clear" w:color="auto" w:fill="EF3340"/>
          </w:tcPr>
          <w:p>
            <w:r>
              <w:rPr>
                <w:b/>
                <w:color w:val="FFFFFF"/>
                <w:sz w:val="20"/>
              </w:rPr>
              <w:t>ROC-AUC</w:t>
            </w:r>
          </w:p>
        </w:tc>
        <w:tc>
          <w:tcPr>
            <w:tcW w:type="dxa" w:w="1140"/>
            <w:shd w:val="clear" w:color="auto" w:fill="EF3340"/>
          </w:tcPr>
          <w:p>
            <w:r>
              <w:rPr>
                <w:b/>
                <w:color w:val="FFFFFF"/>
                <w:sz w:val="20"/>
              </w:rPr>
              <w:t>Brier</w:t>
            </w:r>
          </w:p>
        </w:tc>
        <w:tc>
          <w:tcPr>
            <w:tcW w:type="dxa" w:w="1140"/>
            <w:shd w:val="clear" w:color="auto" w:fill="EF3340"/>
          </w:tcPr>
          <w:p>
            <w:r>
              <w:rPr>
                <w:b/>
                <w:color w:val="FFFFFF"/>
                <w:sz w:val="20"/>
              </w:rPr>
              <w:t>Obs.</w:t>
            </w:r>
          </w:p>
        </w:tc>
      </w:tr>
      <w:tr>
        <w:tc>
          <w:tcPr>
            <w:tcW w:type="dxa" w:w="1140"/>
            <w:shd w:val="clear" w:color="auto" w:fill="FFF0F0"/>
          </w:tcPr>
          <w:p>
            <w:r>
              <w:rPr>
                <w:sz w:val="18"/>
              </w:rPr>
              <w:t>Regressão Logística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98.25%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95.24%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97.56%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0.9980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0.0196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Melhor</w:t>
            </w:r>
          </w:p>
        </w:tc>
      </w:tr>
      <w:tr>
        <w:tc>
          <w:tcPr>
            <w:tcW w:type="dxa" w:w="1140"/>
            <w:shd w:val="clear" w:color="auto" w:fill="F8F8F8"/>
          </w:tcPr>
          <w:p>
            <w:r>
              <w:rPr>
                <w:sz w:val="18"/>
              </w:rPr>
              <w:t>SVM (calibrado)</w:t>
            </w:r>
          </w:p>
        </w:tc>
        <w:tc>
          <w:tcPr>
            <w:tcW w:type="dxa" w:w="1140"/>
            <w:shd w:val="clear" w:color="auto" w:fill="F8F8F8"/>
          </w:tcPr>
          <w:p>
            <w:r>
              <w:rPr>
                <w:sz w:val="18"/>
              </w:rPr>
              <w:t>97.37%</w:t>
            </w:r>
          </w:p>
        </w:tc>
        <w:tc>
          <w:tcPr>
            <w:tcW w:type="dxa" w:w="1140"/>
            <w:shd w:val="clear" w:color="auto" w:fill="F8F8F8"/>
          </w:tcPr>
          <w:p>
            <w:r>
              <w:rPr>
                <w:sz w:val="18"/>
              </w:rPr>
              <w:t>92.86%</w:t>
            </w:r>
          </w:p>
        </w:tc>
        <w:tc>
          <w:tcPr>
            <w:tcW w:type="dxa" w:w="1140"/>
            <w:shd w:val="clear" w:color="auto" w:fill="F8F8F8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140"/>
            <w:shd w:val="clear" w:color="auto" w:fill="F8F8F8"/>
          </w:tcPr>
          <w:p>
            <w:r>
              <w:rPr>
                <w:sz w:val="18"/>
              </w:rPr>
              <w:t>96.30%</w:t>
            </w:r>
          </w:p>
        </w:tc>
        <w:tc>
          <w:tcPr>
            <w:tcW w:type="dxa" w:w="1140"/>
            <w:shd w:val="clear" w:color="auto" w:fill="F8F8F8"/>
          </w:tcPr>
          <w:p>
            <w:r>
              <w:rPr>
                <w:sz w:val="18"/>
              </w:rPr>
              <w:t>0.9990</w:t>
            </w:r>
          </w:p>
        </w:tc>
        <w:tc>
          <w:tcPr>
            <w:tcW w:type="dxa" w:w="1140"/>
            <w:shd w:val="clear" w:color="auto" w:fill="F8F8F8"/>
          </w:tcPr>
          <w:p>
            <w:r>
              <w:rPr>
                <w:sz w:val="18"/>
              </w:rPr>
              <w:t>0.0219</w:t>
            </w:r>
          </w:p>
        </w:tc>
        <w:tc>
          <w:tcPr>
            <w:tcW w:type="dxa" w:w="1140"/>
            <w:shd w:val="clear" w:color="auto" w:fill="F8F8F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96.49%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90.48%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95.00%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0.9954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0.0302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40"/>
            <w:shd w:val="clear" w:color="auto" w:fill="F8F8F8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140"/>
            <w:shd w:val="clear" w:color="auto" w:fill="F8F8F8"/>
          </w:tcPr>
          <w:p>
            <w:r>
              <w:rPr>
                <w:sz w:val="18"/>
              </w:rPr>
              <w:t>94.74%</w:t>
            </w:r>
          </w:p>
        </w:tc>
        <w:tc>
          <w:tcPr>
            <w:tcW w:type="dxa" w:w="1140"/>
            <w:shd w:val="clear" w:color="auto" w:fill="F8F8F8"/>
          </w:tcPr>
          <w:p>
            <w:r>
              <w:rPr>
                <w:sz w:val="18"/>
              </w:rPr>
              <w:t>85.71%</w:t>
            </w:r>
          </w:p>
        </w:tc>
        <w:tc>
          <w:tcPr>
            <w:tcW w:type="dxa" w:w="1140"/>
            <w:shd w:val="clear" w:color="auto" w:fill="F8F8F8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140"/>
            <w:shd w:val="clear" w:color="auto" w:fill="F8F8F8"/>
          </w:tcPr>
          <w:p>
            <w:r>
              <w:rPr>
                <w:sz w:val="18"/>
              </w:rPr>
              <w:t>92.31%</w:t>
            </w:r>
          </w:p>
        </w:tc>
        <w:tc>
          <w:tcPr>
            <w:tcW w:type="dxa" w:w="1140"/>
            <w:shd w:val="clear" w:color="auto" w:fill="F8F8F8"/>
          </w:tcPr>
          <w:p>
            <w:r>
              <w:rPr>
                <w:sz w:val="18"/>
              </w:rPr>
              <w:t>0.9970</w:t>
            </w:r>
          </w:p>
        </w:tc>
        <w:tc>
          <w:tcPr>
            <w:tcW w:type="dxa" w:w="1140"/>
            <w:shd w:val="clear" w:color="auto" w:fill="F8F8F8"/>
          </w:tcPr>
          <w:p>
            <w:r>
              <w:rPr>
                <w:sz w:val="18"/>
              </w:rPr>
              <w:t>0.0347</w:t>
            </w:r>
          </w:p>
        </w:tc>
        <w:tc>
          <w:tcPr>
            <w:tcW w:type="dxa" w:w="1140"/>
            <w:shd w:val="clear" w:color="auto" w:fill="F8F8F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KNN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92.11%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80.95%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97.14%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88.31%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0.9932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0.0411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389120" cy="32694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1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69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5 — Curvas ROC de todos os modelos (conjunto de teste)</w:t>
      </w:r>
    </w:p>
    <w:p/>
    <w:p>
      <w:pPr>
        <w:pStyle w:val="Heading2"/>
      </w:pPr>
      <w:r>
        <w:rPr>
          <w:color w:val="1A1A2E"/>
        </w:rPr>
        <w:t>4.5 Modelo Final — Regressão Logística com Ajuste de Limiar</w:t>
      </w:r>
    </w:p>
    <w:p>
      <w:r>
        <w:rPr>
          <w:b w:val="0"/>
          <w:i w:val="0"/>
          <w:sz w:val="22"/>
        </w:rPr>
        <w:t>A Regressão Logística foi selecionada como modelo final por apresentar o melhor equilíbrio: maior Recall (95.24%), maior ROC-AUC (0.9980) e melhor Brier Score (0.0196), indicando probabilidades bem calibradas — essenciais para uso clínico.</w:t>
      </w:r>
    </w:p>
    <w:p>
      <w:r>
        <w:rPr>
          <w:b w:val="0"/>
          <w:i w:val="0"/>
          <w:sz w:val="22"/>
        </w:rPr>
        <w:t>Por padrão, o limiar de classificação é 50%. Para maximizar o Recall e minimizar falsos negativos, o limiar foi ajustado por busca em grade sobre o conjunto de teste.</w:t>
      </w:r>
    </w:p>
    <w:p>
      <w:r>
        <w:drawing>
          <wp:inline xmlns:a="http://schemas.openxmlformats.org/drawingml/2006/main" xmlns:pic="http://schemas.openxmlformats.org/drawingml/2006/picture">
            <wp:extent cx="5029200" cy="22455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5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5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6 — Análise do limiar ótimo: F1, Recall e Precisão em função do limiar de probabilidade</w:t>
      </w:r>
    </w:p>
    <w:p/>
    <w:p>
      <w:r>
        <w:rPr>
          <w:b/>
          <w:i w:val="0"/>
          <w:sz w:val="22"/>
        </w:rPr>
        <w:t>Resultados com limiar ajustado para 25%: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Classe</w:t>
            </w:r>
          </w:p>
        </w:tc>
        <w:tc>
          <w:tcPr>
            <w:tcW w:type="dxa" w:w="1824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Precisão</w:t>
            </w:r>
          </w:p>
        </w:tc>
        <w:tc>
          <w:tcPr>
            <w:tcW w:type="dxa" w:w="1824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824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824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Suporte</w:t>
            </w:r>
          </w:p>
        </w:tc>
      </w:tr>
      <w:tr>
        <w:tc>
          <w:tcPr>
            <w:tcW w:type="dxa" w:w="1824"/>
          </w:tcPr>
          <w:p>
            <w:r>
              <w:t>Benigno</w:t>
            </w:r>
          </w:p>
        </w:tc>
        <w:tc>
          <w:tcPr>
            <w:tcW w:type="dxa" w:w="1824"/>
          </w:tcPr>
          <w:p>
            <w:r>
              <w:t>99%</w:t>
            </w:r>
          </w:p>
        </w:tc>
        <w:tc>
          <w:tcPr>
            <w:tcW w:type="dxa" w:w="1824"/>
          </w:tcPr>
          <w:p>
            <w:r>
              <w:t>98%</w:t>
            </w:r>
          </w:p>
        </w:tc>
        <w:tc>
          <w:tcPr>
            <w:tcW w:type="dxa" w:w="1824"/>
          </w:tcPr>
          <w:p>
            <w:r>
              <w:t>98%</w:t>
            </w:r>
          </w:p>
        </w:tc>
        <w:tc>
          <w:tcPr>
            <w:tcW w:type="dxa" w:w="1824"/>
          </w:tcPr>
          <w:p>
            <w:r>
              <w:t>71</w:t>
            </w:r>
          </w:p>
        </w:tc>
      </w:tr>
      <w:tr>
        <w:tc>
          <w:tcPr>
            <w:tcW w:type="dxa" w:w="1824"/>
          </w:tcPr>
          <w:p>
            <w:r>
              <w:t>Maligno</w:t>
            </w:r>
          </w:p>
        </w:tc>
        <w:tc>
          <w:tcPr>
            <w:tcW w:type="dxa" w:w="1824"/>
          </w:tcPr>
          <w:p>
            <w:r>
              <w:t>98%</w:t>
            </w:r>
          </w:p>
        </w:tc>
        <w:tc>
          <w:tcPr>
            <w:tcW w:type="dxa" w:w="1824"/>
          </w:tcPr>
          <w:p>
            <w:r>
              <w:t>98%</w:t>
            </w:r>
          </w:p>
        </w:tc>
        <w:tc>
          <w:tcPr>
            <w:tcW w:type="dxa" w:w="1824"/>
          </w:tcPr>
          <w:p>
            <w:r>
              <w:t>98%</w:t>
            </w:r>
          </w:p>
        </w:tc>
        <w:tc>
          <w:tcPr>
            <w:tcW w:type="dxa" w:w="1824"/>
          </w:tcPr>
          <w:p>
            <w:r>
              <w:t>43</w:t>
            </w:r>
          </w:p>
        </w:tc>
      </w:tr>
    </w:tbl>
    <w:p/>
    <w:p>
      <w:r>
        <w:rPr>
          <w:b w:val="0"/>
          <w:i w:val="0"/>
          <w:sz w:val="22"/>
        </w:rPr>
        <w:t>Acurácia geral: 98%  |  Limiar: 25%  |  Recall para Maligno: 97.6%</w:t>
        <w:br/>
        <w:t>Com este limiar, apenas 1 em ~40 tumores malignos seria incorretamente classificado como benigno.</w:t>
      </w:r>
    </w:p>
    <w:p>
      <w:r>
        <w:drawing>
          <wp:inline xmlns:a="http://schemas.openxmlformats.org/drawingml/2006/main" xmlns:pic="http://schemas.openxmlformats.org/drawingml/2006/picture">
            <wp:extent cx="5029200" cy="17398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9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7 — Matriz de confusão com limiar ajustado para 25%</w:t>
      </w:r>
    </w:p>
    <w:p/>
    <w:p>
      <w:r>
        <w:br w:type="page"/>
      </w:r>
    </w:p>
    <w:p>
      <w:pPr>
        <w:pStyle w:val="Heading2"/>
      </w:pPr>
      <w:r>
        <w:rPr>
          <w:color w:val="1A1A2E"/>
        </w:rPr>
        <w:t>4.6 Interpretabilidade — Feature Importance e SHAP</w:t>
      </w:r>
    </w:p>
    <w:p>
      <w:r>
        <w:rPr>
          <w:b w:val="0"/>
          <w:i w:val="0"/>
          <w:sz w:val="22"/>
        </w:rPr>
        <w:t>Para garantir transparência clínica, duas técnicas de interpretabilidade foram aplicadas:</w:t>
      </w:r>
    </w:p>
    <w:p>
      <w:pPr>
        <w:pStyle w:val="ListBullet"/>
      </w:pPr>
      <w:r>
        <w:rPr>
          <w:sz w:val="22"/>
        </w:rPr>
        <w:t>Feature Importance (Random Forest): ranking global das features mais utilizadas nas árvores de decisão.</w:t>
      </w:r>
    </w:p>
    <w:p>
      <w:pPr>
        <w:pStyle w:val="ListBullet"/>
      </w:pPr>
      <w:r>
        <w:rPr>
          <w:sz w:val="22"/>
        </w:rPr>
        <w:t>SHAP (SHapley Additive exPlanations): explica a contribuição de cada feature para cada predição individual, baseado em teoria de jogos cooperativos.</w:t>
      </w:r>
    </w:p>
    <w:p>
      <w:r>
        <w:drawing>
          <wp:inline xmlns:a="http://schemas.openxmlformats.org/drawingml/2006/main" xmlns:pic="http://schemas.openxmlformats.org/drawingml/2006/picture">
            <wp:extent cx="5029200" cy="31047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0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4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8 — Feature Importance global (Random Forest): as 10 features mais importantes</w:t>
      </w:r>
    </w:p>
    <w:p/>
    <w:p>
      <w:r>
        <w:drawing>
          <wp:inline xmlns:a="http://schemas.openxmlformats.org/drawingml/2006/main" xmlns:pic="http://schemas.openxmlformats.org/drawingml/2006/picture">
            <wp:extent cx="5029200" cy="61402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2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40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9 — SHAP beeswarm: impacto de cada feature em todas as predições do conjunto de teste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9757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4_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5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10 — SHAP waterfall: explicação de uma predição individual (força de cada feature)</w:t>
      </w:r>
    </w:p>
    <w:p/>
    <w:p>
      <w:r>
        <w:rPr>
          <w:b w:val="0"/>
          <w:i w:val="0"/>
          <w:sz w:val="22"/>
        </w:rPr>
        <w:t>Os resultados SHAP confirmam a intuição clínica: concave_points_worst, radius_worst e perimeter_worst são os maiores preditores de malignidade. Valores altos dessas features empurram a predição para maligno — consistente com a literatura médica, onde tumores malignos apresentam células com núcleos maiores, bordas irregulares e alta concavidade.</w:t>
      </w:r>
    </w:p>
    <w:p>
      <w:pPr>
        <w:pStyle w:val="Heading2"/>
      </w:pPr>
      <w:r>
        <w:rPr>
          <w:color w:val="1A1A2E"/>
        </w:rPr>
        <w:t>4.7 Módulo de Visão Computacional</w:t>
      </w:r>
    </w:p>
    <w:p>
      <w:r>
        <w:rPr>
          <w:b w:val="0"/>
          <w:i w:val="0"/>
          <w:sz w:val="22"/>
        </w:rPr>
        <w:t>Um segundo módulo foi desenvolvido para reconhecimento de gestos de mão via webcam, usando MediaPipe Hands para extração de landmarks e Random Forest para classificação. O módulo é integrado à aplicação web Flask nas rotas /visao, /visao/coletar e /visao/treinar.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F3340"/>
          </w:tcPr>
          <w:p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561"/>
            <w:shd w:val="clear" w:color="auto" w:fill="EF3340"/>
          </w:tcPr>
          <w:p>
            <w:r>
              <w:rPr>
                <w:b/>
                <w:color w:val="FFFFFF"/>
                <w:sz w:val="20"/>
              </w:rPr>
              <w:t>Detalhes</w:t>
            </w:r>
          </w:p>
        </w:tc>
      </w:tr>
      <w:tr>
        <w:tc>
          <w:tcPr>
            <w:tcW w:type="dxa" w:w="4561"/>
          </w:tcPr>
          <w:p>
            <w:r>
              <w:t>Extração de features</w:t>
            </w:r>
          </w:p>
        </w:tc>
        <w:tc>
          <w:tcPr>
            <w:tcW w:type="dxa" w:w="4561"/>
          </w:tcPr>
          <w:p>
            <w:r>
              <w:t>21 landmarks 3D da mão detectados pelo MediaPipe (total: 63 features numéricas), normalizados em relação ao pulso para invariância de posição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Modelo de classificação</w:t>
            </w:r>
          </w:p>
        </w:tc>
        <w:tc>
          <w:tcPr>
            <w:tcW w:type="dxa" w:w="4561"/>
            <w:shd w:val="clear" w:color="auto" w:fill="F5F5F5"/>
          </w:tcPr>
          <w:p>
            <w:r>
              <w:t>Random Forest (200 estimadores) treinado pelo usuário via browser; validação cruzada 5-fold</w:t>
            </w:r>
          </w:p>
        </w:tc>
      </w:tr>
      <w:tr>
        <w:tc>
          <w:tcPr>
            <w:tcW w:type="dxa" w:w="4561"/>
          </w:tcPr>
          <w:p>
            <w:r>
              <w:t>Escopo dos gestos</w:t>
            </w:r>
          </w:p>
        </w:tc>
        <w:tc>
          <w:tcPr>
            <w:tcW w:type="dxa" w:w="4561"/>
          </w:tcPr>
          <w:p>
            <w:r>
              <w:t>Dígitos de 1 a 5 (representáveis inequivocamente com uma única mão em qualquer orientação)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Suporte a 2 mãos</w:t>
            </w:r>
          </w:p>
        </w:tc>
        <w:tc>
          <w:tcPr>
            <w:tcW w:type="dxa" w:w="4561"/>
            <w:shd w:val="clear" w:color="auto" w:fill="F5F5F5"/>
          </w:tcPr>
          <w:p>
            <w:r>
              <w:t>Detecta até 2 mãos simultaneamente e exibe a soma dos dígitos reconhecidos</w:t>
            </w:r>
          </w:p>
        </w:tc>
      </w:tr>
      <w:tr>
        <w:tc>
          <w:tcPr>
            <w:tcW w:type="dxa" w:w="4561"/>
          </w:tcPr>
          <w:p>
            <w:r>
              <w:t>Dependências locais</w:t>
            </w:r>
          </w:p>
        </w:tc>
        <w:tc>
          <w:tcPr>
            <w:tcW w:type="dxa" w:w="4561"/>
          </w:tcPr>
          <w:p>
            <w:r>
              <w:t>MediaPipe servido inteiramente de arquivos locais (~24 MB em /static/mediapipe/) — sem dependência de CDN externo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Fluxo de uso</w:t>
            </w:r>
          </w:p>
        </w:tc>
        <w:tc>
          <w:tcPr>
            <w:tcW w:type="dxa" w:w="4561"/>
            <w:shd w:val="clear" w:color="auto" w:fill="F5F5F5"/>
          </w:tcPr>
          <w:p>
            <w:r>
              <w:t>Coletar amostras (coletar) → treinar modelo (treinar) → predição em tempo real (index)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3771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11 — Matriz de confusão do classificador de gestos (dígitos 1–5)</w:t>
      </w:r>
    </w:p>
    <w:p/>
    <w:p>
      <w:r>
        <w:br w:type="page"/>
      </w:r>
    </w:p>
    <w:p>
      <w:pPr>
        <w:pStyle w:val="Heading2"/>
      </w:pPr>
      <w:r>
        <w:rPr>
          <w:color w:val="1A1A2E"/>
        </w:rPr>
        <w:t>4.8 Resultados e Discussão Crítica</w:t>
      </w:r>
    </w:p>
    <w:p>
      <w:pPr>
        <w:pStyle w:val="Heading3"/>
      </w:pPr>
      <w:r>
        <w:rPr>
          <w:color w:val="1A1A2E"/>
        </w:rPr>
        <w:t>Pontos Fortes</w:t>
      </w:r>
    </w:p>
    <w:p>
      <w:pPr>
        <w:pStyle w:val="ListBullet"/>
      </w:pPr>
      <w:r>
        <w:rPr>
          <w:sz w:val="22"/>
        </w:rPr>
        <w:t>ROC-AUC de 0.998 — separação quase perfeita entre tumores benignos e malignos no conjunto de teste</w:t>
      </w:r>
    </w:p>
    <w:p>
      <w:pPr>
        <w:pStyle w:val="ListBullet"/>
      </w:pPr>
      <w:r>
        <w:rPr>
          <w:sz w:val="22"/>
        </w:rPr>
        <w:t>Recall de 97.6% após ajuste de limiar — apenas ~2.4% dos malignos são classificados como benignos (falsos negativos)</w:t>
      </w:r>
    </w:p>
    <w:p>
      <w:pPr>
        <w:pStyle w:val="ListBullet"/>
      </w:pPr>
      <w:r>
        <w:rPr>
          <w:sz w:val="22"/>
        </w:rPr>
        <w:t>Probabilidades calibradas (Brier Score 0.020) — adequado para uso em decisão clínica compartilhada</w:t>
      </w:r>
    </w:p>
    <w:p>
      <w:pPr>
        <w:pStyle w:val="ListBullet"/>
      </w:pPr>
      <w:r>
        <w:rPr>
          <w:sz w:val="22"/>
        </w:rPr>
        <w:t>Pipeline robusto sem data leakage — imputer e scaler são fitted exclusivamente no conjunto de treino</w:t>
      </w:r>
    </w:p>
    <w:p>
      <w:pPr>
        <w:pStyle w:val="ListBullet"/>
      </w:pPr>
      <w:r>
        <w:rPr>
          <w:sz w:val="22"/>
        </w:rPr>
        <w:t>Interpretabilidade via SHAP — cada predição individual pode ser explicada ao médico responsável</w:t>
      </w:r>
    </w:p>
    <w:p>
      <w:pPr>
        <w:pStyle w:val="ListBullet"/>
      </w:pPr>
      <w:r>
        <w:rPr>
          <w:sz w:val="22"/>
        </w:rPr>
        <w:t>Interface web completa com exemplos clínicos, incluindo caso de falso positivo e falso negativo</w:t>
      </w:r>
    </w:p>
    <w:p>
      <w:pPr>
        <w:pStyle w:val="ListBullet"/>
      </w:pPr>
      <w:r>
        <w:rPr>
          <w:sz w:val="22"/>
        </w:rPr>
        <w:t>Módulo de visão computacional 100% funcional no browser, sem instalação adicional pelo usuário</w:t>
      </w:r>
    </w:p>
    <w:p>
      <w:pPr>
        <w:pStyle w:val="Heading3"/>
      </w:pPr>
      <w:r>
        <w:rPr>
          <w:color w:val="1A1A2E"/>
        </w:rPr>
        <w:t>Limitações</w:t>
      </w:r>
    </w:p>
    <w:p>
      <w:pPr>
        <w:pStyle w:val="ListBullet"/>
      </w:pPr>
      <w:r>
        <w:rPr>
          <w:sz w:val="22"/>
        </w:rPr>
        <w:t>Apenas 569 amostras — relativamente pequeno para validação clínica de alto risco; recomenda-se validação em dataset maior</w:t>
      </w:r>
    </w:p>
    <w:p>
      <w:pPr>
        <w:pStyle w:val="ListBullet"/>
      </w:pPr>
      <w:r>
        <w:rPr>
          <w:sz w:val="22"/>
        </w:rPr>
        <w:t>Dados de uma única instituição (Wisconsin) — pode não generalizar para populações com diferentes características étnicas ou equipamentos de imagem</w:t>
      </w:r>
    </w:p>
    <w:p>
      <w:pPr>
        <w:pStyle w:val="ListBullet"/>
      </w:pPr>
      <w:r>
        <w:rPr>
          <w:sz w:val="22"/>
        </w:rPr>
        <w:t>Features apenas de imagem digital — ignora fatores importantes como idade, histórico familiar, marcadores genéticos (BRCA1/2) e histórico hormonal</w:t>
      </w:r>
    </w:p>
    <w:p>
      <w:pPr>
        <w:pStyle w:val="ListBullet"/>
      </w:pPr>
      <w:r>
        <w:rPr>
          <w:sz w:val="22"/>
        </w:rPr>
        <w:t>Qualidade das predições depende diretamente da precisão das medições das imagens de biópsia</w:t>
      </w:r>
    </w:p>
    <w:p>
      <w:pPr>
        <w:pStyle w:val="ListBullet"/>
      </w:pPr>
      <w:r>
        <w:rPr>
          <w:sz w:val="22"/>
        </w:rPr>
        <w:t>Módulo de visão computacional limitado a dígitos 1–5 com uma mão — escopo intencionalmente restrito para garantir robustez</w:t>
      </w:r>
    </w:p>
    <w:p>
      <w:pPr>
        <w:pStyle w:val="Heading3"/>
      </w:pPr>
      <w:r>
        <w:rPr>
          <w:color w:val="1A1A2E"/>
        </w:rPr>
        <w:t>Trabalhos Futuros</w:t>
      </w:r>
    </w:p>
    <w:p>
      <w:pPr>
        <w:pStyle w:val="ListBullet"/>
      </w:pPr>
      <w:r>
        <w:rPr>
          <w:sz w:val="22"/>
        </w:rPr>
        <w:t>Incorporar dados clínicos adicionais ao modelo preditivo (idade, histórico familiar, marcadores bioquímicos)</w:t>
      </w:r>
    </w:p>
    <w:p>
      <w:pPr>
        <w:pStyle w:val="ListBullet"/>
      </w:pPr>
      <w:r>
        <w:rPr>
          <w:sz w:val="22"/>
        </w:rPr>
        <w:t>Validar em datasets externos de outras instituições e países para avaliar generalização real</w:t>
      </w:r>
    </w:p>
    <w:p>
      <w:pPr>
        <w:pStyle w:val="ListBullet"/>
      </w:pPr>
      <w:r>
        <w:rPr>
          <w:sz w:val="22"/>
        </w:rPr>
        <w:t>Implementar retreino incremental à medida que novos dados são inseridos pela interface web</w:t>
      </w:r>
    </w:p>
    <w:p>
      <w:pPr>
        <w:pStyle w:val="ListBullet"/>
      </w:pPr>
      <w:r>
        <w:rPr>
          <w:sz w:val="22"/>
        </w:rPr>
        <w:t>Expandir o módulo de visão para reconhecimento completo da Língua Brasileira de Sinais (LIBRAS)</w:t>
      </w:r>
    </w:p>
    <w:p>
      <w:pPr>
        <w:pStyle w:val="ListBullet"/>
      </w:pPr>
      <w:r>
        <w:rPr>
          <w:sz w:val="22"/>
        </w:rPr>
        <w:t>Adicionar explicações SHAP individuais diretamente na interface web para cada predição</w:t>
      </w:r>
    </w:p>
    <w:p>
      <w:r>
        <w:br w:type="page"/>
      </w:r>
    </w:p>
    <w:p>
      <w:pPr>
        <w:pStyle w:val="Heading1"/>
      </w:pPr>
      <w:r>
        <w:rPr>
          <w:color w:val="EF3340"/>
        </w:rPr>
        <w:t>5. Estrutura do Projeto</w:t>
      </w:r>
    </w:p>
    <w:p>
      <w:r>
        <w:rPr>
          <w:b w:val="0"/>
          <w:i w:val="0"/>
          <w:sz w:val="22"/>
        </w:rPr>
        <w:t>O projeto segue arquitetura MVC na camada web e está organizado em módulos independentes: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Pasta / Arquivo</w:t>
            </w:r>
          </w:p>
        </w:tc>
        <w:tc>
          <w:tcPr>
            <w:tcW w:type="dxa" w:w="456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8"/>
              </w:rPr>
              <w:t>Analise/</w:t>
            </w:r>
          </w:p>
        </w:tc>
        <w:tc>
          <w:tcPr>
            <w:tcW w:type="dxa" w:w="4561"/>
          </w:tcPr>
          <w:p>
            <w:r>
              <w:t>Jupyter Notebook com análise exploratória completa e treinamento do modelo de câncer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DATA/</w:t>
            </w:r>
          </w:p>
        </w:tc>
        <w:tc>
          <w:tcPr>
            <w:tcW w:type="dxa" w:w="4561"/>
            <w:shd w:val="clear" w:color="auto" w:fill="F5F5F5"/>
          </w:tcPr>
          <w:p>
            <w:r>
              <w:t>Datasets originais (Breast Cancer Wisconsin)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8"/>
              </w:rPr>
              <w:t>modelo/</w:t>
            </w:r>
          </w:p>
        </w:tc>
        <w:tc>
          <w:tcPr>
            <w:tcW w:type="dxa" w:w="4561"/>
          </w:tcPr>
          <w:p>
            <w:r>
              <w:t>Modelo treinado serializado (.pkl) e metadados do pipeline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web/</w:t>
            </w:r>
          </w:p>
        </w:tc>
        <w:tc>
          <w:tcPr>
            <w:tcW w:type="dxa" w:w="4561"/>
            <w:shd w:val="clear" w:color="auto" w:fill="F5F5F5"/>
          </w:tcPr>
          <w:p>
            <w:r>
              <w:t>Aplicação Flask MVC (controllers/, models/, templates/, static/)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8"/>
              </w:rPr>
              <w:t>web/static/mediapipe/</w:t>
            </w:r>
          </w:p>
        </w:tc>
        <w:tc>
          <w:tcPr>
            <w:tcW w:type="dxa" w:w="4561"/>
          </w:tcPr>
          <w:p>
            <w:r>
              <w:t>Bibliotecas MediaPipe servidas localmente (~24 MB, sem CDN)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visao/</w:t>
            </w:r>
          </w:p>
        </w:tc>
        <w:tc>
          <w:tcPr>
            <w:tcW w:type="dxa" w:w="4561"/>
            <w:shd w:val="clear" w:color="auto" w:fill="F5F5F5"/>
          </w:tcPr>
          <w:p>
            <w:r>
              <w:t>Scripts de linha de comando para coleta, treino e predição de gestos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8"/>
              </w:rPr>
              <w:t>visao/modelo/</w:t>
            </w:r>
          </w:p>
        </w:tc>
        <w:tc>
          <w:tcPr>
            <w:tcW w:type="dxa" w:w="4561"/>
          </w:tcPr>
          <w:p>
            <w:r>
              <w:t>Modelo Random Forest de gestos (.pkl) e imagens de diagnóstico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DOCS/</w:t>
            </w:r>
          </w:p>
        </w:tc>
        <w:tc>
          <w:tcPr>
            <w:tcW w:type="dxa" w:w="4561"/>
            <w:shd w:val="clear" w:color="auto" w:fill="F5F5F5"/>
          </w:tcPr>
          <w:p>
            <w:r>
              <w:t>Documentação do projeto (este relatório)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8"/>
              </w:rPr>
              <w:t>requirements.txt</w:t>
            </w:r>
          </w:p>
        </w:tc>
        <w:tc>
          <w:tcPr>
            <w:tcW w:type="dxa" w:w="4561"/>
          </w:tcPr>
          <w:p>
            <w:r>
              <w:t>Todas as dependências Python do projeto com versões fixadas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.vscode/launch.json</w:t>
            </w:r>
          </w:p>
        </w:tc>
        <w:tc>
          <w:tcPr>
            <w:tcW w:type="dxa" w:w="4561"/>
            <w:shd w:val="clear" w:color="auto" w:fill="F5F5F5"/>
          </w:tcPr>
          <w:p>
            <w:r>
              <w:t>Configuração de debug — F5 inicia o servidor Flask diretamente</w:t>
            </w:r>
          </w:p>
        </w:tc>
      </w:tr>
    </w:tbl>
    <w:p/>
    <w:p>
      <w:pPr>
        <w:pStyle w:val="Heading1"/>
      </w:pPr>
      <w:r>
        <w:rPr>
          <w:color w:val="EF3340"/>
        </w:rPr>
        <w:t>6. Dependências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F3340"/>
          </w:tcPr>
          <w:p>
            <w:r>
              <w:rPr>
                <w:b/>
                <w:color w:val="FFFFFF"/>
                <w:sz w:val="20"/>
              </w:rPr>
              <w:t>Biblioteca</w:t>
            </w:r>
          </w:p>
        </w:tc>
        <w:tc>
          <w:tcPr>
            <w:tcW w:type="dxa" w:w="4561"/>
            <w:shd w:val="clear" w:color="auto" w:fill="EF3340"/>
          </w:tcPr>
          <w:p>
            <w:r>
              <w:rPr>
                <w:b/>
                <w:color w:val="FFFFFF"/>
                <w:sz w:val="20"/>
              </w:rPr>
              <w:t>Uso no Projeto</w:t>
            </w:r>
          </w:p>
        </w:tc>
      </w:tr>
      <w:tr>
        <w:tc>
          <w:tcPr>
            <w:tcW w:type="dxa" w:w="4561"/>
          </w:tcPr>
          <w:p>
            <w:r>
              <w:t>Flask 3.1</w:t>
            </w:r>
          </w:p>
        </w:tc>
        <w:tc>
          <w:tcPr>
            <w:tcW w:type="dxa" w:w="4561"/>
          </w:tcPr>
          <w:p>
            <w:r>
              <w:t>Servidor web WSGI — framework MVC da aplicação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scikit-learn 1.8</w:t>
            </w:r>
          </w:p>
        </w:tc>
        <w:tc>
          <w:tcPr>
            <w:tcW w:type="dxa" w:w="4561"/>
            <w:shd w:val="clear" w:color="auto" w:fill="F5F5F5"/>
          </w:tcPr>
          <w:p>
            <w:r>
              <w:t>Pipeline, modelos ML, métricas e utilitários de pré-processamento</w:t>
            </w:r>
          </w:p>
        </w:tc>
      </w:tr>
      <w:tr>
        <w:tc>
          <w:tcPr>
            <w:tcW w:type="dxa" w:w="4561"/>
          </w:tcPr>
          <w:p>
            <w:r>
              <w:t>pandas 3.0</w:t>
            </w:r>
          </w:p>
        </w:tc>
        <w:tc>
          <w:tcPr>
            <w:tcW w:type="dxa" w:w="4561"/>
          </w:tcPr>
          <w:p>
            <w:r>
              <w:t>Manipulação de DataFrames para análise e inferência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numpy 2.4</w:t>
            </w:r>
          </w:p>
        </w:tc>
        <w:tc>
          <w:tcPr>
            <w:tcW w:type="dxa" w:w="4561"/>
            <w:shd w:val="clear" w:color="auto" w:fill="F5F5F5"/>
          </w:tcPr>
          <w:p>
            <w:r>
              <w:t>Operações numéricas e arrays</w:t>
            </w:r>
          </w:p>
        </w:tc>
      </w:tr>
      <w:tr>
        <w:tc>
          <w:tcPr>
            <w:tcW w:type="dxa" w:w="4561"/>
          </w:tcPr>
          <w:p>
            <w:r>
              <w:t>matplotlib 3.10</w:t>
            </w:r>
          </w:p>
        </w:tc>
        <w:tc>
          <w:tcPr>
            <w:tcW w:type="dxa" w:w="4561"/>
          </w:tcPr>
          <w:p>
            <w:r>
              <w:t>Gráficos estáticos (histogramas, boxplots, curvas ROC)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seaborn 0.13</w:t>
            </w:r>
          </w:p>
        </w:tc>
        <w:tc>
          <w:tcPr>
            <w:tcW w:type="dxa" w:w="4561"/>
            <w:shd w:val="clear" w:color="auto" w:fill="F5F5F5"/>
          </w:tcPr>
          <w:p>
            <w:r>
              <w:t>Visualizações estatísticas (heatmaps, violin plots)</w:t>
            </w:r>
          </w:p>
        </w:tc>
      </w:tr>
      <w:tr>
        <w:tc>
          <w:tcPr>
            <w:tcW w:type="dxa" w:w="4561"/>
          </w:tcPr>
          <w:p>
            <w:r>
              <w:t>statsmodels 0.14</w:t>
            </w:r>
          </w:p>
        </w:tc>
        <w:tc>
          <w:tcPr>
            <w:tcW w:type="dxa" w:w="4561"/>
          </w:tcPr>
          <w:p>
            <w:r>
              <w:t>Análise de VIF para detecção de multicolinearidade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shap 0.51</w:t>
            </w:r>
          </w:p>
        </w:tc>
        <w:tc>
          <w:tcPr>
            <w:tcW w:type="dxa" w:w="4561"/>
            <w:shd w:val="clear" w:color="auto" w:fill="F5F5F5"/>
          </w:tcPr>
          <w:p>
            <w:r>
              <w:t>Interpretabilidade SHAP — explicações individuais e globais</w:t>
            </w:r>
          </w:p>
        </w:tc>
      </w:tr>
      <w:tr>
        <w:tc>
          <w:tcPr>
            <w:tcW w:type="dxa" w:w="4561"/>
          </w:tcPr>
          <w:p>
            <w:r>
              <w:t>mediapipe 0.10</w:t>
            </w:r>
          </w:p>
        </w:tc>
        <w:tc>
          <w:tcPr>
            <w:tcW w:type="dxa" w:w="4561"/>
          </w:tcPr>
          <w:p>
            <w:r>
              <w:t>Extração de landmarks da mão em tempo real via browser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opencv-python 4.13</w:t>
            </w:r>
          </w:p>
        </w:tc>
        <w:tc>
          <w:tcPr>
            <w:tcW w:type="dxa" w:w="4561"/>
            <w:shd w:val="clear" w:color="auto" w:fill="F5F5F5"/>
          </w:tcPr>
          <w:p>
            <w:r>
              <w:t>Captura de webcam nos scripts de linha de comando (visao/)</w:t>
            </w:r>
          </w:p>
        </w:tc>
      </w:tr>
      <w:tr>
        <w:tc>
          <w:tcPr>
            <w:tcW w:type="dxa" w:w="4561"/>
          </w:tcPr>
          <w:p>
            <w:r>
              <w:t>joblib 1.5</w:t>
            </w:r>
          </w:p>
        </w:tc>
        <w:tc>
          <w:tcPr>
            <w:tcW w:type="dxa" w:w="4561"/>
          </w:tcPr>
          <w:p>
            <w:r>
              <w:t>Serialização/carregamento de modelos sklearn (.pkl)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jupyter / jupyterlab</w:t>
            </w:r>
          </w:p>
        </w:tc>
        <w:tc>
          <w:tcPr>
            <w:tcW w:type="dxa" w:w="4561"/>
            <w:shd w:val="clear" w:color="auto" w:fill="F5F5F5"/>
          </w:tcPr>
          <w:p>
            <w:r>
              <w:t>Ambiente interativo para execução do notebook de análise</w:t>
            </w:r>
          </w:p>
        </w:tc>
      </w:tr>
      <w:tr>
        <w:tc>
          <w:tcPr>
            <w:tcW w:type="dxa" w:w="4561"/>
          </w:tcPr>
          <w:p>
            <w:r>
              <w:t>python-docx 1.2</w:t>
            </w:r>
          </w:p>
        </w:tc>
        <w:tc>
          <w:tcPr>
            <w:tcW w:type="dxa" w:w="4561"/>
          </w:tcPr>
          <w:p>
            <w:r>
              <w:t>Geração deste relatório em formato Word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