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Devis — Plateforme de gestion des engins poids lourds</w:t>
      </w:r>
    </w:p>
    <w:p>
      <w:pPr/>
      <w:r>
        <w:t xml:space="preserve">Sep 30, 2026</w:t>
      </w:r>
      <w:r>
        <w:t xml:space="preserve"> · </w:t>
      </w:r>
      <w:r>
        <w:t xml:space="preserve">@Proxima du centaure</w:t>
      </w:r>
    </w:p>
    <w:p>
      <w:pPr>
        <w:pStyle w:val="Heading2"/>
      </w:pPr>
      <w:r>
        <w:t xml:space="preserve">Synthèse</w:t>
      </w:r>
    </w:p>
    <w:p>
      <w:pPr/>
      <w:r>
        <w:t xml:space="preserve">Une plateforme web clé en main pour piloter vos engins, livrée en </w:t>
      </w:r>
      <w:r>
        <w:rPr>
          <w:b/>
        </w:rPr>
        <w:t xml:space="preserve">2 mois</w:t>
      </w:r>
      <w:r>
        <w:t xml:space="preserve"> pour un </w:t>
      </w:r>
      <w:r>
        <w:rPr>
          <w:b/>
        </w:rPr>
        <w:t xml:space="preserve">prix ferme de 550 000 FCFA HT</w:t>
      </w:r>
      <w:r>
        <w:t xml:space="preserve">, hébergement possible à coût quasi nul.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Votre enjeu</w:t>
            </w:r>
          </w:p>
        </w:tc>
        <w:tc>
          <w:tcPr>
            <w:tcW w:w="4680" w:type="dxa"/>
            <w:shd w:val="clear" w:color="auto" w:fill="F2F2F2"/>
          </w:tcPr>
          <w:p>
            <w:pPr/>
            <w:r>
              <w:t xml:space="preserve">Ce que la plateforme apporte</w:t>
            </w:r>
          </w:p>
        </w:tc>
      </w:tr>
      <w:tr>
        <w:tc>
          <w:tcPr>
            <w:tcW w:w="4680" w:type="dxa"/>
          </w:tcPr>
          <w:p>
            <w:pPr/>
            <w:r>
              <w:t xml:space="preserve">Documents expirés découverts trop tard (assurance, visite technique)</w:t>
            </w:r>
          </w:p>
        </w:tc>
        <w:tc>
          <w:tcPr>
            <w:tcW w:w="4680" w:type="dxa"/>
          </w:tcPr>
          <w:p>
            <w:pPr/>
            <w:r>
              <w:t xml:space="preserve">Alertes automatiques à J-30, J-15 et J-7</w:t>
            </w:r>
          </w:p>
        </w:tc>
      </w:tr>
      <w:tr>
        <w:tc>
          <w:tcPr>
            <w:tcW w:w="4680" w:type="dxa"/>
          </w:tcPr>
          <w:p>
            <w:pPr/>
            <w:r>
              <w:t xml:space="preserve">Pannes subies plutôt que prévues</w:t>
            </w:r>
          </w:p>
        </w:tc>
        <w:tc>
          <w:tcPr>
            <w:tcW w:w="4680" w:type="dxa"/>
          </w:tcPr>
          <w:p>
            <w:pPr/>
            <w:r>
              <w:t xml:space="preserve">Entretiens planifiés au km ou à l'heure de marche, historique par engin</w:t>
            </w:r>
          </w:p>
        </w:tc>
      </w:tr>
      <w:tr>
        <w:tc>
          <w:tcPr>
            <w:tcW w:w="4680" w:type="dxa"/>
          </w:tcPr>
          <w:p>
            <w:pPr/>
            <w:r>
              <w:t xml:space="preserve">Carburant difficile à contrôler</w:t>
            </w:r>
          </w:p>
        </w:tc>
        <w:tc>
          <w:tcPr>
            <w:tcW w:w="4680" w:type="dxa"/>
          </w:tcPr>
          <w:p>
            <w:pPr/>
            <w:r>
              <w:t xml:space="preserve">Consommation calculée à chaque plein, alerte dès +15 % d'écart</w:t>
            </w:r>
          </w:p>
        </w:tc>
      </w:tr>
      <w:tr>
        <w:tc>
          <w:tcPr>
            <w:tcW w:w="4680" w:type="dxa"/>
          </w:tcPr>
          <w:p>
            <w:pPr/>
            <w:r>
              <w:t xml:space="preserve">Coûts réels par engin inconnus</w:t>
            </w:r>
          </w:p>
        </w:tc>
        <w:tc>
          <w:tcPr>
            <w:tcW w:w="4680" w:type="dxa"/>
          </w:tcPr>
          <w:p>
            <w:pPr/>
            <w:r>
              <w:t xml:space="preserve">Coût au km et à l'heure, par engin, site et période, exporté en PDF/Excel</w:t>
            </w:r>
          </w:p>
        </w:tc>
      </w:tr>
      <w:tr>
        <w:tc>
          <w:tcPr>
            <w:tcW w:w="4680" w:type="dxa"/>
          </w:tcPr>
          <w:p>
            <w:pPr/>
            <w:r>
              <w:t xml:space="preserve">Informations dispersées (Excel, cahiers, téléphone)</w:t>
            </w:r>
          </w:p>
        </w:tc>
        <w:tc>
          <w:tcPr>
            <w:tcW w:w="4680" w:type="dxa"/>
          </w:tcPr>
          <w:p>
            <w:pPr/>
            <w:r>
              <w:t xml:space="preserve">Un seul outil, accessible au bureau comme sur chantier depuis un smartphone</w:t>
            </w:r>
          </w:p>
        </w:tc>
      </w:tr>
    </w:tbl>
    <w:p>
      <w:pPr/>
      <w:r>
        <w:rPr>
          <w:b/>
        </w:rPr>
        <w:t xml:space="preserve">Retour sur investissement, exemple chiffré.</w:t>
      </w:r>
      <w:r>
        <w:t xml:space="preserve"> Avec 10 engins consommant chacun 2 000 L de gasoil par mois à 750 FCFA/L, la flotte dépense 15 millions FCFA par mois en carburant. Réduire ce poste de 3 % grâce aux alertes de surconsommation économise 450 000 FCFA par mois : le projet est remboursé en 5 semaines environ. </w:t>
      </w:r>
      <w:r>
        <w:rPr>
          <w:i/>
        </w:rPr>
        <w:t xml:space="preserve">Hypothèses à remplacer par vos chiffres réels.</w:t>
      </w:r>
    </w:p>
    <w:p>
      <w:pPr/>
      <w:r>
        <w:rPr>
          <w:b/>
        </w:rPr>
        <w:t xml:space="preserve">Nos engagements</w:t>
      </w:r>
    </w:p>
    <w:p>
      <w:pPr>
        <w:pStyle w:val="ListParagraph"/>
        <w:numPr>
          <w:ilvl w:val="0"/>
          <w:numId w:val="2"/>
        </w:numPr>
      </w:pPr>
      <w:r>
        <w:rPr>
          <w:b/>
        </w:rPr>
        <w:t xml:space="preserve">Prix ferme</w:t>
      </w:r>
      <w:r>
        <w:t xml:space="preserve"> : aucun supplément à périmètre constant.</w:t>
      </w:r>
    </w:p>
    <w:p>
      <w:pPr>
        <w:pStyle w:val="ListParagraph"/>
        <w:numPr>
          <w:ilvl w:val="0"/>
          <w:numId w:val="2"/>
        </w:numPr>
      </w:pPr>
      <w:r>
        <w:rPr>
          <w:b/>
        </w:rPr>
        <w:t xml:space="preserve">Vous voyez avant de payer</w:t>
      </w:r>
      <w:r>
        <w:t xml:space="preserve"> : démonstration toutes les 2 semaines ; 60 % du prix est versé après la livraison de la version bêta.</w:t>
      </w:r>
    </w:p>
    <w:p>
      <w:pPr>
        <w:pStyle w:val="ListParagraph"/>
        <w:numPr>
          <w:ilvl w:val="0"/>
          <w:numId w:val="2"/>
        </w:numPr>
      </w:pPr>
      <w:r>
        <w:rPr>
          <w:b/>
        </w:rPr>
        <w:t xml:space="preserve">Vous êtes propriétaire</w:t>
      </w:r>
      <w:r>
        <w:t xml:space="preserve"> du code source et de vos données, sans licence payante à vie (technologies open source).</w:t>
      </w:r>
    </w:p>
    <w:p>
      <w:pPr>
        <w:pStyle w:val="ListParagraph"/>
        <w:numPr>
          <w:ilvl w:val="0"/>
          <w:numId w:val="2"/>
        </w:numPr>
      </w:pPr>
      <w:r>
        <w:rPr>
          <w:b/>
        </w:rPr>
        <w:t xml:space="preserve">3 mois de garantie et de support offerts</w:t>
      </w:r>
      <w:r>
        <w:t xml:space="preserve"> après la mise en production, formation des équipes incluse.</w:t>
      </w:r>
    </w:p>
    <w:p>
      <w:pPr>
        <w:pStyle w:val="ListParagraph"/>
        <w:numPr>
          <w:ilvl w:val="0"/>
          <w:numId w:val="2"/>
        </w:numPr>
      </w:pPr>
      <w:r>
        <w:rPr>
          <w:b/>
        </w:rPr>
        <w:t xml:space="preserve">Hébergement au choix</w:t>
      </w:r>
      <w:r>
        <w:t xml:space="preserve"> : gratuit pour démarrer ou serveur dédié à moins de 5 000 FCFA par mois (section 8).</w:t>
      </w:r>
    </w:p>
    <w:p>
      <w:pPr>
        <w:pStyle w:val="Heading2"/>
      </w:pPr>
      <w:r>
        <w:t xml:space="preserve">1. En-tête &amp; présentation</w:t>
      </w:r>
    </w:p>
    <w:p>
      <w:pPr/>
      <w:r>
        <w:t xml:space="preserve">Montant total proposé : </w:t>
      </w:r>
      <w:r>
        <w:rPr>
          <w:b/>
        </w:rPr>
        <w:t xml:space="preserve">550 000 FCFA HT</w:t>
      </w:r>
      <w:r>
        <w:t xml:space="preserve"> (649 000 FCFA TTC), pour une livraison complète en </w:t>
      </w:r>
      <w:r>
        <w:rPr>
          <w:b/>
        </w:rPr>
        <w:t xml:space="preserve">8 semaines (2 mois)</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Détail</w:t>
            </w:r>
          </w:p>
        </w:tc>
      </w:tr>
      <w:tr>
        <w:tc>
          <w:tcPr>
            <w:tcW w:w="4680" w:type="dxa"/>
          </w:tcPr>
          <w:p>
            <w:pPr/>
            <w:r>
              <w:t xml:space="preserve">Prestation</w:t>
            </w:r>
          </w:p>
        </w:tc>
        <w:tc>
          <w:tcPr>
            <w:tcW w:w="4680" w:type="dxa"/>
          </w:tcPr>
          <w:p>
            <w:pPr/>
            <w:r>
              <w:t xml:space="preserve">Conception, développement et déploiement d'une plateforme web de gestion des engins poids lourds</w:t>
            </w:r>
          </w:p>
        </w:tc>
      </w:tr>
      <w:tr>
        <w:tc>
          <w:tcPr>
            <w:tcW w:w="4680" w:type="dxa"/>
          </w:tcPr>
          <w:p>
            <w:pPr/>
            <w:r>
              <w:t xml:space="preserve">Référence</w:t>
            </w:r>
          </w:p>
        </w:tc>
        <w:tc>
          <w:tcPr>
            <w:tcW w:w="4680" w:type="dxa"/>
          </w:tcPr>
          <w:p>
            <w:pPr/>
            <w:r>
              <w:t xml:space="preserve">DEV-2026-09-001</w:t>
            </w:r>
          </w:p>
        </w:tc>
      </w:tr>
      <w:tr>
        <w:tc>
          <w:tcPr>
            <w:tcW w:w="4680" w:type="dxa"/>
          </w:tcPr>
          <w:p>
            <w:pPr/>
            <w:r>
              <w:t xml:space="preserve">Date d'émission</w:t>
            </w:r>
          </w:p>
        </w:tc>
        <w:tc>
          <w:tcPr>
            <w:tcW w:w="4680" w:type="dxa"/>
          </w:tcPr>
          <w:p>
            <w:pPr/>
            <w:r>
              <w:t xml:space="preserve">30/09/2026</w:t>
            </w:r>
          </w:p>
        </w:tc>
      </w:tr>
      <w:tr>
        <w:tc>
          <w:tcPr>
            <w:tcW w:w="4680" w:type="dxa"/>
          </w:tcPr>
          <w:p>
            <w:pPr/>
            <w:r>
              <w:t xml:space="preserve">Client</w:t>
            </w:r>
          </w:p>
        </w:tc>
        <w:tc>
          <w:tcPr>
            <w:tcW w:w="4680" w:type="dxa"/>
          </w:tcPr>
          <w:p>
            <w:pPr/>
            <w:r>
              <w:t xml:space="preserve">[Raison sociale du client] — [Adresse] — [Contact]</w:t>
            </w:r>
          </w:p>
        </w:tc>
      </w:tr>
      <w:tr>
        <w:tc>
          <w:tcPr>
            <w:tcW w:w="4680" w:type="dxa"/>
          </w:tcPr>
          <w:p>
            <w:pPr/>
            <w:r>
              <w:t xml:space="preserve">Prestataire</w:t>
            </w:r>
          </w:p>
        </w:tc>
        <w:tc>
          <w:tcPr>
            <w:tcW w:w="4680" w:type="dxa"/>
          </w:tcPr>
          <w:p>
            <w:pPr/>
            <w:r>
              <w:t xml:space="preserve">[Raison sociale du prestataire] — [RCCM / NIF] — [Contact]</w:t>
            </w:r>
          </w:p>
        </w:tc>
      </w:tr>
      <w:tr>
        <w:tc>
          <w:tcPr>
            <w:tcW w:w="4680" w:type="dxa"/>
          </w:tcPr>
          <w:p>
            <w:pPr/>
            <w:r>
              <w:t xml:space="preserve">Objet</w:t>
            </w:r>
          </w:p>
        </w:tc>
        <w:tc>
          <w:tcPr>
            <w:tcW w:w="4680" w:type="dxa"/>
          </w:tcPr>
          <w:p>
            <w:pPr/>
            <w:r>
              <w:t xml:space="preserve">Fournir un outil unique pour suivre le parc, les missions, la maintenance, le carburant et les coûts des engins</w:t>
            </w:r>
          </w:p>
        </w:tc>
      </w:tr>
      <w:tr>
        <w:tc>
          <w:tcPr>
            <w:tcW w:w="4680" w:type="dxa"/>
          </w:tcPr>
          <w:p>
            <w:pPr/>
            <w:r>
              <w:t xml:space="preserve">Livrables</w:t>
            </w:r>
          </w:p>
        </w:tc>
        <w:tc>
          <w:tcPr>
            <w:tcW w:w="4680" w:type="dxa"/>
          </w:tcPr>
          <w:p>
            <w:pPr/>
            <w:r>
              <w:t xml:space="preserve">Application web responsive (ordinateur, tablette, smartphone), documentation, formation</w:t>
            </w:r>
          </w:p>
        </w:tc>
      </w:tr>
      <w:tr>
        <w:tc>
          <w:tcPr>
            <w:tcW w:w="4680" w:type="dxa"/>
          </w:tcPr>
          <w:p>
            <w:pPr/>
            <w:r>
              <w:t xml:space="preserve">Validité de l'offre</w:t>
            </w:r>
          </w:p>
        </w:tc>
        <w:tc>
          <w:tcPr>
            <w:tcW w:w="4680" w:type="dxa"/>
          </w:tcPr>
          <w:p>
            <w:pPr/>
            <w:r>
              <w:t xml:space="preserve">30 jours, soit jusqu'au 30/10/2026</w:t>
            </w:r>
          </w:p>
        </w:tc>
      </w:tr>
      <w:tr>
        <w:tc>
          <w:tcPr>
            <w:tcW w:w="4680" w:type="dxa"/>
          </w:tcPr>
          <w:p>
            <w:pPr/>
            <w:r>
              <w:t xml:space="preserve">Devise</w:t>
            </w:r>
          </w:p>
        </w:tc>
        <w:tc>
          <w:tcPr>
            <w:tcW w:w="4680" w:type="dxa"/>
          </w:tcPr>
          <w:p>
            <w:pPr/>
            <w:r>
              <w:t xml:space="preserve">Franc CFA (FCFA) — contre-valeur indicative en euros : 1 EUR = 655,957 FCFA</w:t>
            </w:r>
          </w:p>
        </w:tc>
      </w:tr>
    </w:tbl>
    <w:p>
      <w:pPr>
        <w:pStyle w:val="Heading2"/>
      </w:pPr>
      <w:r>
        <w:t xml:space="preserve">2. Contexte &amp; objectifs</w:t>
      </w:r>
    </w:p>
    <w:p>
      <w:pPr/>
      <w:r>
        <w:t xml:space="preserve">Le client exploite une flotte d'engins lourds (camions, bennes, tracteurs, engins de chantier) aujourd'hui suivie sur fichiers Excel, cahiers et échanges téléphoniques. Cette dispersion entraîne des documents expirés non détectés, des pannes mal anticipées et une consommation de carburant difficile à contrôler.</w:t>
      </w:r>
    </w:p>
    <w:p>
      <w:pPr/>
      <w:r>
        <w:t xml:space="preserve">Objectifs mesurables visés par la plateforme :</w:t>
      </w:r>
    </w:p>
    <w:p>
      <w:pPr>
        <w:pStyle w:val="ListParagraph"/>
        <w:numPr>
          <w:ilvl w:val="0"/>
          <w:numId w:val="3"/>
        </w:numPr>
      </w:pPr>
      <w:r>
        <w:rPr>
          <w:b/>
        </w:rPr>
        <w:t xml:space="preserve">Centraliser</w:t>
      </w:r>
      <w:r>
        <w:t xml:space="preserve"> 100 % des fiches engins et documents administratifs dans un référentiel unique.</w:t>
      </w:r>
    </w:p>
    <w:p>
      <w:pPr>
        <w:pStyle w:val="ListParagraph"/>
        <w:numPr>
          <w:ilvl w:val="0"/>
          <w:numId w:val="3"/>
        </w:numPr>
      </w:pPr>
      <w:r>
        <w:rPr>
          <w:b/>
        </w:rPr>
        <w:t xml:space="preserve">Anticiper</w:t>
      </w:r>
      <w:r>
        <w:t xml:space="preserve"> : alertes automatiques 30, 15 et 7 jours avant l'échéance d'une assurance, d'une visite technique ou d'un entretien.</w:t>
      </w:r>
    </w:p>
    <w:p>
      <w:pPr>
        <w:pStyle w:val="ListParagraph"/>
        <w:numPr>
          <w:ilvl w:val="0"/>
          <w:numId w:val="3"/>
        </w:numPr>
      </w:pPr>
      <w:r>
        <w:rPr>
          <w:b/>
        </w:rPr>
        <w:t xml:space="preserve">Tracer</w:t>
      </w:r>
      <w:r>
        <w:t xml:space="preserve"> chaque mission, chaque plein et chaque intervention depuis le terrain, via le navigateur du téléphone, sans application à installer.</w:t>
      </w:r>
    </w:p>
    <w:p>
      <w:pPr>
        <w:pStyle w:val="ListParagraph"/>
        <w:numPr>
          <w:ilvl w:val="0"/>
          <w:numId w:val="3"/>
        </w:numPr>
      </w:pPr>
      <w:r>
        <w:rPr>
          <w:b/>
        </w:rPr>
        <w:t xml:space="preserve">Piloter</w:t>
      </w:r>
      <w:r>
        <w:t xml:space="preserve"> les coûts par engin, par site et par période (coût au km / à l'heure de marche).</w:t>
      </w:r>
    </w:p>
    <w:p>
      <w:pPr>
        <w:pStyle w:val="ListParagraph"/>
        <w:numPr>
          <w:ilvl w:val="0"/>
          <w:numId w:val="3"/>
        </w:numPr>
      </w:pPr>
      <w:r>
        <w:rPr>
          <w:b/>
        </w:rPr>
        <w:t xml:space="preserve">Réduire</w:t>
      </w:r>
      <w:r>
        <w:t xml:space="preserve"> l'indisponibilité des engins grâce à la maintenance préventive planifiée.</w:t>
      </w:r>
    </w:p>
    <w:p>
      <w:pPr>
        <w:pStyle w:val="Heading2"/>
      </w:pPr>
      <w:r>
        <w:t xml:space="preserve">3. Architecture technique recommandée</w:t>
      </w:r>
    </w:p>
    <w:p>
      <w:pPr/>
      <w:r>
        <w:t xml:space="preserve">Nous recommandons </w:t>
      </w:r>
      <w:r>
        <w:rPr>
          <w:b/>
        </w:rPr>
        <w:t xml:space="preserve">Laravel</w:t>
      </w:r>
      <w:r>
        <w:t xml:space="preserve"> plutôt que Node.js : son back-office, sa gestion des rôles et ses exports PDF/Excel sont plus rapides à livrer, et les développeurs Laravel sont faciles à trouver localement pour la maintenance.</w:t>
      </w:r>
    </w:p>
    <w:p>
      <w:pPr/>
      <w:r>
        <w:drawing>
          <wp:inline distT="0" distB="0" distL="0" distR="0">
            <wp:extent cx="5486400" cy="2359478"/>
            <wp:docPr id="1" name="image1" descr="architecture cible · 1 application web, 3 services"/>
            <a:graphic xmlns:a="http://schemas.openxmlformats.org/drawingml/2006/main">
              <a:graphicData uri="http://schemas.openxmlformats.org/drawingml/2006/picture">
                <pic:pic xmlns:pic="http://schemas.openxmlformats.org/drawingml/2006/picture">
                  <pic:nvPicPr>
                    <pic:cNvPr id="1" name="image1" descr="architecture cible · 1 application web, 3 services"/>
                    <pic:cNvPicPr/>
                  </pic:nvPicPr>
                  <pic:blipFill>
                    <a:blip r:embed="rId3"/>
                    <a:stretch>
                      <a:fillRect/>
                    </a:stretch>
                  </pic:blipFill>
                  <pic:spPr>
                    <a:xfrm>
                      <a:off x="0" y="0"/>
                      <a:ext cx="5486400" cy="2359478"/>
                    </a:xfrm>
                    <a:prstGeom prst="rect">
                      <a:avLst/>
                    </a:prstGeom>
                  </pic:spPr>
                </pic:pic>
              </a:graphicData>
            </a:graphic>
          </wp:inline>
        </w:drawing>
      </w:r>
    </w:p>
    <w:p>
      <w:pPr/>
      <w:r>
        <w:t xml:space="preserve">architecture cible · 1 application web, 3 services</w:t>
      </w:r>
    </w:p>
    <w:p>
      <w:pPr/>
      <w:r>
        <w:t xml:space="preserve">Une seule application web responsive sert tous les profils : les chauffeurs et mécaniciens saisissent depuis le navigateur de leur téléphone, sans rien installer. Une connexion internet est nécessaire pour la saisie.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Couche</w:t>
            </w:r>
          </w:p>
        </w:tc>
        <w:tc>
          <w:tcPr>
            <w:tcW w:w="3120" w:type="dxa"/>
            <w:shd w:val="clear" w:color="auto" w:fill="F2F2F2"/>
          </w:tcPr>
          <w:p>
            <w:pPr/>
            <w:r>
              <w:t xml:space="preserve">Technologie retenue</w:t>
            </w:r>
          </w:p>
        </w:tc>
        <w:tc>
          <w:tcPr>
            <w:tcW w:w="3120" w:type="dxa"/>
            <w:shd w:val="clear" w:color="auto" w:fill="F2F2F2"/>
          </w:tcPr>
          <w:p>
            <w:pPr/>
            <w:r>
              <w:t xml:space="preserve">Pourquoi</w:t>
            </w:r>
          </w:p>
        </w:tc>
      </w:tr>
      <w:tr>
        <w:tc>
          <w:tcPr>
            <w:tcW w:w="3120" w:type="dxa"/>
          </w:tcPr>
          <w:p>
            <w:pPr/>
            <w:r>
              <w:t xml:space="preserve">Backend</w:t>
            </w:r>
          </w:p>
        </w:tc>
        <w:tc>
          <w:tcPr>
            <w:tcW w:w="3120" w:type="dxa"/>
          </w:tcPr>
          <w:p>
            <w:pPr/>
            <w:r>
              <w:t xml:space="preserve">Laravel 11, Laravel Sanctum</w:t>
            </w:r>
          </w:p>
        </w:tc>
        <w:tc>
          <w:tcPr>
            <w:tcW w:w="3120" w:type="dxa"/>
          </w:tcPr>
          <w:p>
            <w:pPr/>
            <w:r>
              <w:t xml:space="preserve">Productivité, sécurité éprouvée, large communauté</w:t>
            </w:r>
          </w:p>
        </w:tc>
      </w:tr>
      <w:tr>
        <w:tc>
          <w:tcPr>
            <w:tcW w:w="3120" w:type="dxa"/>
          </w:tcPr>
          <w:p>
            <w:pPr/>
            <w:r>
              <w:t xml:space="preserve">Frontend web</w:t>
            </w:r>
          </w:p>
        </w:tc>
        <w:tc>
          <w:tcPr>
            <w:tcW w:w="3120" w:type="dxa"/>
          </w:tcPr>
          <w:p>
            <w:pPr/>
            <w:r>
              <w:t xml:space="preserve">Filament 3 (back-office prêt à l'emploi) + Livewire, Tailwind CSS, interface responsive</w:t>
            </w:r>
          </w:p>
        </w:tc>
        <w:tc>
          <w:tcPr>
            <w:tcW w:w="3120" w:type="dxa"/>
          </w:tcPr>
          <w:p>
            <w:pPr/>
            <w:r>
              <w:t xml:space="preserve">Listes, filtres, formulaires et exports générés par des composants éprouvés : moins de code, moins de bugs, livraison plus rapide</w:t>
            </w:r>
          </w:p>
        </w:tc>
      </w:tr>
      <w:tr>
        <w:tc>
          <w:tcPr>
            <w:tcW w:w="3120" w:type="dxa"/>
          </w:tcPr>
          <w:p>
            <w:pPr/>
            <w:r>
              <w:t xml:space="preserve">Base de données</w:t>
            </w:r>
          </w:p>
        </w:tc>
        <w:tc>
          <w:tcPr>
            <w:tcW w:w="3120" w:type="dxa"/>
          </w:tcPr>
          <w:p>
            <w:pPr/>
            <w:r>
              <w:t xml:space="preserve">PostgreSQL (ou MySQL selon l'existant du client)</w:t>
            </w:r>
          </w:p>
        </w:tc>
        <w:tc>
          <w:tcPr>
            <w:tcW w:w="3120" w:type="dxa"/>
          </w:tcPr>
          <w:p>
            <w:pPr/>
            <w:r>
              <w:t xml:space="preserve">Fiabilité, requêtes de reporting</w:t>
            </w:r>
          </w:p>
        </w:tc>
      </w:tr>
      <w:tr>
        <w:tc>
          <w:tcPr>
            <w:tcW w:w="3120" w:type="dxa"/>
          </w:tcPr>
          <w:p>
            <w:pPr/>
            <w:r>
              <w:t xml:space="preserve">Rôles &amp; droits</w:t>
            </w:r>
          </w:p>
        </w:tc>
        <w:tc>
          <w:tcPr>
            <w:tcW w:w="3120" w:type="dxa"/>
          </w:tcPr>
          <w:p>
            <w:pPr/>
            <w:r>
              <w:t xml:space="preserve">spatie/laravel-permission</w:t>
            </w:r>
          </w:p>
        </w:tc>
        <w:tc>
          <w:tcPr>
            <w:tcW w:w="3120" w:type="dxa"/>
          </w:tcPr>
          <w:p>
            <w:pPr/>
            <w:r>
              <w:t xml:space="preserve">Gestion fine des 4 rôles et des restrictions par site</w:t>
            </w:r>
          </w:p>
        </w:tc>
      </w:tr>
      <w:tr>
        <w:tc>
          <w:tcPr>
            <w:tcW w:w="3120" w:type="dxa"/>
          </w:tcPr>
          <w:p>
            <w:pPr/>
            <w:r>
              <w:t xml:space="preserve">Exports</w:t>
            </w:r>
          </w:p>
        </w:tc>
        <w:tc>
          <w:tcPr>
            <w:tcW w:w="3120" w:type="dxa"/>
          </w:tcPr>
          <w:p>
            <w:pPr/>
            <w:r>
              <w:t xml:space="preserve">DomPDF / Snappy (PDF), Laravel Excel (XLSX)</w:t>
            </w:r>
          </w:p>
        </w:tc>
        <w:tc>
          <w:tcPr>
            <w:tcW w:w="3120" w:type="dxa"/>
          </w:tcPr>
          <w:p>
            <w:pPr/>
            <w:r>
              <w:t xml:space="preserve">Rapports conformes aux modèles du client</w:t>
            </w:r>
          </w:p>
        </w:tc>
      </w:tr>
      <w:tr>
        <w:tc>
          <w:tcPr>
            <w:tcW w:w="3120" w:type="dxa"/>
          </w:tcPr>
          <w:p>
            <w:pPr/>
            <w:r>
              <w:t xml:space="preserve">Graphiques</w:t>
            </w:r>
          </w:p>
        </w:tc>
        <w:tc>
          <w:tcPr>
            <w:tcW w:w="3120" w:type="dxa"/>
          </w:tcPr>
          <w:p>
            <w:pPr/>
            <w:r>
              <w:t xml:space="preserve">Chart.js ou ApexCharts</w:t>
            </w:r>
          </w:p>
        </w:tc>
        <w:tc>
          <w:tcPr>
            <w:tcW w:w="3120" w:type="dxa"/>
          </w:tcPr>
          <w:p>
            <w:pPr/>
            <w:r>
              <w:t xml:space="preserve">Tableaux de bord lisibles sur ordinateur et tablette</w:t>
            </w:r>
          </w:p>
        </w:tc>
      </w:tr>
      <w:tr>
        <w:tc>
          <w:tcPr>
            <w:tcW w:w="3120" w:type="dxa"/>
          </w:tcPr>
          <w:p>
            <w:pPr/>
            <w:r>
              <w:t xml:space="preserve">Notifications</w:t>
            </w:r>
          </w:p>
        </w:tc>
        <w:tc>
          <w:tcPr>
            <w:tcW w:w="3120" w:type="dxa"/>
          </w:tcPr>
          <w:p>
            <w:pPr/>
            <w:r>
              <w:t xml:space="preserve">E-mails transactionnels (SMTP), alertes dans l'application</w:t>
            </w:r>
          </w:p>
        </w:tc>
        <w:tc>
          <w:tcPr>
            <w:tcW w:w="3120" w:type="dxa"/>
          </w:tcPr>
          <w:p>
            <w:pPr/>
            <w:r>
              <w:t xml:space="preserve">Aucun coût d'abonnement</w:t>
            </w:r>
          </w:p>
        </w:tc>
      </w:tr>
      <w:tr>
        <w:tc>
          <w:tcPr>
            <w:tcW w:w="3120" w:type="dxa"/>
          </w:tcPr>
          <w:p>
            <w:pPr/>
            <w:r>
              <w:t xml:space="preserve">Infrastructure</w:t>
            </w:r>
          </w:p>
        </w:tc>
        <w:tc>
          <w:tcPr>
            <w:tcW w:w="3120" w:type="dxa"/>
          </w:tcPr>
          <w:p>
            <w:pPr/>
            <w:r>
              <w:t xml:space="preserve">Serveur cloud Linux, Docker, Nginx, CI/CD GitHub Actions</w:t>
            </w:r>
          </w:p>
        </w:tc>
        <w:tc>
          <w:tcPr>
            <w:tcW w:w="3120" w:type="dxa"/>
          </w:tcPr>
          <w:p>
            <w:pPr/>
            <w:r>
              <w:t xml:space="preserve">Déploiements reproductibles, sauvegardes quotidiennes automatiques</w:t>
            </w:r>
          </w:p>
        </w:tc>
      </w:tr>
    </w:tbl>
    <w:p>
      <w:pPr/>
      <w:r>
        <w:rPr>
          <w:b/>
        </w:rPr>
        <w:t xml:space="preserve">Évolutivité</w:t>
      </w:r>
      <w:r>
        <w:t xml:space="preserve"> : le code est organisé pour exposer plus tard une API REST, si une application mobile est ajoutée (voir option O6).</w:t>
      </w:r>
    </w:p>
    <w:p>
      <w:pPr/>
      <w:r>
        <w:rPr>
          <w:b/>
        </w:rPr>
        <w:t xml:space="preserve">Sécurité</w:t>
      </w:r>
      <w:r>
        <w:t xml:space="preserve"> : HTTPS obligatoire, mots de passe chiffrés (bcrypt), jetons d'accès révocables, journal d'audit, sauvegarde quotidienne de la base conservée 30 jours.</w:t>
      </w:r>
    </w:p>
    <w:p>
      <w:pPr>
        <w:pStyle w:val="Heading2"/>
      </w:pPr>
      <w:r>
        <w:t xml:space="preserve">4. Périmètre fonctionnel</w:t>
      </w:r>
    </w:p>
    <w:p>
      <w:pPr/>
      <w:r>
        <w:t xml:space="preserve">Le périmètre couvre 6 modules métier, tous accessibles depuis un navigateur web sur ordinateur, tablette ou smartphone (interface responsive, sans application à installer).</w:t>
      </w:r>
    </w:p>
    <w:p>
      <w:pPr>
        <w:pStyle w:val="Heading3"/>
      </w:pPr>
      <w:r>
        <w:t xml:space="preserve">Module 1 — Gestion du parc d'engins</w:t>
      </w:r>
    </w:p>
    <w:p>
      <w:pPr>
        <w:pStyle w:val="ListParagraph"/>
        <w:numPr>
          <w:ilvl w:val="0"/>
          <w:numId w:val="4"/>
        </w:numPr>
      </w:pPr>
      <w:r>
        <w:t xml:space="preserve">Fiche engin complète : type (camion, benne, tracteur, chargeuse…), marque, modèle, n° de châssis, immatriculation, année, compteur km et/ou horamètre, photos, statut (disponible, en mission, en panne, en maintenance, réformé).</w:t>
      </w:r>
    </w:p>
    <w:p>
      <w:pPr>
        <w:pStyle w:val="ListParagraph"/>
        <w:numPr>
          <w:ilvl w:val="0"/>
          <w:numId w:val="4"/>
        </w:numPr>
      </w:pPr>
      <w:r>
        <w:t xml:space="preserve">Gestion documentaire : carte grise, assurance, visite technique, vignette, patente/licence de transport, avec date d'expiration et pièce jointe (PDF, photo).</w:t>
      </w:r>
    </w:p>
    <w:p>
      <w:pPr>
        <w:pStyle w:val="ListParagraph"/>
        <w:numPr>
          <w:ilvl w:val="0"/>
          <w:numId w:val="4"/>
        </w:numPr>
      </w:pPr>
      <w:r>
        <w:t xml:space="preserve">Alertes d'échéance paramétrables (J-30, J-15, J-7) par e-mail et dans l'application.</w:t>
      </w:r>
    </w:p>
    <w:p>
      <w:pPr>
        <w:pStyle w:val="ListParagraph"/>
        <w:numPr>
          <w:ilvl w:val="0"/>
          <w:numId w:val="4"/>
        </w:numPr>
      </w:pPr>
      <w:r>
        <w:t xml:space="preserve">Affectation d'un engin à un site ou à un dépôt, historique des affectations.</w:t>
      </w:r>
    </w:p>
    <w:p>
      <w:pPr>
        <w:pStyle w:val="ListParagraph"/>
        <w:numPr>
          <w:ilvl w:val="0"/>
          <w:numId w:val="4"/>
        </w:numPr>
      </w:pPr>
      <w:r>
        <w:t xml:space="preserve">Import initial du parc depuis un fichier Excel.</w:t>
      </w:r>
    </w:p>
    <w:p>
      <w:pPr>
        <w:pStyle w:val="Heading3"/>
      </w:pPr>
      <w:r>
        <w:t xml:space="preserve">Module 2 — Suivi des activités &amp; missions</w:t>
      </w:r>
    </w:p>
    <w:p>
      <w:pPr>
        <w:pStyle w:val="ListParagraph"/>
        <w:numPr>
          <w:ilvl w:val="0"/>
          <w:numId w:val="5"/>
        </w:numPr>
      </w:pPr>
      <w:r>
        <w:t xml:space="preserve">Référentiel des chauffeurs/opérateurs : permis (catégories, validité), habilitations, contacts.</w:t>
      </w:r>
    </w:p>
    <w:p>
      <w:pPr>
        <w:pStyle w:val="ListParagraph"/>
        <w:numPr>
          <w:ilvl w:val="0"/>
          <w:numId w:val="5"/>
        </w:numPr>
      </w:pPr>
      <w:r>
        <w:t xml:space="preserve">Création d'ordres de mission : engin, chauffeur, site d'intervention, dates, nature des travaux, génération PDF de l'ordre.</w:t>
      </w:r>
    </w:p>
    <w:p>
      <w:pPr>
        <w:pStyle w:val="ListParagraph"/>
        <w:numPr>
          <w:ilvl w:val="0"/>
          <w:numId w:val="5"/>
        </w:numPr>
      </w:pPr>
      <w:r>
        <w:t xml:space="preserve">Contrôle des conflits : un engin ou un chauffeur ne peut pas être affecté à deux missions simultanées.</w:t>
      </w:r>
    </w:p>
    <w:p>
      <w:pPr>
        <w:pStyle w:val="ListParagraph"/>
        <w:numPr>
          <w:ilvl w:val="0"/>
          <w:numId w:val="5"/>
        </w:numPr>
      </w:pPr>
      <w:r>
        <w:t xml:space="preserve">Espace chauffeur, optimisé pour le navigateur du téléphone : missions du jour, démarrage/clôture, relevé du compteur km et des heures de marche (avec photo du compteur), check-list de prise en main de l'engin.</w:t>
      </w:r>
    </w:p>
    <w:p>
      <w:pPr>
        <w:pStyle w:val="ListParagraph"/>
        <w:numPr>
          <w:ilvl w:val="0"/>
          <w:numId w:val="5"/>
        </w:numPr>
      </w:pPr>
      <w:r>
        <w:t xml:space="preserve">Signalement terrain : incident, anomalie ou panne avec photo.</w:t>
      </w:r>
    </w:p>
    <w:p>
      <w:pPr>
        <w:pStyle w:val="ListParagraph"/>
        <w:numPr>
          <w:ilvl w:val="0"/>
          <w:numId w:val="5"/>
        </w:numPr>
      </w:pPr>
      <w:r>
        <w:t xml:space="preserve">Gestion des sites d'intervention (chantiers, carrières, clients) et planning visuel des missions.</w:t>
      </w:r>
    </w:p>
    <w:p>
      <w:pPr>
        <w:pStyle w:val="Heading3"/>
      </w:pPr>
      <w:r>
        <w:t xml:space="preserve">Module 3 — Maintenance &amp; entretien</w:t>
      </w:r>
    </w:p>
    <w:p>
      <w:pPr>
        <w:pStyle w:val="ListParagraph"/>
        <w:numPr>
          <w:ilvl w:val="0"/>
          <w:numId w:val="6"/>
        </w:numPr>
      </w:pPr>
      <w:r>
        <w:t xml:space="preserve">Plans de maintenance préventive par type d'engin, déclenchés au km, à l'heure de marche ou à la date (vidange, filtres, pneus, graissage…).</w:t>
      </w:r>
    </w:p>
    <w:p>
      <w:pPr>
        <w:pStyle w:val="ListParagraph"/>
        <w:numPr>
          <w:ilvl w:val="0"/>
          <w:numId w:val="6"/>
        </w:numPr>
      </w:pPr>
      <w:r>
        <w:t xml:space="preserve">Maintenance curative : déclaration de panne (depuis l'espace chauffeur ou le back-office), diagnostic, ordre de travail, affectation au mécanicien, statut.</w:t>
      </w:r>
    </w:p>
    <w:p>
      <w:pPr>
        <w:pStyle w:val="ListParagraph"/>
        <w:numPr>
          <w:ilvl w:val="0"/>
          <w:numId w:val="6"/>
        </w:numPr>
      </w:pPr>
      <w:r>
        <w:t xml:space="preserve">Espace mécanicien, utilisable sur tablette ou téléphone : liste de ses interventions, saisie du temps passé, pièces utilisées, photos avant/après, clôture.</w:t>
      </w:r>
    </w:p>
    <w:p>
      <w:pPr>
        <w:pStyle w:val="ListParagraph"/>
        <w:numPr>
          <w:ilvl w:val="0"/>
          <w:numId w:val="6"/>
        </w:numPr>
      </w:pPr>
      <w:r>
        <w:t xml:space="preserve">Historique complet des interventions par engin (carnet d'entretien numérique).</w:t>
      </w:r>
    </w:p>
    <w:p>
      <w:pPr>
        <w:pStyle w:val="ListParagraph"/>
        <w:numPr>
          <w:ilvl w:val="0"/>
          <w:numId w:val="6"/>
        </w:numPr>
      </w:pPr>
      <w:r>
        <w:t xml:space="preserve">Gestion des pièces de rechange : catalogue, stock par magasin, entrées/sorties, seuil d'alerte de réapprovisionnement, fournisseurs, coût unitaire.</w:t>
      </w:r>
    </w:p>
    <w:p>
      <w:pPr>
        <w:pStyle w:val="Heading3"/>
      </w:pPr>
      <w:r>
        <w:t xml:space="preserve">Module 4 — Carburant &amp; coûts</w:t>
      </w:r>
    </w:p>
    <w:p>
      <w:pPr>
        <w:pStyle w:val="ListParagraph"/>
        <w:numPr>
          <w:ilvl w:val="0"/>
          <w:numId w:val="7"/>
        </w:numPr>
      </w:pPr>
      <w:r>
        <w:t xml:space="preserve">Saisie des pleins : engin, date, litres, prix, station ou cuve interne, compteur, photo du ticket.</w:t>
      </w:r>
    </w:p>
    <w:p>
      <w:pPr>
        <w:pStyle w:val="ListParagraph"/>
        <w:numPr>
          <w:ilvl w:val="0"/>
          <w:numId w:val="7"/>
        </w:numPr>
      </w:pPr>
      <w:r>
        <w:t xml:space="preserve">Calcul automatique de la consommation : L/100 km pour les véhicules routiers, L/heure pour les engins de chantier.</w:t>
      </w:r>
    </w:p>
    <w:p>
      <w:pPr>
        <w:pStyle w:val="ListParagraph"/>
        <w:numPr>
          <w:ilvl w:val="0"/>
          <w:numId w:val="7"/>
        </w:numPr>
      </w:pPr>
      <w:r>
        <w:t xml:space="preserve">Alertes de surconsommation : écart paramétrable (ex. +15 %) par rapport à la moyenne de l'engin ou de sa catégorie.</w:t>
      </w:r>
    </w:p>
    <w:p>
      <w:pPr>
        <w:pStyle w:val="ListParagraph"/>
        <w:numPr>
          <w:ilvl w:val="0"/>
          <w:numId w:val="7"/>
        </w:numPr>
      </w:pPr>
      <w:r>
        <w:t xml:space="preserve">Suivi des cuves internes (stock, livraisons, distributions).</w:t>
      </w:r>
    </w:p>
    <w:p>
      <w:pPr>
        <w:pStyle w:val="ListParagraph"/>
        <w:numPr>
          <w:ilvl w:val="0"/>
          <w:numId w:val="7"/>
        </w:numPr>
      </w:pPr>
      <w:r>
        <w:t xml:space="preserve">Coûts opérationnels par engin : carburant + maintenance + pièces + assurances/documents, ramenés au km ou à l'heure.</w:t>
      </w:r>
    </w:p>
    <w:p>
      <w:pPr>
        <w:pStyle w:val="Heading3"/>
      </w:pPr>
      <w:r>
        <w:t xml:space="preserve">Module 5 — Tableaux de bord &amp; rapports</w:t>
      </w:r>
    </w:p>
    <w:p>
      <w:pPr>
        <w:pStyle w:val="ListParagraph"/>
        <w:numPr>
          <w:ilvl w:val="0"/>
          <w:numId w:val="8"/>
        </w:numPr>
      </w:pPr>
      <w:r>
        <w:t xml:space="preserve">Tableau de bord direction : taux de disponibilité du parc, taux d'utilisation, engins en panne, documents à échéance, consommation, coûts du mois.</w:t>
      </w:r>
    </w:p>
    <w:p>
      <w:pPr>
        <w:pStyle w:val="ListParagraph"/>
        <w:numPr>
          <w:ilvl w:val="0"/>
          <w:numId w:val="8"/>
        </w:numPr>
      </w:pPr>
      <w:r>
        <w:t xml:space="preserve">Filtres par période, site, type d'engin, chauffeur.</w:t>
      </w:r>
    </w:p>
    <w:p>
      <w:pPr>
        <w:pStyle w:val="ListParagraph"/>
        <w:numPr>
          <w:ilvl w:val="0"/>
          <w:numId w:val="8"/>
        </w:numPr>
      </w:pPr>
      <w:r>
        <w:t xml:space="preserve">Rapports types : fiche de coût par engin, rapport carburant, rapport maintenance, activité par chauffeur, rapport des missions.</w:t>
      </w:r>
    </w:p>
    <w:p>
      <w:pPr>
        <w:pStyle w:val="ListParagraph"/>
        <w:numPr>
          <w:ilvl w:val="0"/>
          <w:numId w:val="8"/>
        </w:numPr>
      </w:pPr>
      <w:r>
        <w:t xml:space="preserve">Export PDF et Excel de toutes les listes et rapports.</w:t>
      </w:r>
    </w:p>
    <w:p>
      <w:pPr>
        <w:pStyle w:val="ListParagraph"/>
        <w:numPr>
          <w:ilvl w:val="0"/>
          <w:numId w:val="8"/>
        </w:numPr>
      </w:pPr>
      <w:r>
        <w:t xml:space="preserve">Page d'accueil adaptée à chaque rôle : alertes du jour, engins indisponibles, tâches en attente.</w:t>
      </w:r>
    </w:p>
    <w:p>
      <w:pPr>
        <w:pStyle w:val="Heading3"/>
      </w:pPr>
      <w:r>
        <w:t xml:space="preserve">Module 6 — Utilisateurs &amp; rôles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Rôle</w:t>
            </w:r>
          </w:p>
        </w:tc>
        <w:tc>
          <w:tcPr>
            <w:tcW w:w="3120" w:type="dxa"/>
            <w:shd w:val="clear" w:color="auto" w:fill="F2F2F2"/>
          </w:tcPr>
          <w:p>
            <w:pPr/>
            <w:r>
              <w:t xml:space="preserve">Accès principal</w:t>
            </w:r>
          </w:p>
        </w:tc>
        <w:tc>
          <w:tcPr>
            <w:tcW w:w="3120" w:type="dxa"/>
            <w:shd w:val="clear" w:color="auto" w:fill="F2F2F2"/>
          </w:tcPr>
          <w:p>
            <w:pPr/>
            <w:r>
              <w:t xml:space="preserve">Écran habituel</w:t>
            </w:r>
          </w:p>
        </w:tc>
      </w:tr>
      <w:tr>
        <w:tc>
          <w:tcPr>
            <w:tcW w:w="3120" w:type="dxa"/>
          </w:tcPr>
          <w:p>
            <w:pPr/>
            <w:r>
              <w:t xml:space="preserve">Administrateur</w:t>
            </w:r>
          </w:p>
        </w:tc>
        <w:tc>
          <w:tcPr>
            <w:tcW w:w="3120" w:type="dxa"/>
          </w:tcPr>
          <w:p>
            <w:pPr/>
            <w:r>
              <w:t xml:space="preserve">Tout le système, paramétrage, utilisateurs, journaux d'audit</w:t>
            </w:r>
          </w:p>
        </w:tc>
        <w:tc>
          <w:tcPr>
            <w:tcW w:w="3120" w:type="dxa"/>
          </w:tcPr>
          <w:p>
            <w:pPr/>
            <w:r>
              <w:t xml:space="preserve">Ordinateur</w:t>
            </w:r>
          </w:p>
        </w:tc>
      </w:tr>
      <w:tr>
        <w:tc>
          <w:tcPr>
            <w:tcW w:w="3120" w:type="dxa"/>
          </w:tcPr>
          <w:p>
            <w:pPr/>
            <w:r>
              <w:t xml:space="preserve">Gestionnaire de flotte</w:t>
            </w:r>
          </w:p>
        </w:tc>
        <w:tc>
          <w:tcPr>
            <w:tcW w:w="3120" w:type="dxa"/>
          </w:tcPr>
          <w:p>
            <w:pPr/>
            <w:r>
              <w:t xml:space="preserve">Parc, missions, carburant, coûts, rapports</w:t>
            </w:r>
          </w:p>
        </w:tc>
        <w:tc>
          <w:tcPr>
            <w:tcW w:w="3120" w:type="dxa"/>
          </w:tcPr>
          <w:p>
            <w:pPr/>
            <w:r>
              <w:t xml:space="preserve">Ordinateur, tablette</w:t>
            </w:r>
          </w:p>
        </w:tc>
      </w:tr>
      <w:tr>
        <w:tc>
          <w:tcPr>
            <w:tcW w:w="3120" w:type="dxa"/>
          </w:tcPr>
          <w:p>
            <w:pPr/>
            <w:r>
              <w:t xml:space="preserve">Mécanicien / chef d'atelier</w:t>
            </w:r>
          </w:p>
        </w:tc>
        <w:tc>
          <w:tcPr>
            <w:tcW w:w="3120" w:type="dxa"/>
          </w:tcPr>
          <w:p>
            <w:pPr/>
            <w:r>
              <w:t xml:space="preserve">Pannes, ordres de travail, pièces, historique d'entretien</w:t>
            </w:r>
          </w:p>
        </w:tc>
        <w:tc>
          <w:tcPr>
            <w:tcW w:w="3120" w:type="dxa"/>
          </w:tcPr>
          <w:p>
            <w:pPr/>
            <w:r>
              <w:t xml:space="preserve">Tablette, smartphone</w:t>
            </w:r>
          </w:p>
        </w:tc>
      </w:tr>
      <w:tr>
        <w:tc>
          <w:tcPr>
            <w:tcW w:w="3120" w:type="dxa"/>
          </w:tcPr>
          <w:p>
            <w:pPr/>
            <w:r>
              <w:t xml:space="preserve">Chauffeur / opérateur</w:t>
            </w:r>
          </w:p>
        </w:tc>
        <w:tc>
          <w:tcPr>
            <w:tcW w:w="3120" w:type="dxa"/>
          </w:tcPr>
          <w:p>
            <w:pPr/>
            <w:r>
              <w:t xml:space="preserve">Ses missions, relevés compteur, pleins, signalements</w:t>
            </w:r>
          </w:p>
        </w:tc>
        <w:tc>
          <w:tcPr>
            <w:tcW w:w="3120" w:type="dxa"/>
          </w:tcPr>
          <w:p>
            <w:pPr/>
            <w:r>
              <w:t xml:space="preserve">Smartphone (navigateur)</w:t>
            </w:r>
          </w:p>
        </w:tc>
      </w:tr>
    </w:tbl>
    <w:p>
      <w:pPr>
        <w:pStyle w:val="ListParagraph"/>
        <w:numPr>
          <w:ilvl w:val="0"/>
          <w:numId w:val="9"/>
        </w:numPr>
      </w:pPr>
      <w:r>
        <w:t xml:space="preserve">Authentification sécurisée, réinitialisation de mot de passe, désactivation de compte.</w:t>
      </w:r>
    </w:p>
    <w:p>
      <w:pPr>
        <w:pStyle w:val="ListParagraph"/>
        <w:numPr>
          <w:ilvl w:val="0"/>
          <w:numId w:val="9"/>
        </w:numPr>
      </w:pPr>
      <w:r>
        <w:t xml:space="preserve">Droits fins par rôle et restriction par site (un gestionnaire ne voit que ses sites).</w:t>
      </w:r>
    </w:p>
    <w:p>
      <w:pPr>
        <w:pStyle w:val="ListParagraph"/>
        <w:numPr>
          <w:ilvl w:val="0"/>
          <w:numId w:val="9"/>
        </w:numPr>
      </w:pPr>
      <w:r>
        <w:t xml:space="preserve">Journal d'audit : qui a créé, modifié ou supprimé quoi, et quand.</w:t>
      </w:r>
    </w:p>
    <w:p>
      <w:pPr>
        <w:pStyle w:val="Heading3"/>
      </w:pPr>
      <w:r>
        <w:t xml:space="preserve">Briques transverses</w:t>
      </w:r>
    </w:p>
    <w:p>
      <w:pPr>
        <w:pStyle w:val="ListParagraph"/>
        <w:numPr>
          <w:ilvl w:val="0"/>
          <w:numId w:val="10"/>
        </w:numPr>
      </w:pPr>
      <w:r>
        <w:rPr>
          <w:b/>
        </w:rPr>
        <w:t xml:space="preserve">Notifications</w:t>
      </w:r>
      <w:r>
        <w:t xml:space="preserve"> : e-mails et alertes dans l'application ; SMS en option (voir section 8).</w:t>
      </w:r>
    </w:p>
    <w:p>
      <w:pPr>
        <w:pStyle w:val="ListParagraph"/>
        <w:numPr>
          <w:ilvl w:val="0"/>
          <w:numId w:val="10"/>
        </w:numPr>
      </w:pPr>
      <w:r>
        <w:rPr>
          <w:b/>
        </w:rPr>
        <w:t xml:space="preserve">Interface responsive</w:t>
      </w:r>
      <w:r>
        <w:t xml:space="preserve"> : chaque écran s'adapte à l'ordinateur, à la tablette et au smartphone ; ajout possible d'un raccourci sur l'écran d'accueil du téléphone.</w:t>
      </w:r>
    </w:p>
    <w:p>
      <w:pPr>
        <w:pStyle w:val="ListParagraph"/>
        <w:numPr>
          <w:ilvl w:val="0"/>
          <w:numId w:val="10"/>
        </w:numPr>
      </w:pPr>
      <w:r>
        <w:rPr>
          <w:b/>
        </w:rPr>
        <w:t xml:space="preserve">Multilingue</w:t>
      </w:r>
      <w:r>
        <w:t xml:space="preserve"> : interface en français, structure prête pour l'anglais.</w:t>
      </w:r>
    </w:p>
    <w:p>
      <w:pPr>
        <w:pStyle w:val="ListParagraph"/>
        <w:numPr>
          <w:ilvl w:val="0"/>
          <w:numId w:val="10"/>
        </w:numPr>
      </w:pPr>
      <w:r>
        <w:rPr>
          <w:b/>
        </w:rPr>
        <w:t xml:space="preserve">Non inclus</w:t>
      </w:r>
      <w:r>
        <w:t xml:space="preserve"> : application mobile native et saisie hors connexion (disponibles en option O6).</w:t>
      </w:r>
    </w:p>
    <w:p>
      <w:pPr>
        <w:pStyle w:val="Heading2"/>
      </w:pPr>
      <w:r>
        <w:t xml:space="preserve">5. Phases du projet &amp; planning estimatif</w:t>
      </w:r>
    </w:p>
    <w:p>
      <w:pPr/>
      <w:r>
        <w:t xml:space="preserve">Le projet dure </w:t>
      </w:r>
      <w:r>
        <w:rPr>
          <w:b/>
        </w:rPr>
        <w:t xml:space="preserve">8 semaines (2 mois)</w:t>
      </w:r>
      <w:r>
        <w:t xml:space="preserve"> avec une équipe resserrée de 3 personnes ; la version bêta est livrée en fin de semaine 6.</w:t>
      </w:r>
    </w:p>
    <w:p>
      <w:pPr/>
      <w:r>
        <w:drawing>
          <wp:inline distT="0" distB="0" distL="0" distR="0">
            <wp:extent cx="5486400" cy="2596242"/>
            <wp:docPr id="2" name="image2" descr="planning estimatif · 4 phases, 8 semaines, 3 jalons de paiement"/>
            <a:graphic xmlns:a="http://schemas.openxmlformats.org/drawingml/2006/main">
              <a:graphicData uri="http://schemas.openxmlformats.org/drawingml/2006/picture">
                <pic:pic xmlns:pic="http://schemas.openxmlformats.org/drawingml/2006/picture">
                  <pic:nvPicPr>
                    <pic:cNvPr id="2" name="image2" descr="planning estimatif · 4 phases, 8 semaines, 3 jalons de paiement"/>
                    <pic:cNvPicPr/>
                  </pic:nvPicPr>
                  <pic:blipFill>
                    <a:blip r:embed="rId4"/>
                    <a:stretch>
                      <a:fillRect/>
                    </a:stretch>
                  </pic:blipFill>
                  <pic:spPr>
                    <a:xfrm>
                      <a:off x="0" y="0"/>
                      <a:ext cx="5486400" cy="2596242"/>
                    </a:xfrm>
                    <a:prstGeom prst="rect">
                      <a:avLst/>
                    </a:prstGeom>
                  </pic:spPr>
                </pic:pic>
              </a:graphicData>
            </a:graphic>
          </wp:inline>
        </w:drawing>
      </w:r>
    </w:p>
    <w:p>
      <w:pPr/>
      <w:r>
        <w:t xml:space="preserve">planning estimatif · 4 phases, 8 semaines, 3 jalons de paiement</w:t>
      </w:r>
    </w:p>
    <w:p>
      <w:pPr/>
      <w:r>
        <w:t xml:space="preserve">Chaque phase se clôt par une validation écrite du client avant de passer à la suivante.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Phase</w:t>
            </w:r>
          </w:p>
        </w:tc>
        <w:tc>
          <w:tcPr>
            <w:tcW w:w="2340" w:type="dxa"/>
            <w:shd w:val="clear" w:color="auto" w:fill="F2F2F2"/>
          </w:tcPr>
          <w:p>
            <w:pPr/>
            <w:r>
              <w:t xml:space="preserve">Semaines</w:t>
            </w:r>
          </w:p>
        </w:tc>
        <w:tc>
          <w:tcPr>
            <w:tcW w:w="2340" w:type="dxa"/>
            <w:shd w:val="clear" w:color="auto" w:fill="F2F2F2"/>
          </w:tcPr>
          <w:p>
            <w:pPr/>
            <w:r>
              <w:t xml:space="preserve">Livrables</w:t>
            </w:r>
          </w:p>
        </w:tc>
        <w:tc>
          <w:tcPr>
            <w:tcW w:w="2340" w:type="dxa"/>
            <w:shd w:val="clear" w:color="auto" w:fill="F2F2F2"/>
          </w:tcPr>
          <w:p>
            <w:pPr/>
            <w:r>
              <w:t xml:space="preserve">Validation client</w:t>
            </w:r>
          </w:p>
        </w:tc>
      </w:tr>
      <w:tr>
        <w:tc>
          <w:tcPr>
            <w:tcW w:w="2340" w:type="dxa"/>
          </w:tcPr>
          <w:p>
            <w:pPr/>
            <w:r>
              <w:t xml:space="preserve">P1 — Analyse, cadrage &amp; UI/UX</w:t>
            </w:r>
          </w:p>
        </w:tc>
        <w:tc>
          <w:tcPr>
            <w:tcW w:w="2340" w:type="dxa"/>
          </w:tcPr>
          <w:p>
            <w:pPr/>
            <w:r>
              <w:t xml:space="preserve">S1–S2</w:t>
            </w:r>
          </w:p>
        </w:tc>
        <w:tc>
          <w:tcPr>
            <w:tcW w:w="2340" w:type="dxa"/>
          </w:tcPr>
          <w:p>
            <w:pPr/>
            <w:r>
              <w:t xml:space="preserve">Cahier des charges fonctionnel, modèle de données, maquettes web (écrans ordinateur et smartphone), prototype cliquable</w:t>
            </w:r>
          </w:p>
        </w:tc>
        <w:tc>
          <w:tcPr>
            <w:tcW w:w="2340" w:type="dxa"/>
          </w:tcPr>
          <w:p>
            <w:pPr/>
            <w:r>
              <w:t xml:space="preserve">Validation des spécifications et des maquettes sous 3 jours ouvrés</w:t>
            </w:r>
          </w:p>
        </w:tc>
      </w:tr>
      <w:tr>
        <w:tc>
          <w:tcPr>
            <w:tcW w:w="2340" w:type="dxa"/>
          </w:tcPr>
          <w:p>
            <w:pPr/>
            <w:r>
              <w:t xml:space="preserve">P2 — Développement</w:t>
            </w:r>
          </w:p>
        </w:tc>
        <w:tc>
          <w:tcPr>
            <w:tcW w:w="2340" w:type="dxa"/>
          </w:tcPr>
          <w:p>
            <w:pPr/>
            <w:r>
              <w:t xml:space="preserve">S3–S6</w:t>
            </w:r>
          </w:p>
        </w:tc>
        <w:tc>
          <w:tcPr>
            <w:tcW w:w="2340" w:type="dxa"/>
          </w:tcPr>
          <w:p>
            <w:pPr/>
            <w:r>
              <w:t xml:space="preserve">2 sprints de 2 semaines livrés sur un serveur de test, puis version bêta complète</w:t>
            </w:r>
          </w:p>
        </w:tc>
        <w:tc>
          <w:tcPr>
            <w:tcW w:w="2340" w:type="dxa"/>
          </w:tcPr>
          <w:p>
            <w:pPr/>
            <w:r>
              <w:t xml:space="preserve">Démonstration à chaque fin de sprint ; PV de livraison bêta</w:t>
            </w:r>
          </w:p>
        </w:tc>
      </w:tr>
      <w:tr>
        <w:tc>
          <w:tcPr>
            <w:tcW w:w="2340" w:type="dxa"/>
          </w:tcPr>
          <w:p>
            <w:pPr/>
            <w:r>
              <w:t xml:space="preserve">P3 — Tests, recette &amp; correctifs</w:t>
            </w:r>
          </w:p>
        </w:tc>
        <w:tc>
          <w:tcPr>
            <w:tcW w:w="2340" w:type="dxa"/>
          </w:tcPr>
          <w:p>
            <w:pPr/>
            <w:r>
              <w:t xml:space="preserve">S7</w:t>
            </w:r>
          </w:p>
        </w:tc>
        <w:tc>
          <w:tcPr>
            <w:tcW w:w="2340" w:type="dxa"/>
          </w:tcPr>
          <w:p>
            <w:pPr/>
            <w:r>
              <w:t xml:space="preserve">Cahier de recette, rapport de tests (dont tests sur smartphone), version corrigée</w:t>
            </w:r>
          </w:p>
        </w:tc>
        <w:tc>
          <w:tcPr>
            <w:tcW w:w="2340" w:type="dxa"/>
          </w:tcPr>
          <w:p>
            <w:pPr/>
            <w:r>
              <w:t xml:space="preserve">PV de recette sans réserve bloquante</w:t>
            </w:r>
          </w:p>
        </w:tc>
      </w:tr>
      <w:tr>
        <w:tc>
          <w:tcPr>
            <w:tcW w:w="2340" w:type="dxa"/>
          </w:tcPr>
          <w:p>
            <w:pPr/>
            <w:r>
              <w:t xml:space="preserve">P4 — Déploiement, formation &amp; mise en production</w:t>
            </w:r>
          </w:p>
        </w:tc>
        <w:tc>
          <w:tcPr>
            <w:tcW w:w="2340" w:type="dxa"/>
          </w:tcPr>
          <w:p>
            <w:pPr/>
            <w:r>
              <w:t xml:space="preserve">S8</w:t>
            </w:r>
          </w:p>
        </w:tc>
        <w:tc>
          <w:tcPr>
            <w:tcW w:w="2340" w:type="dxa"/>
          </w:tcPr>
          <w:p>
            <w:pPr/>
            <w:r>
              <w:t xml:space="preserve">Plateforme en production, 3 sessions de formation, guides utilisateur</w:t>
            </w:r>
          </w:p>
        </w:tc>
        <w:tc>
          <w:tcPr>
            <w:tcW w:w="2340" w:type="dxa"/>
          </w:tcPr>
          <w:p>
            <w:pPr/>
            <w:r>
              <w:t xml:space="preserve">PV de réception finale</w:t>
            </w:r>
          </w:p>
        </w:tc>
      </w:tr>
    </w:tbl>
    <w:p>
      <w:pPr/>
      <w:r>
        <w:rPr>
          <w:b/>
        </w:rPr>
        <w:t xml:space="preserve">Équipe</w:t>
      </w:r>
      <w:r>
        <w:t xml:space="preserve"> : 1 développeur full-stack Laravel senior, interlocuteur unique du client du début à la fin ; 1 développeur web ; 1 designer UI/UX pendant la phase 1. Ce délai suppose que le client valide les maquettes et la recette sous 3 jours ouvrés.</w:t>
      </w:r>
    </w:p>
    <w:p>
      <w:pPr>
        <w:pStyle w:val="Heading2"/>
      </w:pPr>
      <w:r>
        <w:t xml:space="preserve">6. Estimation financière</w:t>
      </w:r>
    </w:p>
    <w:p>
      <w:pPr/>
      <w:r>
        <w:t xml:space="preserve">Le projet est proposé au </w:t>
      </w:r>
      <w:r>
        <w:rPr>
          <w:b/>
        </w:rPr>
        <w:t xml:space="preserve">prix forfaitaire et ferme de 550 000 FCFA HT</w:t>
      </w:r>
      <w:r>
        <w:t xml:space="preserve"> (≈ 838 EUR HT), soit 649 000 FCFA TTC, payé en 3 fois selon les livrables.</w:t>
      </w:r>
    </w:p>
    <w:p>
      <w:pPr>
        <w:pStyle w:val="Heading3"/>
      </w:pPr>
      <w:r>
        <w:t xml:space="preserve">Comment ce prix est tenu</w:t>
      </w:r>
    </w:p>
    <w:p>
      <w:pPr>
        <w:pStyle w:val="ListParagraph"/>
        <w:numPr>
          <w:ilvl w:val="0"/>
          <w:numId w:val="11"/>
        </w:numPr>
      </w:pPr>
      <w:r>
        <w:rPr>
          <w:b/>
        </w:rPr>
        <w:t xml:space="preserve">Des briques éprouvées plutôt que du sur-mesure intégral</w:t>
      </w:r>
      <w:r>
        <w:t xml:space="preserve"> : Laravel et Filament fournissent déjà l'authentification, les listes, les filtres, les formulaires et les exports ; le travail se concentre sur vos règles métier.</w:t>
      </w:r>
    </w:p>
    <w:p>
      <w:pPr>
        <w:pStyle w:val="ListParagraph"/>
        <w:numPr>
          <w:ilvl w:val="0"/>
          <w:numId w:val="11"/>
        </w:numPr>
      </w:pPr>
      <w:r>
        <w:rPr>
          <w:b/>
        </w:rPr>
        <w:t xml:space="preserve">Une équipe resserrée, sans intermédiaire</w:t>
      </w:r>
      <w:r>
        <w:t xml:space="preserve"> : le développeur qui conçoit est celui qui livre et vous forme.</w:t>
      </w:r>
    </w:p>
    <w:p>
      <w:pPr>
        <w:pStyle w:val="ListParagraph"/>
        <w:numPr>
          <w:ilvl w:val="0"/>
          <w:numId w:val="11"/>
        </w:numPr>
      </w:pPr>
      <w:r>
        <w:rPr>
          <w:b/>
        </w:rPr>
        <w:t xml:space="preserve">Une seule application web</w:t>
      </w:r>
      <w:r>
        <w:t xml:space="preserve"> : pas d'application mobile à développer, publier et maintenir en double.</w:t>
      </w:r>
    </w:p>
    <w:p>
      <w:pPr>
        <w:pStyle w:val="ListParagraph"/>
        <w:numPr>
          <w:ilvl w:val="0"/>
          <w:numId w:val="11"/>
        </w:numPr>
      </w:pPr>
      <w:r>
        <w:rPr>
          <w:b/>
        </w:rPr>
        <w:t xml:space="preserve">Des logiciels gratuits</w:t>
      </w:r>
      <w:r>
        <w:t xml:space="preserve"> : aucune licence à payer, ni aujourd'hui ni plus tard.</w:t>
      </w:r>
    </w:p>
    <w:p>
      <w:pPr>
        <w:pStyle w:val="Heading3"/>
      </w:pPr>
      <w:r>
        <w:t xml:space="preserve">Grille détaillée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Désignation</w:t>
            </w:r>
          </w:p>
        </w:tc>
        <w:tc>
          <w:tcPr>
            <w:tcW w:w="2340" w:type="dxa"/>
            <w:shd w:val="clear" w:color="auto" w:fill="F2F2F2"/>
          </w:tcPr>
          <w:p>
            <w:pPr/>
            <w:r>
              <w:t xml:space="preserve">Durée</w:t>
            </w:r>
          </w:p>
        </w:tc>
        <w:tc>
          <w:tcPr>
            <w:tcW w:w="2340" w:type="dxa"/>
            <w:shd w:val="clear" w:color="auto" w:fill="F2F2F2"/>
          </w:tcPr>
          <w:p>
            <w:pPr/>
            <w:r>
              <w:t xml:space="preserve">Montant (FCFA HT)</w:t>
            </w:r>
          </w:p>
        </w:tc>
      </w:tr>
      <w:tr>
        <w:tc>
          <w:tcPr>
            <w:tcW w:w="2340" w:type="dxa"/>
          </w:tcPr>
          <w:p>
            <w:pPr/>
            <w:r>
              <w:rPr>
                <w:b/>
              </w:rPr>
              <w:t xml:space="preserve">P1</w:t>
            </w:r>
          </w:p>
        </w:tc>
        <w:tc>
          <w:tcPr>
            <w:tcW w:w="2340" w:type="dxa"/>
          </w:tcPr>
          <w:p>
            <w:pPr/>
            <w:r>
              <w:rPr>
                <w:b/>
              </w:rPr>
              <w:t xml:space="preserve">Analyse, cadrage &amp; conception UI/UX</w:t>
            </w:r>
          </w:p>
        </w:tc>
        <w:tc>
          <w:tcPr>
            <w:tcW w:w="2340" w:type="dxa"/>
          </w:tcPr>
          <w:p>
            <w:pPr/>
            <w:r>
              <w:rPr>
                <w:b/>
              </w:rPr>
              <w:t xml:space="preserve">2 semaines</w:t>
            </w:r>
          </w:p>
        </w:tc>
        <w:tc>
          <w:tcPr>
            <w:tcW w:w="2340" w:type="dxa"/>
          </w:tcPr>
          <w:p>
            <w:pPr/>
            <w:r>
              <w:rPr>
                <w:b/>
              </w:rPr>
              <w:t xml:space="preserve">80 000</w:t>
            </w:r>
          </w:p>
        </w:tc>
      </w:tr>
      <w:tr>
        <w:tc>
          <w:tcPr>
            <w:tcW w:w="2340" w:type="dxa"/>
          </w:tcPr>
          <w:p>
            <w:pPr/>
            <w:r>
              <w:t xml:space="preserve">1.1</w:t>
            </w:r>
          </w:p>
        </w:tc>
        <w:tc>
          <w:tcPr>
            <w:tcW w:w="2340" w:type="dxa"/>
          </w:tcPr>
          <w:p>
            <w:pPr/>
            <w:r>
              <w:t xml:space="preserve">Ateliers de cadrage, cahier des charges fonctionnel, règles de gestion</w:t>
            </w:r>
          </w:p>
        </w:tc>
        <w:tc>
          <w:tcPr>
            <w:tcW w:w="2340" w:type="dxa"/>
          </w:tcPr>
          <w:p>
            <w:pPr/>
          </w:p>
        </w:tc>
        <w:tc>
          <w:tcPr>
            <w:tcW w:w="2340" w:type="dxa"/>
          </w:tcPr>
          <w:p>
            <w:pPr/>
            <w:r>
              <w:t xml:space="preserve">32 000</w:t>
            </w:r>
          </w:p>
        </w:tc>
      </w:tr>
      <w:tr>
        <w:tc>
          <w:tcPr>
            <w:tcW w:w="2340" w:type="dxa"/>
          </w:tcPr>
          <w:p>
            <w:pPr/>
            <w:r>
              <w:t xml:space="preserve">1.2</w:t>
            </w:r>
          </w:p>
        </w:tc>
        <w:tc>
          <w:tcPr>
            <w:tcW w:w="2340" w:type="dxa"/>
          </w:tcPr>
          <w:p>
            <w:pPr/>
            <w:r>
              <w:t xml:space="preserve">Architecture technique, modèle de données</w:t>
            </w:r>
          </w:p>
        </w:tc>
        <w:tc>
          <w:tcPr>
            <w:tcW w:w="2340" w:type="dxa"/>
          </w:tcPr>
          <w:p>
            <w:pPr/>
          </w:p>
        </w:tc>
        <w:tc>
          <w:tcPr>
            <w:tcW w:w="2340" w:type="dxa"/>
          </w:tcPr>
          <w:p>
            <w:pPr/>
            <w:r>
              <w:t xml:space="preserve">16 000</w:t>
            </w:r>
          </w:p>
        </w:tc>
      </w:tr>
      <w:tr>
        <w:tc>
          <w:tcPr>
            <w:tcW w:w="2340" w:type="dxa"/>
          </w:tcPr>
          <w:p>
            <w:pPr/>
            <w:r>
              <w:t xml:space="preserve">1.3</w:t>
            </w:r>
          </w:p>
        </w:tc>
        <w:tc>
          <w:tcPr>
            <w:tcW w:w="2340" w:type="dxa"/>
          </w:tcPr>
          <w:p>
            <w:pPr/>
            <w:r>
              <w:t xml:space="preserve">Maquettes et prototype cliquable, ordinateur + smartphone (Figma)</w:t>
            </w:r>
          </w:p>
        </w:tc>
        <w:tc>
          <w:tcPr>
            <w:tcW w:w="2340" w:type="dxa"/>
          </w:tcPr>
          <w:p>
            <w:pPr/>
          </w:p>
        </w:tc>
        <w:tc>
          <w:tcPr>
            <w:tcW w:w="2340" w:type="dxa"/>
          </w:tcPr>
          <w:p>
            <w:pPr/>
            <w:r>
              <w:t xml:space="preserve">32 000</w:t>
            </w:r>
          </w:p>
        </w:tc>
      </w:tr>
      <w:tr>
        <w:tc>
          <w:tcPr>
            <w:tcW w:w="2340" w:type="dxa"/>
          </w:tcPr>
          <w:p>
            <w:pPr/>
            <w:r>
              <w:rPr>
                <w:b/>
              </w:rPr>
              <w:t xml:space="preserve">P2</w:t>
            </w:r>
          </w:p>
        </w:tc>
        <w:tc>
          <w:tcPr>
            <w:tcW w:w="2340" w:type="dxa"/>
          </w:tcPr>
          <w:p>
            <w:pPr/>
            <w:r>
              <w:rPr>
                <w:b/>
              </w:rPr>
              <w:t xml:space="preserve">Développement de la plateforme web</w:t>
            </w:r>
          </w:p>
        </w:tc>
        <w:tc>
          <w:tcPr>
            <w:tcW w:w="2340" w:type="dxa"/>
          </w:tcPr>
          <w:p>
            <w:pPr/>
            <w:r>
              <w:rPr>
                <w:b/>
              </w:rPr>
              <w:t xml:space="preserve">4 semaines</w:t>
            </w:r>
          </w:p>
        </w:tc>
        <w:tc>
          <w:tcPr>
            <w:tcW w:w="2340" w:type="dxa"/>
          </w:tcPr>
          <w:p>
            <w:pPr/>
            <w:r>
              <w:rPr>
                <w:b/>
              </w:rPr>
              <w:t xml:space="preserve">322 000</w:t>
            </w:r>
          </w:p>
        </w:tc>
      </w:tr>
      <w:tr>
        <w:tc>
          <w:tcPr>
            <w:tcW w:w="2340" w:type="dxa"/>
          </w:tcPr>
          <w:p>
            <w:pPr/>
            <w:r>
              <w:t xml:space="preserve">2.1</w:t>
            </w:r>
          </w:p>
        </w:tc>
        <w:tc>
          <w:tcPr>
            <w:tcW w:w="2340" w:type="dxa"/>
          </w:tcPr>
          <w:p>
            <w:pPr/>
            <w:r>
              <w:t xml:space="preserve">Socle technique : authentification, environnements, déploiement automatisé</w:t>
            </w:r>
          </w:p>
        </w:tc>
        <w:tc>
          <w:tcPr>
            <w:tcW w:w="2340" w:type="dxa"/>
          </w:tcPr>
          <w:p>
            <w:pPr/>
          </w:p>
        </w:tc>
        <w:tc>
          <w:tcPr>
            <w:tcW w:w="2340" w:type="dxa"/>
          </w:tcPr>
          <w:p>
            <w:pPr/>
            <w:r>
              <w:t xml:space="preserve">20 000</w:t>
            </w:r>
          </w:p>
        </w:tc>
      </w:tr>
      <w:tr>
        <w:tc>
          <w:tcPr>
            <w:tcW w:w="2340" w:type="dxa"/>
          </w:tcPr>
          <w:p>
            <w:pPr/>
            <w:r>
              <w:t xml:space="preserve">2.2</w:t>
            </w:r>
          </w:p>
        </w:tc>
        <w:tc>
          <w:tcPr>
            <w:tcW w:w="2340" w:type="dxa"/>
          </w:tcPr>
          <w:p>
            <w:pPr/>
            <w:r>
              <w:t xml:space="preserve">Module 1 — Parc d'engins et documents</w:t>
            </w:r>
          </w:p>
        </w:tc>
        <w:tc>
          <w:tcPr>
            <w:tcW w:w="2340" w:type="dxa"/>
          </w:tcPr>
          <w:p>
            <w:pPr/>
          </w:p>
        </w:tc>
        <w:tc>
          <w:tcPr>
            <w:tcW w:w="2340" w:type="dxa"/>
          </w:tcPr>
          <w:p>
            <w:pPr/>
            <w:r>
              <w:t xml:space="preserve">44 000</w:t>
            </w:r>
          </w:p>
        </w:tc>
      </w:tr>
      <w:tr>
        <w:tc>
          <w:tcPr>
            <w:tcW w:w="2340" w:type="dxa"/>
          </w:tcPr>
          <w:p>
            <w:pPr/>
            <w:r>
              <w:t xml:space="preserve">2.3</w:t>
            </w:r>
          </w:p>
        </w:tc>
        <w:tc>
          <w:tcPr>
            <w:tcW w:w="2340" w:type="dxa"/>
          </w:tcPr>
          <w:p>
            <w:pPr/>
            <w:r>
              <w:t xml:space="preserve">Module 2 — Activités &amp; missions, espace chauffeur</w:t>
            </w:r>
          </w:p>
        </w:tc>
        <w:tc>
          <w:tcPr>
            <w:tcW w:w="2340" w:type="dxa"/>
          </w:tcPr>
          <w:p>
            <w:pPr/>
          </w:p>
        </w:tc>
        <w:tc>
          <w:tcPr>
            <w:tcW w:w="2340" w:type="dxa"/>
          </w:tcPr>
          <w:p>
            <w:pPr/>
            <w:r>
              <w:t xml:space="preserve">57 000</w:t>
            </w:r>
          </w:p>
        </w:tc>
      </w:tr>
      <w:tr>
        <w:tc>
          <w:tcPr>
            <w:tcW w:w="2340" w:type="dxa"/>
          </w:tcPr>
          <w:p>
            <w:pPr/>
            <w:r>
              <w:t xml:space="preserve">2.4</w:t>
            </w:r>
          </w:p>
        </w:tc>
        <w:tc>
          <w:tcPr>
            <w:tcW w:w="2340" w:type="dxa"/>
          </w:tcPr>
          <w:p>
            <w:pPr/>
            <w:r>
              <w:t xml:space="preserve">Module 3 — Maintenance, pièces, espace mécanicien</w:t>
            </w:r>
          </w:p>
        </w:tc>
        <w:tc>
          <w:tcPr>
            <w:tcW w:w="2340" w:type="dxa"/>
          </w:tcPr>
          <w:p>
            <w:pPr/>
          </w:p>
        </w:tc>
        <w:tc>
          <w:tcPr>
            <w:tcW w:w="2340" w:type="dxa"/>
          </w:tcPr>
          <w:p>
            <w:pPr/>
            <w:r>
              <w:t xml:space="preserve">61 000</w:t>
            </w:r>
          </w:p>
        </w:tc>
      </w:tr>
      <w:tr>
        <w:tc>
          <w:tcPr>
            <w:tcW w:w="2340" w:type="dxa"/>
          </w:tcPr>
          <w:p>
            <w:pPr/>
            <w:r>
              <w:t xml:space="preserve">2.5</w:t>
            </w:r>
          </w:p>
        </w:tc>
        <w:tc>
          <w:tcPr>
            <w:tcW w:w="2340" w:type="dxa"/>
          </w:tcPr>
          <w:p>
            <w:pPr/>
            <w:r>
              <w:t xml:space="preserve">Module 4 — Carburant &amp; coûts</w:t>
            </w:r>
          </w:p>
        </w:tc>
        <w:tc>
          <w:tcPr>
            <w:tcW w:w="2340" w:type="dxa"/>
          </w:tcPr>
          <w:p>
            <w:pPr/>
          </w:p>
        </w:tc>
        <w:tc>
          <w:tcPr>
            <w:tcW w:w="2340" w:type="dxa"/>
          </w:tcPr>
          <w:p>
            <w:pPr/>
            <w:r>
              <w:t xml:space="preserve">40 000</w:t>
            </w:r>
          </w:p>
        </w:tc>
      </w:tr>
      <w:tr>
        <w:tc>
          <w:tcPr>
            <w:tcW w:w="2340" w:type="dxa"/>
          </w:tcPr>
          <w:p>
            <w:pPr/>
            <w:r>
              <w:t xml:space="preserve">2.6</w:t>
            </w:r>
          </w:p>
        </w:tc>
        <w:tc>
          <w:tcPr>
            <w:tcW w:w="2340" w:type="dxa"/>
          </w:tcPr>
          <w:p>
            <w:pPr/>
            <w:r>
              <w:t xml:space="preserve">Module 5 — Tableaux de bord &amp; exports PDF/Excel</w:t>
            </w:r>
          </w:p>
        </w:tc>
        <w:tc>
          <w:tcPr>
            <w:tcW w:w="2340" w:type="dxa"/>
          </w:tcPr>
          <w:p>
            <w:pPr/>
          </w:p>
        </w:tc>
        <w:tc>
          <w:tcPr>
            <w:tcW w:w="2340" w:type="dxa"/>
          </w:tcPr>
          <w:p>
            <w:pPr/>
            <w:r>
              <w:t xml:space="preserve">48 000</w:t>
            </w:r>
          </w:p>
        </w:tc>
      </w:tr>
      <w:tr>
        <w:tc>
          <w:tcPr>
            <w:tcW w:w="2340" w:type="dxa"/>
          </w:tcPr>
          <w:p>
            <w:pPr/>
            <w:r>
              <w:t xml:space="preserve">2.7</w:t>
            </w:r>
          </w:p>
        </w:tc>
        <w:tc>
          <w:tcPr>
            <w:tcW w:w="2340" w:type="dxa"/>
          </w:tcPr>
          <w:p>
            <w:pPr/>
            <w:r>
              <w:t xml:space="preserve">Module 6 — Utilisateurs, rôles, audit</w:t>
            </w:r>
          </w:p>
        </w:tc>
        <w:tc>
          <w:tcPr>
            <w:tcW w:w="2340" w:type="dxa"/>
          </w:tcPr>
          <w:p>
            <w:pPr/>
          </w:p>
        </w:tc>
        <w:tc>
          <w:tcPr>
            <w:tcW w:w="2340" w:type="dxa"/>
          </w:tcPr>
          <w:p>
            <w:pPr/>
            <w:r>
              <w:t xml:space="preserve">28 000</w:t>
            </w:r>
          </w:p>
        </w:tc>
      </w:tr>
      <w:tr>
        <w:tc>
          <w:tcPr>
            <w:tcW w:w="2340" w:type="dxa"/>
          </w:tcPr>
          <w:p>
            <w:pPr/>
            <w:r>
              <w:t xml:space="preserve">2.8</w:t>
            </w:r>
          </w:p>
        </w:tc>
        <w:tc>
          <w:tcPr>
            <w:tcW w:w="2340" w:type="dxa"/>
          </w:tcPr>
          <w:p>
            <w:pPr/>
            <w:r>
              <w:t xml:space="preserve">Notifications e-mail et alertes dans l'application</w:t>
            </w:r>
          </w:p>
        </w:tc>
        <w:tc>
          <w:tcPr>
            <w:tcW w:w="2340" w:type="dxa"/>
          </w:tcPr>
          <w:p>
            <w:pPr/>
          </w:p>
        </w:tc>
        <w:tc>
          <w:tcPr>
            <w:tcW w:w="2340" w:type="dxa"/>
          </w:tcPr>
          <w:p>
            <w:pPr/>
            <w:r>
              <w:t xml:space="preserve">8 000</w:t>
            </w:r>
          </w:p>
        </w:tc>
      </w:tr>
      <w:tr>
        <w:tc>
          <w:tcPr>
            <w:tcW w:w="2340" w:type="dxa"/>
          </w:tcPr>
          <w:p>
            <w:pPr/>
            <w:r>
              <w:t xml:space="preserve">2.9</w:t>
            </w:r>
          </w:p>
        </w:tc>
        <w:tc>
          <w:tcPr>
            <w:tcW w:w="2340" w:type="dxa"/>
          </w:tcPr>
          <w:p>
            <w:pPr/>
            <w:r>
              <w:t xml:space="preserve">Adaptation smartphone des espaces chauffeur et mécanicien</w:t>
            </w:r>
          </w:p>
        </w:tc>
        <w:tc>
          <w:tcPr>
            <w:tcW w:w="2340" w:type="dxa"/>
          </w:tcPr>
          <w:p>
            <w:pPr/>
          </w:p>
        </w:tc>
        <w:tc>
          <w:tcPr>
            <w:tcW w:w="2340" w:type="dxa"/>
          </w:tcPr>
          <w:p>
            <w:pPr/>
            <w:r>
              <w:t xml:space="preserve">16 000</w:t>
            </w:r>
          </w:p>
        </w:tc>
      </w:tr>
      <w:tr>
        <w:tc>
          <w:tcPr>
            <w:tcW w:w="2340" w:type="dxa"/>
          </w:tcPr>
          <w:p>
            <w:pPr/>
            <w:r>
              <w:rPr>
                <w:b/>
              </w:rPr>
              <w:t xml:space="preserve">P3</w:t>
            </w:r>
          </w:p>
        </w:tc>
        <w:tc>
          <w:tcPr>
            <w:tcW w:w="2340" w:type="dxa"/>
          </w:tcPr>
          <w:p>
            <w:pPr/>
            <w:r>
              <w:rPr>
                <w:b/>
              </w:rPr>
              <w:t xml:space="preserve">Tests, recette &amp; correctifs</w:t>
            </w:r>
          </w:p>
        </w:tc>
        <w:tc>
          <w:tcPr>
            <w:tcW w:w="2340" w:type="dxa"/>
          </w:tcPr>
          <w:p>
            <w:pPr/>
            <w:r>
              <w:rPr>
                <w:b/>
              </w:rPr>
              <w:t xml:space="preserve">1 semaine</w:t>
            </w:r>
          </w:p>
        </w:tc>
        <w:tc>
          <w:tcPr>
            <w:tcW w:w="2340" w:type="dxa"/>
          </w:tcPr>
          <w:p>
            <w:pPr/>
            <w:r>
              <w:rPr>
                <w:b/>
              </w:rPr>
              <w:t xml:space="preserve">68 000</w:t>
            </w:r>
          </w:p>
        </w:tc>
      </w:tr>
      <w:tr>
        <w:tc>
          <w:tcPr>
            <w:tcW w:w="2340" w:type="dxa"/>
          </w:tcPr>
          <w:p>
            <w:pPr/>
            <w:r>
              <w:t xml:space="preserve">3.1</w:t>
            </w:r>
          </w:p>
        </w:tc>
        <w:tc>
          <w:tcPr>
            <w:tcW w:w="2340" w:type="dxa"/>
          </w:tcPr>
          <w:p>
            <w:pPr/>
            <w:r>
              <w:t xml:space="preserve">Tests fonctionnels, non-régression, tests sur navigateurs et smartphones</w:t>
            </w:r>
          </w:p>
        </w:tc>
        <w:tc>
          <w:tcPr>
            <w:tcW w:w="2340" w:type="dxa"/>
          </w:tcPr>
          <w:p>
            <w:pPr/>
          </w:p>
        </w:tc>
        <w:tc>
          <w:tcPr>
            <w:tcW w:w="2340" w:type="dxa"/>
          </w:tcPr>
          <w:p>
            <w:pPr/>
            <w:r>
              <w:t xml:space="preserve">32 000</w:t>
            </w:r>
          </w:p>
        </w:tc>
      </w:tr>
      <w:tr>
        <w:tc>
          <w:tcPr>
            <w:tcW w:w="2340" w:type="dxa"/>
          </w:tcPr>
          <w:p>
            <w:pPr/>
            <w:r>
              <w:t xml:space="preserve">3.2</w:t>
            </w:r>
          </w:p>
        </w:tc>
        <w:tc>
          <w:tcPr>
            <w:tcW w:w="2340" w:type="dxa"/>
          </w:tcPr>
          <w:p>
            <w:pPr/>
            <w:r>
              <w:t xml:space="preserve">Tests de performance et de sécurité (droits, injections, sauvegardes)</w:t>
            </w:r>
          </w:p>
        </w:tc>
        <w:tc>
          <w:tcPr>
            <w:tcW w:w="2340" w:type="dxa"/>
          </w:tcPr>
          <w:p>
            <w:pPr/>
          </w:p>
        </w:tc>
        <w:tc>
          <w:tcPr>
            <w:tcW w:w="2340" w:type="dxa"/>
          </w:tcPr>
          <w:p>
            <w:pPr/>
            <w:r>
              <w:t xml:space="preserve">12 000</w:t>
            </w:r>
          </w:p>
        </w:tc>
      </w:tr>
      <w:tr>
        <w:tc>
          <w:tcPr>
            <w:tcW w:w="2340" w:type="dxa"/>
          </w:tcPr>
          <w:p>
            <w:pPr/>
            <w:r>
              <w:t xml:space="preserve">3.3</w:t>
            </w:r>
          </w:p>
        </w:tc>
        <w:tc>
          <w:tcPr>
            <w:tcW w:w="2340" w:type="dxa"/>
          </w:tcPr>
          <w:p>
            <w:pPr/>
            <w:r>
              <w:t xml:space="preserve">Accompagnement de la recette client et correctifs</w:t>
            </w:r>
          </w:p>
        </w:tc>
        <w:tc>
          <w:tcPr>
            <w:tcW w:w="2340" w:type="dxa"/>
          </w:tcPr>
          <w:p>
            <w:pPr/>
          </w:p>
        </w:tc>
        <w:tc>
          <w:tcPr>
            <w:tcW w:w="2340" w:type="dxa"/>
          </w:tcPr>
          <w:p>
            <w:pPr/>
            <w:r>
              <w:t xml:space="preserve">24 000</w:t>
            </w:r>
          </w:p>
        </w:tc>
      </w:tr>
      <w:tr>
        <w:tc>
          <w:tcPr>
            <w:tcW w:w="2340" w:type="dxa"/>
          </w:tcPr>
          <w:p>
            <w:pPr/>
            <w:r>
              <w:rPr>
                <w:b/>
              </w:rPr>
              <w:t xml:space="preserve">P4</w:t>
            </w:r>
          </w:p>
        </w:tc>
        <w:tc>
          <w:tcPr>
            <w:tcW w:w="2340" w:type="dxa"/>
          </w:tcPr>
          <w:p>
            <w:pPr/>
            <w:r>
              <w:rPr>
                <w:b/>
              </w:rPr>
              <w:t xml:space="preserve">Déploiement, formation &amp; mise en production</w:t>
            </w:r>
          </w:p>
        </w:tc>
        <w:tc>
          <w:tcPr>
            <w:tcW w:w="2340" w:type="dxa"/>
          </w:tcPr>
          <w:p>
            <w:pPr/>
            <w:r>
              <w:rPr>
                <w:b/>
              </w:rPr>
              <w:t xml:space="preserve">1 semaine</w:t>
            </w:r>
          </w:p>
        </w:tc>
        <w:tc>
          <w:tcPr>
            <w:tcW w:w="2340" w:type="dxa"/>
          </w:tcPr>
          <w:p>
            <w:pPr/>
            <w:r>
              <w:rPr>
                <w:b/>
              </w:rPr>
              <w:t xml:space="preserve">40 000</w:t>
            </w:r>
          </w:p>
        </w:tc>
      </w:tr>
      <w:tr>
        <w:tc>
          <w:tcPr>
            <w:tcW w:w="2340" w:type="dxa"/>
          </w:tcPr>
          <w:p>
            <w:pPr/>
            <w:r>
              <w:t xml:space="preserve">4.1</w:t>
            </w:r>
          </w:p>
        </w:tc>
        <w:tc>
          <w:tcPr>
            <w:tcW w:w="2340" w:type="dxa"/>
          </w:tcPr>
          <w:p>
            <w:pPr/>
            <w:r>
              <w:t xml:space="preserve">Installation de l'hébergement choisi, sécurisation, sauvegardes</w:t>
            </w:r>
          </w:p>
        </w:tc>
        <w:tc>
          <w:tcPr>
            <w:tcW w:w="2340" w:type="dxa"/>
          </w:tcPr>
          <w:p>
            <w:pPr/>
          </w:p>
        </w:tc>
        <w:tc>
          <w:tcPr>
            <w:tcW w:w="2340" w:type="dxa"/>
          </w:tcPr>
          <w:p>
            <w:pPr/>
            <w:r>
              <w:t xml:space="preserve">12 000</w:t>
            </w:r>
          </w:p>
        </w:tc>
      </w:tr>
      <w:tr>
        <w:tc>
          <w:tcPr>
            <w:tcW w:w="2340" w:type="dxa"/>
          </w:tcPr>
          <w:p>
            <w:pPr/>
            <w:r>
              <w:t xml:space="preserve">4.2</w:t>
            </w:r>
          </w:p>
        </w:tc>
        <w:tc>
          <w:tcPr>
            <w:tcW w:w="2340" w:type="dxa"/>
          </w:tcPr>
          <w:p>
            <w:pPr/>
            <w:r>
              <w:t xml:space="preserve">Formation : 3 sessions (admins, gestionnaires, chauffeurs/mécaniciens)</w:t>
            </w:r>
          </w:p>
        </w:tc>
        <w:tc>
          <w:tcPr>
            <w:tcW w:w="2340" w:type="dxa"/>
          </w:tcPr>
          <w:p>
            <w:pPr/>
          </w:p>
        </w:tc>
        <w:tc>
          <w:tcPr>
            <w:tcW w:w="2340" w:type="dxa"/>
          </w:tcPr>
          <w:p>
            <w:pPr/>
            <w:r>
              <w:t xml:space="preserve">16 000</w:t>
            </w:r>
          </w:p>
        </w:tc>
      </w:tr>
      <w:tr>
        <w:tc>
          <w:tcPr>
            <w:tcW w:w="2340" w:type="dxa"/>
          </w:tcPr>
          <w:p>
            <w:pPr/>
            <w:r>
              <w:t xml:space="preserve">4.3</w:t>
            </w:r>
          </w:p>
        </w:tc>
        <w:tc>
          <w:tcPr>
            <w:tcW w:w="2340" w:type="dxa"/>
          </w:tcPr>
          <w:p>
            <w:pPr/>
            <w:r>
              <w:t xml:space="preserve">Guide utilisateur, fiches réflexes, documentation technique</w:t>
            </w:r>
          </w:p>
        </w:tc>
        <w:tc>
          <w:tcPr>
            <w:tcW w:w="2340" w:type="dxa"/>
          </w:tcPr>
          <w:p>
            <w:pPr/>
          </w:p>
        </w:tc>
        <w:tc>
          <w:tcPr>
            <w:tcW w:w="2340" w:type="dxa"/>
          </w:tcPr>
          <w:p>
            <w:pPr/>
            <w:r>
              <w:t xml:space="preserve">12 000</w:t>
            </w:r>
          </w:p>
        </w:tc>
      </w:tr>
      <w:tr>
        <w:tc>
          <w:tcPr>
            <w:tcW w:w="2340" w:type="dxa"/>
          </w:tcPr>
          <w:p>
            <w:pPr/>
            <w:r>
              <w:rPr>
                <w:b/>
              </w:rPr>
              <w:t xml:space="preserve">PT</w:t>
            </w:r>
          </w:p>
        </w:tc>
        <w:tc>
          <w:tcPr>
            <w:tcW w:w="2340" w:type="dxa"/>
          </w:tcPr>
          <w:p>
            <w:pPr/>
            <w:r>
              <w:rPr>
                <w:b/>
              </w:rPr>
              <w:t xml:space="preserve">Pilotage de projet (transverse)</w:t>
            </w:r>
            <w:r>
              <w:t xml:space="preserve"> : point hebdomadaire, suivi planning</w:t>
            </w:r>
          </w:p>
        </w:tc>
        <w:tc>
          <w:tcPr>
            <w:tcW w:w="2340" w:type="dxa"/>
          </w:tcPr>
          <w:p>
            <w:pPr/>
            <w:r>
              <w:rPr>
                <w:b/>
              </w:rPr>
              <w:t xml:space="preserve">8 semaines</w:t>
            </w:r>
          </w:p>
        </w:tc>
        <w:tc>
          <w:tcPr>
            <w:tcW w:w="2340" w:type="dxa"/>
          </w:tcPr>
          <w:p>
            <w:pPr/>
            <w:r>
              <w:rPr>
                <w:b/>
              </w:rPr>
              <w:t xml:space="preserve">40 000</w:t>
            </w:r>
          </w:p>
        </w:tc>
      </w:tr>
    </w:tbl>
    <w:p>
      <w:pPr>
        <w:pStyle w:val="Heading3"/>
      </w:pPr>
      <w:r>
        <w:t xml:space="preserve">Récapitulatif</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Montant (FCFA)</w:t>
            </w:r>
          </w:p>
        </w:tc>
      </w:tr>
      <w:tr>
        <w:tc>
          <w:tcPr>
            <w:tcW w:w="4680" w:type="dxa"/>
          </w:tcPr>
          <w:p>
            <w:pPr/>
            <w:r>
              <w:t xml:space="preserve">Phase 1 — Cadrage &amp; UI/UX</w:t>
            </w:r>
          </w:p>
        </w:tc>
        <w:tc>
          <w:tcPr>
            <w:tcW w:w="4680" w:type="dxa"/>
          </w:tcPr>
          <w:p>
            <w:pPr/>
            <w:r>
              <w:t xml:space="preserve">80 000</w:t>
            </w:r>
          </w:p>
        </w:tc>
      </w:tr>
      <w:tr>
        <w:tc>
          <w:tcPr>
            <w:tcW w:w="4680" w:type="dxa"/>
          </w:tcPr>
          <w:p>
            <w:pPr/>
            <w:r>
              <w:t xml:space="preserve">Phase 2 — Développement</w:t>
            </w:r>
          </w:p>
        </w:tc>
        <w:tc>
          <w:tcPr>
            <w:tcW w:w="4680" w:type="dxa"/>
          </w:tcPr>
          <w:p>
            <w:pPr/>
            <w:r>
              <w:t xml:space="preserve">322 000</w:t>
            </w:r>
          </w:p>
        </w:tc>
      </w:tr>
      <w:tr>
        <w:tc>
          <w:tcPr>
            <w:tcW w:w="4680" w:type="dxa"/>
          </w:tcPr>
          <w:p>
            <w:pPr/>
            <w:r>
              <w:t xml:space="preserve">Phase 3 — Tests &amp; recette</w:t>
            </w:r>
          </w:p>
        </w:tc>
        <w:tc>
          <w:tcPr>
            <w:tcW w:w="4680" w:type="dxa"/>
          </w:tcPr>
          <w:p>
            <w:pPr/>
            <w:r>
              <w:t xml:space="preserve">68 000</w:t>
            </w:r>
          </w:p>
        </w:tc>
      </w:tr>
      <w:tr>
        <w:tc>
          <w:tcPr>
            <w:tcW w:w="4680" w:type="dxa"/>
          </w:tcPr>
          <w:p>
            <w:pPr/>
            <w:r>
              <w:t xml:space="preserve">Phase 4 — Déploiement &amp; formation</w:t>
            </w:r>
          </w:p>
        </w:tc>
        <w:tc>
          <w:tcPr>
            <w:tcW w:w="4680" w:type="dxa"/>
          </w:tcPr>
          <w:p>
            <w:pPr/>
            <w:r>
              <w:t xml:space="preserve">40 000</w:t>
            </w:r>
          </w:p>
        </w:tc>
      </w:tr>
      <w:tr>
        <w:tc>
          <w:tcPr>
            <w:tcW w:w="4680" w:type="dxa"/>
          </w:tcPr>
          <w:p>
            <w:pPr/>
            <w:r>
              <w:t xml:space="preserve">Pilotage transverse</w:t>
            </w:r>
          </w:p>
        </w:tc>
        <w:tc>
          <w:tcPr>
            <w:tcW w:w="4680" w:type="dxa"/>
          </w:tcPr>
          <w:p>
            <w:pPr/>
            <w:r>
              <w:t xml:space="preserve">40 000</w:t>
            </w:r>
          </w:p>
        </w:tc>
      </w:tr>
      <w:tr>
        <w:tc>
          <w:tcPr>
            <w:tcW w:w="4680" w:type="dxa"/>
          </w:tcPr>
          <w:p>
            <w:pPr/>
            <w:r>
              <w:rPr>
                <w:b/>
              </w:rPr>
              <w:t xml:space="preserve">Total HT</w:t>
            </w:r>
          </w:p>
        </w:tc>
        <w:tc>
          <w:tcPr>
            <w:tcW w:w="4680" w:type="dxa"/>
          </w:tcPr>
          <w:p>
            <w:pPr/>
            <w:r>
              <w:rPr>
                <w:b/>
              </w:rPr>
              <w:t xml:space="preserve">550 000</w:t>
            </w:r>
          </w:p>
        </w:tc>
      </w:tr>
      <w:tr>
        <w:tc>
          <w:tcPr>
            <w:tcW w:w="4680" w:type="dxa"/>
          </w:tcPr>
          <w:p>
            <w:pPr/>
            <w:r>
              <w:t xml:space="preserve">TVA 18 % (à ajuster selon le pays : 19,25 % au Cameroun, par ex.)</w:t>
            </w:r>
          </w:p>
        </w:tc>
        <w:tc>
          <w:tcPr>
            <w:tcW w:w="4680" w:type="dxa"/>
          </w:tcPr>
          <w:p>
            <w:pPr/>
            <w:r>
              <w:t xml:space="preserve">99 000</w:t>
            </w:r>
          </w:p>
        </w:tc>
      </w:tr>
      <w:tr>
        <w:tc>
          <w:tcPr>
            <w:tcW w:w="4680" w:type="dxa"/>
          </w:tcPr>
          <w:p>
            <w:pPr/>
            <w:r>
              <w:rPr>
                <w:b/>
              </w:rPr>
              <w:t xml:space="preserve">Total TTC</w:t>
            </w:r>
          </w:p>
        </w:tc>
        <w:tc>
          <w:tcPr>
            <w:tcW w:w="4680" w:type="dxa"/>
          </w:tcPr>
          <w:p>
            <w:pPr/>
            <w:r>
              <w:rPr>
                <w:b/>
              </w:rPr>
              <w:t xml:space="preserve">649 000</w:t>
            </w:r>
          </w:p>
        </w:tc>
      </w:tr>
    </w:tbl>
    <w:p>
      <w:pPr/>
      <w:r>
        <w:t xml:space="preserve">Contre-valeur indicative : 838 EUR HT, 989 EUR TTC (parité fixe 1 EUR = 655,957 FCFA) ; seul le montant en FCFA fait foi.</w:t>
      </w:r>
    </w:p>
    <w:p>
      <w:pPr>
        <w:pStyle w:val="Heading2"/>
      </w:pPr>
      <w:r>
        <w:t xml:space="preserve">7. Modalités de paiement &amp; conditions</w:t>
      </w:r>
    </w:p>
    <w:p>
      <w:pPr/>
      <w:r>
        <w:t xml:space="preserve">Le règlement se fait en 3 échéances liées à des livrables vérifiables, et 3 mois de support sont inclus après la mise en production.</w:t>
      </w:r>
    </w:p>
    <w:p>
      <w:pPr>
        <w:pStyle w:val="Heading3"/>
      </w:pPr>
      <w:r>
        <w:t xml:space="preserve">Échéancier de paiement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Échéance</w:t>
            </w:r>
          </w:p>
        </w:tc>
        <w:tc>
          <w:tcPr>
            <w:tcW w:w="1872" w:type="dxa"/>
            <w:shd w:val="clear" w:color="auto" w:fill="F2F2F2"/>
          </w:tcPr>
          <w:p>
            <w:pPr/>
            <w:r>
              <w:t xml:space="preserve">Déclencheur</w:t>
            </w:r>
          </w:p>
        </w:tc>
        <w:tc>
          <w:tcPr>
            <w:tcW w:w="1872" w:type="dxa"/>
            <w:shd w:val="clear" w:color="auto" w:fill="F2F2F2"/>
          </w:tcPr>
          <w:p>
            <w:pPr/>
            <w:r>
              <w:t xml:space="preserve">%</w:t>
            </w:r>
          </w:p>
        </w:tc>
        <w:tc>
          <w:tcPr>
            <w:tcW w:w="1872" w:type="dxa"/>
            <w:shd w:val="clear" w:color="auto" w:fill="F2F2F2"/>
          </w:tcPr>
          <w:p>
            <w:pPr/>
            <w:r>
              <w:t xml:space="preserve">Montant HT (FCFA)</w:t>
            </w:r>
          </w:p>
        </w:tc>
        <w:tc>
          <w:tcPr>
            <w:tcW w:w="1872" w:type="dxa"/>
            <w:shd w:val="clear" w:color="auto" w:fill="F2F2F2"/>
          </w:tcPr>
          <w:p>
            <w:pPr/>
            <w:r>
              <w:t xml:space="preserve">Montant TTC (FCFA)</w:t>
            </w:r>
          </w:p>
        </w:tc>
      </w:tr>
      <w:tr>
        <w:tc>
          <w:tcPr>
            <w:tcW w:w="1872" w:type="dxa"/>
          </w:tcPr>
          <w:p>
            <w:pPr/>
            <w:r>
              <w:t xml:space="preserve">1</w:t>
            </w:r>
          </w:p>
        </w:tc>
        <w:tc>
          <w:tcPr>
            <w:tcW w:w="1872" w:type="dxa"/>
          </w:tcPr>
          <w:p>
            <w:pPr/>
            <w:r>
              <w:t xml:space="preserve">Signature du devis / bon de commande</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2</w:t>
            </w:r>
          </w:p>
        </w:tc>
        <w:tc>
          <w:tcPr>
            <w:tcW w:w="1872" w:type="dxa"/>
          </w:tcPr>
          <w:p>
            <w:pPr/>
            <w:r>
              <w:t xml:space="preserve">Livraison de la version bêta (fin de phase 2, semaine 6)</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3</w:t>
            </w:r>
          </w:p>
        </w:tc>
        <w:tc>
          <w:tcPr>
            <w:tcW w:w="1872" w:type="dxa"/>
          </w:tcPr>
          <w:p>
            <w:pPr/>
            <w:r>
              <w:t xml:space="preserve">Mise en production et PV de réception finale (semaine 8)</w:t>
            </w:r>
          </w:p>
        </w:tc>
        <w:tc>
          <w:tcPr>
            <w:tcW w:w="1872" w:type="dxa"/>
          </w:tcPr>
          <w:p>
            <w:pPr/>
            <w:r>
              <w:t xml:space="preserve">20 %</w:t>
            </w:r>
          </w:p>
        </w:tc>
        <w:tc>
          <w:tcPr>
            <w:tcW w:w="1872" w:type="dxa"/>
          </w:tcPr>
          <w:p>
            <w:pPr/>
            <w:r>
              <w:t xml:space="preserve">110 000</w:t>
            </w:r>
          </w:p>
        </w:tc>
        <w:tc>
          <w:tcPr>
            <w:tcW w:w="1872" w:type="dxa"/>
          </w:tcPr>
          <w:p>
            <w:pPr/>
            <w:r>
              <w:t xml:space="preserve">129 800</w:t>
            </w:r>
          </w:p>
        </w:tc>
      </w:tr>
      <w:tr>
        <w:tc>
          <w:tcPr>
            <w:tcW w:w="1872" w:type="dxa"/>
          </w:tcPr>
          <w:p>
            <w:pPr/>
          </w:p>
        </w:tc>
        <w:tc>
          <w:tcPr>
            <w:tcW w:w="1872" w:type="dxa"/>
          </w:tcPr>
          <w:p>
            <w:pPr/>
            <w:r>
              <w:rPr>
                <w:b/>
              </w:rPr>
              <w:t xml:space="preserve">Total</w:t>
            </w:r>
          </w:p>
        </w:tc>
        <w:tc>
          <w:tcPr>
            <w:tcW w:w="1872" w:type="dxa"/>
          </w:tcPr>
          <w:p>
            <w:pPr/>
            <w:r>
              <w:rPr>
                <w:b/>
              </w:rPr>
              <w:t xml:space="preserve">100 %</w:t>
            </w:r>
          </w:p>
        </w:tc>
        <w:tc>
          <w:tcPr>
            <w:tcW w:w="1872" w:type="dxa"/>
          </w:tcPr>
          <w:p>
            <w:pPr/>
            <w:r>
              <w:rPr>
                <w:b/>
              </w:rPr>
              <w:t xml:space="preserve">550 000</w:t>
            </w:r>
          </w:p>
        </w:tc>
        <w:tc>
          <w:tcPr>
            <w:tcW w:w="1872" w:type="dxa"/>
          </w:tcPr>
          <w:p>
            <w:pPr/>
            <w:r>
              <w:rPr>
                <w:b/>
              </w:rPr>
              <w:t xml:space="preserve">649 000</w:t>
            </w:r>
          </w:p>
        </w:tc>
      </w:tr>
    </w:tbl>
    <w:p>
      <w:pPr>
        <w:pStyle w:val="ListParagraph"/>
        <w:numPr>
          <w:ilvl w:val="0"/>
          <w:numId w:val="12"/>
        </w:numPr>
      </w:pPr>
      <w:r>
        <w:t xml:space="preserve">Paiement par virement bancaire ou mobile money entreprise, à 30 jours date de facture.</w:t>
      </w:r>
    </w:p>
    <w:p>
      <w:pPr>
        <w:pStyle w:val="ListParagraph"/>
        <w:numPr>
          <w:ilvl w:val="0"/>
          <w:numId w:val="12"/>
        </w:numPr>
      </w:pPr>
      <w:r>
        <w:t xml:space="preserve">Le démarrage des travaux est conditionné à la réception de l'acompte de 40 %.</w:t>
      </w:r>
    </w:p>
    <w:p>
      <w:pPr>
        <w:pStyle w:val="ListParagraph"/>
        <w:numPr>
          <w:ilvl w:val="0"/>
          <w:numId w:val="12"/>
        </w:numPr>
      </w:pPr>
      <w:r>
        <w:t xml:space="preserve">Tout retard de paiement supérieur à 15 jours suspend le planning d'autant.</w:t>
      </w:r>
    </w:p>
    <w:p>
      <w:pPr>
        <w:pStyle w:val="Heading3"/>
      </w:pPr>
      <w:r>
        <w:t xml:space="preserve">Support &amp; maintenance post-lancement</w:t>
      </w:r>
    </w:p>
    <w:p>
      <w:pPr>
        <w:pStyle w:val="ListParagraph"/>
        <w:numPr>
          <w:ilvl w:val="0"/>
          <w:numId w:val="13"/>
        </w:numPr>
      </w:pPr>
      <w:r>
        <w:rPr>
          <w:b/>
        </w:rPr>
        <w:t xml:space="preserve">3 mois de garantie et support offerts</w:t>
      </w:r>
      <w:r>
        <w:t xml:space="preserve"> à compter de la mise en production : correction de tout bug bloquant ou majeur, assistance utilisateurs par e-mail/WhatsApp (jours ouvrés, 8 h–18 h).</w:t>
      </w:r>
    </w:p>
    <w:p>
      <w:pPr>
        <w:pStyle w:val="ListParagraph"/>
        <w:numPr>
          <w:ilvl w:val="0"/>
          <w:numId w:val="13"/>
        </w:numPr>
      </w:pPr>
      <w:r>
        <w:t xml:space="preserve">Délais d'intervention pendant la garantie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Criticité</w:t>
            </w:r>
          </w:p>
        </w:tc>
        <w:tc>
          <w:tcPr>
            <w:tcW w:w="2340" w:type="dxa"/>
            <w:shd w:val="clear" w:color="auto" w:fill="F2F2F2"/>
          </w:tcPr>
          <w:p>
            <w:pPr/>
            <w:r>
              <w:t xml:space="preserve">Exemple</w:t>
            </w:r>
          </w:p>
        </w:tc>
        <w:tc>
          <w:tcPr>
            <w:tcW w:w="2340" w:type="dxa"/>
            <w:shd w:val="clear" w:color="auto" w:fill="F2F2F2"/>
          </w:tcPr>
          <w:p>
            <w:pPr/>
            <w:r>
              <w:t xml:space="preserve">Prise en charge</w:t>
            </w:r>
          </w:p>
        </w:tc>
        <w:tc>
          <w:tcPr>
            <w:tcW w:w="2340" w:type="dxa"/>
            <w:shd w:val="clear" w:color="auto" w:fill="F2F2F2"/>
          </w:tcPr>
          <w:p>
            <w:pPr/>
            <w:r>
              <w:t xml:space="preserve">Correction cible</w:t>
            </w:r>
          </w:p>
        </w:tc>
      </w:tr>
      <w:tr>
        <w:tc>
          <w:tcPr>
            <w:tcW w:w="2340" w:type="dxa"/>
          </w:tcPr>
          <w:p>
            <w:pPr/>
            <w:r>
              <w:t xml:space="preserve">Bloquante</w:t>
            </w:r>
          </w:p>
        </w:tc>
        <w:tc>
          <w:tcPr>
            <w:tcW w:w="2340" w:type="dxa"/>
          </w:tcPr>
          <w:p>
            <w:pPr/>
            <w:r>
              <w:t xml:space="preserve">Plateforme inaccessible, saisie impossible</w:t>
            </w:r>
          </w:p>
        </w:tc>
        <w:tc>
          <w:tcPr>
            <w:tcW w:w="2340" w:type="dxa"/>
          </w:tcPr>
          <w:p>
            <w:pPr/>
            <w:r>
              <w:t xml:space="preserve">4 h ouvrées</w:t>
            </w:r>
          </w:p>
        </w:tc>
        <w:tc>
          <w:tcPr>
            <w:tcW w:w="2340" w:type="dxa"/>
          </w:tcPr>
          <w:p>
            <w:pPr/>
            <w:r>
              <w:t xml:space="preserve">1 jour ouvré</w:t>
            </w:r>
          </w:p>
        </w:tc>
      </w:tr>
      <w:tr>
        <w:tc>
          <w:tcPr>
            <w:tcW w:w="2340" w:type="dxa"/>
          </w:tcPr>
          <w:p>
            <w:pPr/>
            <w:r>
              <w:t xml:space="preserve">Majeure</w:t>
            </w:r>
          </w:p>
        </w:tc>
        <w:tc>
          <w:tcPr>
            <w:tcW w:w="2340" w:type="dxa"/>
          </w:tcPr>
          <w:p>
            <w:pPr/>
            <w:r>
              <w:t xml:space="preserve">Un module ne calcule plus correctement</w:t>
            </w:r>
          </w:p>
        </w:tc>
        <w:tc>
          <w:tcPr>
            <w:tcW w:w="2340" w:type="dxa"/>
          </w:tcPr>
          <w:p>
            <w:pPr/>
            <w:r>
              <w:t xml:space="preserve">1 jour ouvré</w:t>
            </w:r>
          </w:p>
        </w:tc>
        <w:tc>
          <w:tcPr>
            <w:tcW w:w="2340" w:type="dxa"/>
          </w:tcPr>
          <w:p>
            <w:pPr/>
            <w:r>
              <w:t xml:space="preserve">3 jours ouvrés</w:t>
            </w:r>
          </w:p>
        </w:tc>
      </w:tr>
      <w:tr>
        <w:tc>
          <w:tcPr>
            <w:tcW w:w="2340" w:type="dxa"/>
          </w:tcPr>
          <w:p>
            <w:pPr/>
            <w:r>
              <w:t xml:space="preserve">Mineure</w:t>
            </w:r>
          </w:p>
        </w:tc>
        <w:tc>
          <w:tcPr>
            <w:tcW w:w="2340" w:type="dxa"/>
          </w:tcPr>
          <w:p>
            <w:pPr/>
            <w:r>
              <w:t xml:space="preserve">Libellé, affichage, confort</w:t>
            </w:r>
          </w:p>
        </w:tc>
        <w:tc>
          <w:tcPr>
            <w:tcW w:w="2340" w:type="dxa"/>
          </w:tcPr>
          <w:p>
            <w:pPr/>
            <w:r>
              <w:t xml:space="preserve">3 jours ouvrés</w:t>
            </w:r>
          </w:p>
        </w:tc>
        <w:tc>
          <w:tcPr>
            <w:tcW w:w="2340" w:type="dxa"/>
          </w:tcPr>
          <w:p>
            <w:pPr/>
            <w:r>
              <w:t xml:space="preserve">Prochaine version</w:t>
            </w:r>
          </w:p>
        </w:tc>
      </w:tr>
    </w:tbl>
    <w:p>
      <w:pPr>
        <w:pStyle w:val="ListParagraph"/>
        <w:numPr>
          <w:ilvl w:val="0"/>
          <w:numId w:val="14"/>
        </w:numPr>
      </w:pPr>
      <w:r>
        <w:rPr>
          <w:b/>
        </w:rPr>
        <w:t xml:space="preserve">Au-delà des 3 mois</w:t>
      </w:r>
      <w:r>
        <w:t xml:space="preserve"> (optionnel) : contrat de maintenance à </w:t>
      </w:r>
      <w:r>
        <w:rPr>
          <w:b/>
        </w:rPr>
        <w:t xml:space="preserve">6 500 FCFA HT/mois</w:t>
      </w:r>
      <w:r>
        <w:t xml:space="preserve"> (engagement 12 mois) comprenant correctifs, mises à jour de sécurité, sauvegardes supervisées, compatibilité avec les nouvelles versions des navigateurs et 2 jours d'évolutions mineures par mois.</w:t>
      </w:r>
    </w:p>
    <w:p>
      <w:pPr>
        <w:pStyle w:val="Heading3"/>
      </w:pPr>
      <w:r>
        <w:t xml:space="preserve">Conditions générales</w:t>
      </w:r>
    </w:p>
    <w:p>
      <w:pPr>
        <w:pStyle w:val="ListParagraph"/>
        <w:numPr>
          <w:ilvl w:val="0"/>
          <w:numId w:val="15"/>
        </w:numPr>
      </w:pPr>
      <w:r>
        <w:rPr>
          <w:b/>
        </w:rPr>
        <w:t xml:space="preserve">Propriété intellectuelle</w:t>
      </w:r>
      <w:r>
        <w:t xml:space="preserve"> : le code source et les données sont cédés au client après paiement intégral ; les bibliothèques open source restent sous leurs licences respectives.</w:t>
      </w:r>
    </w:p>
    <w:p>
      <w:pPr>
        <w:pStyle w:val="ListParagraph"/>
        <w:numPr>
          <w:ilvl w:val="0"/>
          <w:numId w:val="15"/>
        </w:numPr>
      </w:pPr>
      <w:r>
        <w:rPr>
          <w:b/>
        </w:rPr>
        <w:t xml:space="preserve">Recette</w:t>
      </w:r>
      <w:r>
        <w:t xml:space="preserve"> : le client dispose de 10 jours ouvrés pour valider chaque livraison ; sans réserve écrite dans ce délai, la livraison est réputée acceptée.</w:t>
      </w:r>
    </w:p>
    <w:p>
      <w:pPr>
        <w:pStyle w:val="ListParagraph"/>
        <w:numPr>
          <w:ilvl w:val="0"/>
          <w:numId w:val="15"/>
        </w:numPr>
      </w:pPr>
      <w:r>
        <w:rPr>
          <w:b/>
        </w:rPr>
        <w:t xml:space="preserve">Évolutions de périmètre</w:t>
      </w:r>
      <w:r>
        <w:t xml:space="preserve"> : toute demande hors du périmètre décrit fait l'objet d'un avenant chiffré au TJM du profil concerné.</w:t>
      </w:r>
    </w:p>
    <w:p>
      <w:pPr>
        <w:pStyle w:val="ListParagraph"/>
        <w:numPr>
          <w:ilvl w:val="0"/>
          <w:numId w:val="15"/>
        </w:numPr>
      </w:pPr>
      <w:r>
        <w:rPr>
          <w:b/>
        </w:rPr>
        <w:t xml:space="preserve">Engagements du client</w:t>
      </w:r>
      <w:r>
        <w:t xml:space="preserve"> : désigner un référent projet, fournir les données du parc (fichier Excel) et les règles de gestion en phase 1, assurer la disponibilité des utilisateurs pour la recette et la formation.</w:t>
      </w:r>
    </w:p>
    <w:p>
      <w:pPr>
        <w:pStyle w:val="ListParagraph"/>
        <w:numPr>
          <w:ilvl w:val="0"/>
          <w:numId w:val="15"/>
        </w:numPr>
      </w:pPr>
      <w:r>
        <w:rPr>
          <w:b/>
        </w:rPr>
        <w:t xml:space="preserve">Confidentialité</w:t>
      </w:r>
      <w:r>
        <w:t xml:space="preserve"> : les deux parties s'engagent à ne pas divulguer les informations échangées dans le cadre du projet.</w:t>
      </w:r>
    </w:p>
    <w:p>
      <w:pPr>
        <w:pStyle w:val="Heading2"/>
      </w:pPr>
      <w:r>
        <w:t xml:space="preserve">8. Hors périmètre, options &amp; coûts récurrents</w:t>
      </w:r>
    </w:p>
    <w:p>
      <w:pPr/>
      <w:r>
        <w:t xml:space="preserve">Les éléments ci-dessous ne sont pas inclus dans le total ; les options peuvent être ajoutées à la commande ou plus tard.</w:t>
      </w:r>
    </w:p>
    <w:p>
      <w:pPr>
        <w:pStyle w:val="Heading3"/>
      </w:pPr>
      <w:r>
        <w:t xml:space="preserve">Options chiffrées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Description</w:t>
            </w:r>
          </w:p>
        </w:tc>
        <w:tc>
          <w:tcPr>
            <w:tcW w:w="2340" w:type="dxa"/>
            <w:shd w:val="clear" w:color="auto" w:fill="F2F2F2"/>
          </w:tcPr>
          <w:p>
            <w:pPr/>
            <w:r>
              <w:t xml:space="preserve">Jours-homme</w:t>
            </w:r>
          </w:p>
        </w:tc>
        <w:tc>
          <w:tcPr>
            <w:tcW w:w="2340" w:type="dxa"/>
            <w:shd w:val="clear" w:color="auto" w:fill="F2F2F2"/>
          </w:tcPr>
          <w:p>
            <w:pPr/>
            <w:r>
              <w:t xml:space="preserve">Montant (FCFA HT)</w:t>
            </w:r>
          </w:p>
        </w:tc>
      </w:tr>
      <w:tr>
        <w:tc>
          <w:tcPr>
            <w:tcW w:w="2340" w:type="dxa"/>
          </w:tcPr>
          <w:p>
            <w:pPr/>
            <w:r>
              <w:t xml:space="preserve">O1 — Géolocalisation GPS temps réel</w:t>
            </w:r>
          </w:p>
        </w:tc>
        <w:tc>
          <w:tcPr>
            <w:tcW w:w="2340" w:type="dxa"/>
          </w:tcPr>
          <w:p>
            <w:pPr/>
            <w:r>
              <w:t xml:space="preserve">Intégration d'un boîtier/traceur GPS existant (API du fournisseur) : position sur carte, trajets, alertes de sortie de zone</w:t>
            </w:r>
          </w:p>
        </w:tc>
        <w:tc>
          <w:tcPr>
            <w:tcW w:w="2340" w:type="dxa"/>
          </w:tcPr>
          <w:p>
            <w:pPr/>
            <w:r>
              <w:t xml:space="preserve">10</w:t>
            </w:r>
          </w:p>
        </w:tc>
        <w:tc>
          <w:tcPr>
            <w:tcW w:w="2340" w:type="dxa"/>
          </w:tcPr>
          <w:p>
            <w:pPr/>
            <w:r>
              <w:t xml:space="preserve">33 000</w:t>
            </w:r>
          </w:p>
        </w:tc>
      </w:tr>
      <w:tr>
        <w:tc>
          <w:tcPr>
            <w:tcW w:w="2340" w:type="dxa"/>
          </w:tcPr>
          <w:p>
            <w:pPr/>
            <w:r>
              <w:t xml:space="preserve">O2 — Alertes SMS</w:t>
            </w:r>
          </w:p>
        </w:tc>
        <w:tc>
          <w:tcPr>
            <w:tcW w:w="2340" w:type="dxa"/>
          </w:tcPr>
          <w:p>
            <w:pPr/>
            <w:r>
              <w:t xml:space="preserve">Envoi des alertes critiques par SMS via un agrégateur local (hors coût des SMS)</w:t>
            </w:r>
          </w:p>
        </w:tc>
        <w:tc>
          <w:tcPr>
            <w:tcW w:w="2340" w:type="dxa"/>
          </w:tcPr>
          <w:p>
            <w:pPr/>
            <w:r>
              <w:t xml:space="preserve">3</w:t>
            </w:r>
          </w:p>
        </w:tc>
        <w:tc>
          <w:tcPr>
            <w:tcW w:w="2340" w:type="dxa"/>
          </w:tcPr>
          <w:p>
            <w:pPr/>
            <w:r>
              <w:t xml:space="preserve">10 000</w:t>
            </w:r>
          </w:p>
        </w:tc>
      </w:tr>
      <w:tr>
        <w:tc>
          <w:tcPr>
            <w:tcW w:w="2340" w:type="dxa"/>
          </w:tcPr>
          <w:p>
            <w:pPr/>
            <w:r>
              <w:t xml:space="preserve">O3 — Cartes carburant</w:t>
            </w:r>
          </w:p>
        </w:tc>
        <w:tc>
          <w:tcPr>
            <w:tcW w:w="2340" w:type="dxa"/>
          </w:tcPr>
          <w:p>
            <w:pPr/>
            <w:r>
              <w:t xml:space="preserve">Import automatique des transactions des cartes carburant du pétrolier (fichier ou API)</w:t>
            </w:r>
          </w:p>
        </w:tc>
        <w:tc>
          <w:tcPr>
            <w:tcW w:w="2340" w:type="dxa"/>
          </w:tcPr>
          <w:p>
            <w:pPr/>
            <w:r>
              <w:t xml:space="preserve">5</w:t>
            </w:r>
          </w:p>
        </w:tc>
        <w:tc>
          <w:tcPr>
            <w:tcW w:w="2340" w:type="dxa"/>
          </w:tcPr>
          <w:p>
            <w:pPr/>
            <w:r>
              <w:t xml:space="preserve">16 500</w:t>
            </w:r>
          </w:p>
        </w:tc>
      </w:tr>
      <w:tr>
        <w:tc>
          <w:tcPr>
            <w:tcW w:w="2340" w:type="dxa"/>
          </w:tcPr>
          <w:p>
            <w:pPr/>
            <w:r>
              <w:t xml:space="preserve">O4 — Multi-sociétés</w:t>
            </w:r>
          </w:p>
        </w:tc>
        <w:tc>
          <w:tcPr>
            <w:tcW w:w="2340" w:type="dxa"/>
          </w:tcPr>
          <w:p>
            <w:pPr/>
            <w:r>
              <w:t xml:space="preserve">Gestion de plusieurs entités ou filiales dans la même plateforme, données cloisonnées</w:t>
            </w:r>
          </w:p>
        </w:tc>
        <w:tc>
          <w:tcPr>
            <w:tcW w:w="2340" w:type="dxa"/>
          </w:tcPr>
          <w:p>
            <w:pPr/>
            <w:r>
              <w:t xml:space="preserve">6</w:t>
            </w:r>
          </w:p>
        </w:tc>
        <w:tc>
          <w:tcPr>
            <w:tcW w:w="2340" w:type="dxa"/>
          </w:tcPr>
          <w:p>
            <w:pPr/>
            <w:r>
              <w:t xml:space="preserve">19 500</w:t>
            </w:r>
          </w:p>
        </w:tc>
      </w:tr>
      <w:tr>
        <w:tc>
          <w:tcPr>
            <w:tcW w:w="2340" w:type="dxa"/>
          </w:tcPr>
          <w:p>
            <w:pPr/>
            <w:r>
              <w:t xml:space="preserve">O5 — Reprise de données historiques</w:t>
            </w:r>
          </w:p>
        </w:tc>
        <w:tc>
          <w:tcPr>
            <w:tcW w:w="2340" w:type="dxa"/>
          </w:tcPr>
          <w:p>
            <w:pPr/>
            <w:r>
              <w:t xml:space="preserve">Nettoyage et import de l'historique existant (pleins, entretiens) au-delà du fichier parc</w:t>
            </w:r>
          </w:p>
        </w:tc>
        <w:tc>
          <w:tcPr>
            <w:tcW w:w="2340" w:type="dxa"/>
          </w:tcPr>
          <w:p>
            <w:pPr/>
            <w:r>
              <w:t xml:space="preserve">4</w:t>
            </w:r>
          </w:p>
        </w:tc>
        <w:tc>
          <w:tcPr>
            <w:tcW w:w="2340" w:type="dxa"/>
          </w:tcPr>
          <w:p>
            <w:pPr/>
            <w:r>
              <w:t xml:space="preserve">11 000</w:t>
            </w:r>
          </w:p>
        </w:tc>
      </w:tr>
      <w:tr>
        <w:tc>
          <w:tcPr>
            <w:tcW w:w="2340" w:type="dxa"/>
          </w:tcPr>
          <w:p>
            <w:pPr/>
            <w:r>
              <w:t xml:space="preserve">O6 — Application mobile Flutter</w:t>
            </w:r>
          </w:p>
        </w:tc>
        <w:tc>
          <w:tcPr>
            <w:tcW w:w="2340" w:type="dxa"/>
          </w:tcPr>
          <w:p>
            <w:pPr/>
            <w:r>
              <w:t xml:space="preserve">Application Android/iOS pour chauffeurs et mécaniciens, saisie hors connexion, notifications push, publication sur les stores</w:t>
            </w:r>
          </w:p>
        </w:tc>
        <w:tc>
          <w:tcPr>
            <w:tcW w:w="2340" w:type="dxa"/>
          </w:tcPr>
          <w:p>
            <w:pPr/>
            <w:r>
              <w:t xml:space="preserve">33</w:t>
            </w:r>
          </w:p>
        </w:tc>
        <w:tc>
          <w:tcPr>
            <w:tcW w:w="2340" w:type="dxa"/>
          </w:tcPr>
          <w:p>
            <w:pPr/>
            <w:r>
              <w:t xml:space="preserve">132 500</w:t>
            </w:r>
          </w:p>
        </w:tc>
      </w:tr>
    </w:tbl>
    <w:p>
      <w:pPr>
        <w:pStyle w:val="Heading3"/>
      </w:pPr>
      <w:r>
        <w:t xml:space="preserve">Hébergement : deux options au choix du client</w:t>
      </w:r>
    </w:p>
    <w:p>
      <w:pPr/>
      <w:r>
        <w:t xml:space="preserve">L'option A ne coûte que le nom de domaine ; l'option B coûte moins de 5 000 FCFA par mois et apporte la fiabilité d'un serveur payant. L'installation de l'une ou l'autre est incluse dans le prix (ligne 4.1).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Critère</w:t>
            </w:r>
          </w:p>
        </w:tc>
        <w:tc>
          <w:tcPr>
            <w:tcW w:w="3120" w:type="dxa"/>
            <w:shd w:val="clear" w:color="auto" w:fill="F2F2F2"/>
          </w:tcPr>
          <w:p>
            <w:pPr/>
            <w:r>
              <w:t xml:space="preserve">Option A — Démarrage gratuit</w:t>
            </w:r>
          </w:p>
        </w:tc>
        <w:tc>
          <w:tcPr>
            <w:tcW w:w="3120" w:type="dxa"/>
            <w:shd w:val="clear" w:color="auto" w:fill="F2F2F2"/>
          </w:tcPr>
          <w:p>
            <w:pPr/>
            <w:r>
              <w:t xml:space="preserve">Option B — Serveur VPS</w:t>
            </w:r>
          </w:p>
        </w:tc>
      </w:tr>
      <w:tr>
        <w:tc>
          <w:tcPr>
            <w:tcW w:w="3120" w:type="dxa"/>
          </w:tcPr>
          <w:p>
            <w:pPr/>
            <w:r>
              <w:t xml:space="preserve">Serveur</w:t>
            </w:r>
          </w:p>
        </w:tc>
        <w:tc>
          <w:tcPr>
            <w:tcW w:w="3120" w:type="dxa"/>
          </w:tcPr>
          <w:p>
            <w:pPr/>
            <w:r>
              <w:t xml:space="preserve">Oracle Cloud « Always Free » : 2 cœurs ARM, 12 Go de mémoire, 200 Go de disque</w:t>
            </w:r>
          </w:p>
        </w:tc>
        <w:tc>
          <w:tcPr>
            <w:tcW w:w="3120" w:type="dxa"/>
          </w:tcPr>
          <w:p>
            <w:pPr/>
            <w:r>
              <w:t xml:space="preserve">Hetzner CX23 : 2 vCPU, 4 Go de mémoire, 40 Go SSD (ou équivalent OVH, Contabo)</w:t>
            </w:r>
          </w:p>
        </w:tc>
      </w:tr>
      <w:tr>
        <w:tc>
          <w:tcPr>
            <w:tcW w:w="3120" w:type="dxa"/>
          </w:tcPr>
          <w:p>
            <w:pPr/>
            <w:r>
              <w:t xml:space="preserve">Coût du serveur</w:t>
            </w:r>
          </w:p>
        </w:tc>
        <w:tc>
          <w:tcPr>
            <w:tcW w:w="3120" w:type="dxa"/>
          </w:tcPr>
          <w:p>
            <w:pPr/>
            <w:r>
              <w:t xml:space="preserve">0 FCFA</w:t>
            </w:r>
          </w:p>
        </w:tc>
        <w:tc>
          <w:tcPr>
            <w:tcW w:w="3120" w:type="dxa"/>
          </w:tcPr>
          <w:p>
            <w:pPr/>
            <w:r>
              <w:t xml:space="preserve">5,49 EUR/mois, soit ≈ 3 600 FCFA</w:t>
            </w:r>
          </w:p>
        </w:tc>
      </w:tr>
      <w:tr>
        <w:tc>
          <w:tcPr>
            <w:tcW w:w="3120" w:type="dxa"/>
          </w:tcPr>
          <w:p>
            <w:pPr/>
            <w:r>
              <w:t xml:space="preserve">Sauvegardes</w:t>
            </w:r>
          </w:p>
        </w:tc>
        <w:tc>
          <w:tcPr>
            <w:tcW w:w="3120" w:type="dxa"/>
          </w:tcPr>
          <w:p>
            <w:pPr/>
            <w:r>
              <w:t xml:space="preserve">Stockage Oracle, 20 Go gratuits</w:t>
            </w:r>
          </w:p>
        </w:tc>
        <w:tc>
          <w:tcPr>
            <w:tcW w:w="3120" w:type="dxa"/>
          </w:tcPr>
          <w:p>
            <w:pPr/>
            <w:r>
              <w:t xml:space="preserve">Sauvegardes automatiques de l'hébergeur, ≈ 700 FCFA/mois</w:t>
            </w:r>
          </w:p>
        </w:tc>
      </w:tr>
      <w:tr>
        <w:tc>
          <w:tcPr>
            <w:tcW w:w="3120" w:type="dxa"/>
          </w:tcPr>
          <w:p>
            <w:pPr/>
            <w:r>
              <w:t xml:space="preserve">E-mails d'alerte</w:t>
            </w:r>
          </w:p>
        </w:tc>
        <w:tc>
          <w:tcPr>
            <w:tcW w:w="3120" w:type="dxa"/>
          </w:tcPr>
          <w:p>
            <w:pPr/>
            <w:r>
              <w:t xml:space="preserve">Brevo, gratuit jusqu'à 300 e-mails/jour</w:t>
            </w:r>
          </w:p>
        </w:tc>
        <w:tc>
          <w:tcPr>
            <w:tcW w:w="3120" w:type="dxa"/>
          </w:tcPr>
          <w:p>
            <w:pPr/>
            <w:r>
              <w:t xml:space="preserve">Brevo, gratuit jusqu'à 300 e-mails/jour</w:t>
            </w:r>
          </w:p>
        </w:tc>
      </w:tr>
      <w:tr>
        <w:tc>
          <w:tcPr>
            <w:tcW w:w="3120" w:type="dxa"/>
          </w:tcPr>
          <w:p>
            <w:pPr/>
            <w:r>
              <w:t xml:space="preserve">DNS et certificat HTTPS</w:t>
            </w:r>
          </w:p>
        </w:tc>
        <w:tc>
          <w:tcPr>
            <w:tcW w:w="3120" w:type="dxa"/>
          </w:tcPr>
          <w:p>
            <w:pPr/>
            <w:r>
              <w:t xml:space="preserve">Cloudflare + Let's Encrypt, gratuits</w:t>
            </w:r>
          </w:p>
        </w:tc>
        <w:tc>
          <w:tcPr>
            <w:tcW w:w="3120" w:type="dxa"/>
          </w:tcPr>
          <w:p>
            <w:pPr/>
            <w:r>
              <w:t xml:space="preserve">Cloudflare + Let's Encrypt, gratuits</w:t>
            </w:r>
          </w:p>
        </w:tc>
      </w:tr>
      <w:tr>
        <w:tc>
          <w:tcPr>
            <w:tcW w:w="3120" w:type="dxa"/>
          </w:tcPr>
          <w:p>
            <w:pPr/>
            <w:r>
              <w:t xml:space="preserve">Nom de domaine</w:t>
            </w:r>
          </w:p>
        </w:tc>
        <w:tc>
          <w:tcPr>
            <w:tcW w:w="3120" w:type="dxa"/>
          </w:tcPr>
          <w:p>
            <w:pPr/>
            <w:r>
              <w:t xml:space="preserve">10 000 à 20 000 FCFA/an</w:t>
            </w:r>
          </w:p>
        </w:tc>
        <w:tc>
          <w:tcPr>
            <w:tcW w:w="3120" w:type="dxa"/>
          </w:tcPr>
          <w:p>
            <w:pPr/>
            <w:r>
              <w:t xml:space="preserve">10 000 à 20 000 FCFA/an</w:t>
            </w:r>
          </w:p>
        </w:tc>
      </w:tr>
      <w:tr>
        <w:tc>
          <w:tcPr>
            <w:tcW w:w="3120" w:type="dxa"/>
          </w:tcPr>
          <w:p>
            <w:pPr/>
            <w:r>
              <w:rPr>
                <w:b/>
              </w:rPr>
              <w:t xml:space="preserve">Total mensuel</w:t>
            </w:r>
          </w:p>
        </w:tc>
        <w:tc>
          <w:tcPr>
            <w:tcW w:w="3120" w:type="dxa"/>
          </w:tcPr>
          <w:p>
            <w:pPr/>
            <w:r>
              <w:rPr>
                <w:b/>
              </w:rPr>
              <w:t xml:space="preserve">0 FCFA</w:t>
            </w:r>
            <w:r>
              <w:t xml:space="preserve"> (+ domaine)</w:t>
            </w:r>
          </w:p>
        </w:tc>
        <w:tc>
          <w:tcPr>
            <w:tcW w:w="3120" w:type="dxa"/>
          </w:tcPr>
          <w:p>
            <w:pPr/>
            <w:r>
              <w:rPr>
                <w:b/>
              </w:rPr>
              <w:t xml:space="preserve">≈ 4 300 FCFA</w:t>
            </w:r>
            <w:r>
              <w:t xml:space="preserve"> (+ domaine)</w:t>
            </w:r>
          </w:p>
        </w:tc>
      </w:tr>
      <w:tr>
        <w:tc>
          <w:tcPr>
            <w:tcW w:w="3120" w:type="dxa"/>
          </w:tcPr>
          <w:p>
            <w:pPr/>
            <w:r>
              <w:t xml:space="preserve">Limites</w:t>
            </w:r>
          </w:p>
        </w:tc>
        <w:tc>
          <w:tcPr>
            <w:tcW w:w="3120" w:type="dxa"/>
          </w:tcPr>
          <w:p>
            <w:pPr/>
            <w:r>
              <w:t xml:space="preserve">Aucune garantie de disponibilité ; carte bancaire demandée à l'inscription ; Oracle peut supprimer un serveur très peu utilisé pendant 7 jours</w:t>
            </w:r>
          </w:p>
        </w:tc>
        <w:tc>
          <w:tcPr>
            <w:tcW w:w="3120" w:type="dxa"/>
          </w:tcPr>
          <w:p>
            <w:pPr/>
            <w:r>
              <w:t xml:space="preserve">Disponibilité garantie par contrat, support de l'hébergeur, ressources réservées</w:t>
            </w:r>
          </w:p>
        </w:tc>
      </w:tr>
    </w:tbl>
    <w:p>
      <w:pPr/>
      <w:r>
        <w:rPr>
          <w:b/>
        </w:rPr>
        <w:t xml:space="preserve">Notre recommandation</w:t>
      </w:r>
      <w:r>
        <w:t xml:space="preserve"> : démarrer sur l'option A pendant la phase pilote et les 3 mois de garantie, puis passer à l'option B dès que la plateforme devient indispensable au quotidien. La migration de A vers B est offerte si elle est demandée pendant la garantie ; les sauvegardes quotidiennes externalisées permettent de tout restaurer en cas de problème.</w:t>
      </w:r>
    </w:p>
    <w:p>
      <w:pPr/>
      <w:r>
        <w:t xml:space="preserve">Tarifs relevés en octobre 2026, susceptibles d'évoluer : </w:t>
      </w:r>
      <w:hyperlink r:id="rId5" w:history="1">
        <w:r>
          <w:rPr>
            <w:rStyle w:val="Hyperlink"/>
          </w:rPr>
          <w:t xml:space="preserve">Oracle Always Free</w:t>
        </w:r>
      </w:hyperlink>
      <w:r>
        <w:t xml:space="preserve">, </w:t>
      </w:r>
      <w:hyperlink r:id="rId6" w:history="1">
        <w:r>
          <w:rPr>
            <w:rStyle w:val="Hyperlink"/>
          </w:rPr>
          <w:t xml:space="preserve">Hetzner, hausse de juin 2026</w:t>
        </w:r>
      </w:hyperlink>
      <w:r>
        <w:t xml:space="preserve">, </w:t>
      </w:r>
      <w:hyperlink r:id="rId7" w:history="1">
        <w:r>
          <w:rPr>
            <w:rStyle w:val="Hyperlink"/>
          </w:rPr>
          <w:t xml:space="preserve">Brevo, offre gratuite</w:t>
        </w:r>
      </w:hyperlink>
      <w:r>
        <w:t xml:space="preserve">.</w:t>
      </w:r>
    </w:p>
    <w:p>
      <w:pPr>
        <w:pStyle w:val="Heading3"/>
      </w:pPr>
      <w:r>
        <w:t xml:space="preserve">Exclusions</w:t>
      </w:r>
    </w:p>
    <w:p>
      <w:pPr>
        <w:pStyle w:val="ListParagraph"/>
        <w:numPr>
          <w:ilvl w:val="0"/>
          <w:numId w:val="16"/>
        </w:numPr>
      </w:pPr>
      <w:r>
        <w:t xml:space="preserve">Fourniture de matériel (smartphones, tablettes, boîtiers GPS, serveurs physiques).</w:t>
      </w:r>
    </w:p>
    <w:p>
      <w:pPr>
        <w:pStyle w:val="ListParagraph"/>
        <w:numPr>
          <w:ilvl w:val="0"/>
          <w:numId w:val="16"/>
        </w:numPr>
      </w:pPr>
      <w:r>
        <w:t xml:space="preserve">Interfaçage avec le logiciel comptable ou l'ERP du client (chiffrable sur demande).</w:t>
      </w:r>
    </w:p>
    <w:p>
      <w:pPr>
        <w:pStyle w:val="ListParagraph"/>
        <w:numPr>
          <w:ilvl w:val="0"/>
          <w:numId w:val="16"/>
        </w:numPr>
      </w:pPr>
      <w:r>
        <w:t xml:space="preserve">Saisie des données de production par le prestataire.</w:t>
      </w:r>
    </w:p>
    <w:p>
      <w:pPr>
        <w:pStyle w:val="Heading2"/>
      </w:pPr>
      <w:r>
        <w:t xml:space="preserve">9. Bon pour accord</w:t>
      </w:r>
    </w:p>
    <w:p>
      <w:pPr/>
      <w:r>
        <w:t xml:space="preserve">Pour accepter cette proposition, retourner ce devis daté, signé et revêtu du cachet de l'entreprise, avec la mention « Bon pour accord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Pour le client</w:t>
            </w:r>
          </w:p>
        </w:tc>
        <w:tc>
          <w:tcPr>
            <w:tcW w:w="3120" w:type="dxa"/>
            <w:shd w:val="clear" w:color="auto" w:fill="F2F2F2"/>
          </w:tcPr>
          <w:p>
            <w:pPr/>
            <w:r>
              <w:t xml:space="preserve">Pour le prestataire</w:t>
            </w:r>
          </w:p>
        </w:tc>
      </w:tr>
      <w:tr>
        <w:tc>
          <w:tcPr>
            <w:tcW w:w="3120" w:type="dxa"/>
          </w:tcPr>
          <w:p>
            <w:pPr/>
            <w:r>
              <w:t xml:space="preserve">Nom et fonction</w:t>
            </w:r>
          </w:p>
        </w:tc>
        <w:tc>
          <w:tcPr>
            <w:tcW w:w="3120" w:type="dxa"/>
          </w:tcPr>
          <w:p>
            <w:pPr/>
          </w:p>
        </w:tc>
        <w:tc>
          <w:tcPr>
            <w:tcW w:w="3120" w:type="dxa"/>
          </w:tcPr>
          <w:p>
            <w:pPr/>
          </w:p>
        </w:tc>
      </w:tr>
      <w:tr>
        <w:tc>
          <w:tcPr>
            <w:tcW w:w="3120" w:type="dxa"/>
          </w:tcPr>
          <w:p>
            <w:pPr/>
            <w:r>
              <w:t xml:space="preserve">Date</w:t>
            </w:r>
          </w:p>
        </w:tc>
        <w:tc>
          <w:tcPr>
            <w:tcW w:w="3120" w:type="dxa"/>
          </w:tcPr>
          <w:p>
            <w:pPr/>
          </w:p>
        </w:tc>
        <w:tc>
          <w:tcPr>
            <w:tcW w:w="3120" w:type="dxa"/>
          </w:tcPr>
          <w:p>
            <w:pPr/>
          </w:p>
        </w:tc>
      </w:tr>
      <w:tr>
        <w:tc>
          <w:tcPr>
            <w:tcW w:w="3120" w:type="dxa"/>
          </w:tcPr>
          <w:p>
            <w:pPr/>
            <w:r>
              <w:t xml:space="preserve">Signature et cachet</w:t>
            </w:r>
          </w:p>
        </w:tc>
        <w:tc>
          <w:tcPr>
            <w:tcW w:w="3120" w:type="dxa"/>
          </w:tcPr>
          <w:p>
            <w:pPr/>
          </w:p>
        </w:tc>
        <w:tc>
          <w:tcPr>
            <w:tcW w:w="31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cs.oracle.com/en-us/iaas/Content/FreeTier/resourceref.htm" TargetMode="External"/><Relationship Id="rId6" Type="http://schemas.openxmlformats.org/officeDocument/2006/relationships/hyperlink" Target="https://privatedevops.com/news/hetzner-june-2026-cloud-price-increase-what-to-do" TargetMode="External"/><Relationship Id="rId7" Type="http://schemas.openxmlformats.org/officeDocument/2006/relationships/hyperlink" Target="https://costbench.com/software/marketing-automation/brevo/free-plan"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Devis — Plateforme de gestion des engins poids lourds</dc:title>
  <dc:description>Claude Docs node/3c32ab57-86d5@27 docx-w6</dc:description>
  <cp:revision>27</cp:revision>
</cp:coreProperties>
</file>