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Devis — Plateforme de gestion des engins poids lourds</w:t>
      </w:r>
    </w:p>
    <w:p>
      <w:pPr/>
      <w:r>
        <w:t xml:space="preserve">Sep 30, 2026</w:t>
      </w:r>
      <w:r>
        <w:t xml:space="preserve"> · </w:t>
      </w:r>
      <w:r>
        <w:t xml:space="preserve">@Proxima du centaure</w:t>
      </w:r>
    </w:p>
    <w:p>
      <w:pPr>
        <w:pStyle w:val="Heading2"/>
      </w:pPr>
      <w:r>
        <w:t xml:space="preserve">1. En-tête &amp; présentation</w:t>
      </w:r>
    </w:p>
    <w:p>
      <w:pPr/>
      <w:r>
        <w:t xml:space="preserve">Montant total proposé : </w:t>
      </w:r>
      <w:r>
        <w:rPr>
          <w:b/>
        </w:rPr>
        <w:t xml:space="preserve">550 000 FCFA HT</w:t>
      </w:r>
      <w:r>
        <w:t xml:space="preserve"> (649 000 FCFA TTC), pour une livraison complète en </w:t>
      </w:r>
      <w:r>
        <w:rPr>
          <w:b/>
        </w:rPr>
        <w:t xml:space="preserve">18 semaines</w:t>
      </w:r>
      <w:r>
        <w:t xml:space="preserve">.</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Rubrique</w:t>
            </w:r>
          </w:p>
        </w:tc>
        <w:tc>
          <w:tcPr>
            <w:tcW w:w="4680" w:type="dxa"/>
            <w:shd w:val="clear" w:color="auto" w:fill="F2F2F2"/>
          </w:tcPr>
          <w:p>
            <w:pPr/>
            <w:r>
              <w:t xml:space="preserve">Détail</w:t>
            </w:r>
          </w:p>
        </w:tc>
      </w:tr>
      <w:tr>
        <w:tc>
          <w:tcPr>
            <w:tcW w:w="4680" w:type="dxa"/>
          </w:tcPr>
          <w:p>
            <w:pPr/>
            <w:r>
              <w:t xml:space="preserve">Prestation</w:t>
            </w:r>
          </w:p>
        </w:tc>
        <w:tc>
          <w:tcPr>
            <w:tcW w:w="4680" w:type="dxa"/>
          </w:tcPr>
          <w:p>
            <w:pPr/>
            <w:r>
              <w:t xml:space="preserve">Conception, développement et déploiement d'une plateforme web + mobile de gestion des engins poids lourds</w:t>
            </w:r>
          </w:p>
        </w:tc>
      </w:tr>
      <w:tr>
        <w:tc>
          <w:tcPr>
            <w:tcW w:w="4680" w:type="dxa"/>
          </w:tcPr>
          <w:p>
            <w:pPr/>
            <w:r>
              <w:t xml:space="preserve">Référence</w:t>
            </w:r>
          </w:p>
        </w:tc>
        <w:tc>
          <w:tcPr>
            <w:tcW w:w="4680" w:type="dxa"/>
          </w:tcPr>
          <w:p>
            <w:pPr/>
            <w:r>
              <w:t xml:space="preserve">DEV-2026-09-001</w:t>
            </w:r>
          </w:p>
        </w:tc>
      </w:tr>
      <w:tr>
        <w:tc>
          <w:tcPr>
            <w:tcW w:w="4680" w:type="dxa"/>
          </w:tcPr>
          <w:p>
            <w:pPr/>
            <w:r>
              <w:t xml:space="preserve">Date d'émission</w:t>
            </w:r>
          </w:p>
        </w:tc>
        <w:tc>
          <w:tcPr>
            <w:tcW w:w="4680" w:type="dxa"/>
          </w:tcPr>
          <w:p>
            <w:pPr/>
            <w:r>
              <w:t xml:space="preserve">30/09/2026</w:t>
            </w:r>
          </w:p>
        </w:tc>
      </w:tr>
      <w:tr>
        <w:tc>
          <w:tcPr>
            <w:tcW w:w="4680" w:type="dxa"/>
          </w:tcPr>
          <w:p>
            <w:pPr/>
            <w:r>
              <w:t xml:space="preserve">Client</w:t>
            </w:r>
          </w:p>
        </w:tc>
        <w:tc>
          <w:tcPr>
            <w:tcW w:w="4680" w:type="dxa"/>
          </w:tcPr>
          <w:p>
            <w:pPr/>
            <w:r>
              <w:t xml:space="preserve">[Raison sociale du client] — [Adresse] — [Contact]</w:t>
            </w:r>
          </w:p>
        </w:tc>
      </w:tr>
      <w:tr>
        <w:tc>
          <w:tcPr>
            <w:tcW w:w="4680" w:type="dxa"/>
          </w:tcPr>
          <w:p>
            <w:pPr/>
            <w:r>
              <w:t xml:space="preserve">Prestataire</w:t>
            </w:r>
          </w:p>
        </w:tc>
        <w:tc>
          <w:tcPr>
            <w:tcW w:w="4680" w:type="dxa"/>
          </w:tcPr>
          <w:p>
            <w:pPr/>
            <w:r>
              <w:t xml:space="preserve">[Raison sociale du prestataire] — [RCCM / NIF] — [Contact]</w:t>
            </w:r>
          </w:p>
        </w:tc>
      </w:tr>
      <w:tr>
        <w:tc>
          <w:tcPr>
            <w:tcW w:w="4680" w:type="dxa"/>
          </w:tcPr>
          <w:p>
            <w:pPr/>
            <w:r>
              <w:t xml:space="preserve">Objet</w:t>
            </w:r>
          </w:p>
        </w:tc>
        <w:tc>
          <w:tcPr>
            <w:tcW w:w="4680" w:type="dxa"/>
          </w:tcPr>
          <w:p>
            <w:pPr/>
            <w:r>
              <w:t xml:space="preserve">Fournir un outil unique pour suivre le parc, les missions, la maintenance, le carburant et les coûts des engins</w:t>
            </w:r>
          </w:p>
        </w:tc>
      </w:tr>
      <w:tr>
        <w:tc>
          <w:tcPr>
            <w:tcW w:w="4680" w:type="dxa"/>
          </w:tcPr>
          <w:p>
            <w:pPr/>
            <w:r>
              <w:t xml:space="preserve">Livrables</w:t>
            </w:r>
          </w:p>
        </w:tc>
        <w:tc>
          <w:tcPr>
            <w:tcW w:w="4680" w:type="dxa"/>
          </w:tcPr>
          <w:p>
            <w:pPr/>
            <w:r>
              <w:t xml:space="preserve">Application web (back-office), application mobile Android/iOS (Flutter), API REST, documentation, formation</w:t>
            </w:r>
          </w:p>
        </w:tc>
      </w:tr>
      <w:tr>
        <w:tc>
          <w:tcPr>
            <w:tcW w:w="4680" w:type="dxa"/>
          </w:tcPr>
          <w:p>
            <w:pPr/>
            <w:r>
              <w:t xml:space="preserve">Validité de l'offre</w:t>
            </w:r>
          </w:p>
        </w:tc>
        <w:tc>
          <w:tcPr>
            <w:tcW w:w="4680" w:type="dxa"/>
          </w:tcPr>
          <w:p>
            <w:pPr/>
            <w:r>
              <w:t xml:space="preserve">30 jours, soit jusqu'au 30/10/2026</w:t>
            </w:r>
          </w:p>
        </w:tc>
      </w:tr>
      <w:tr>
        <w:tc>
          <w:tcPr>
            <w:tcW w:w="4680" w:type="dxa"/>
          </w:tcPr>
          <w:p>
            <w:pPr/>
            <w:r>
              <w:t xml:space="preserve">Devise</w:t>
            </w:r>
          </w:p>
        </w:tc>
        <w:tc>
          <w:tcPr>
            <w:tcW w:w="4680" w:type="dxa"/>
          </w:tcPr>
          <w:p>
            <w:pPr/>
            <w:r>
              <w:t xml:space="preserve">Franc CFA (FCFA) — contre-valeur indicative en euros : 1 EUR = 655,957 FCFA</w:t>
            </w:r>
          </w:p>
        </w:tc>
      </w:tr>
    </w:tbl>
    <w:p>
      <w:pPr>
        <w:pStyle w:val="Heading2"/>
      </w:pPr>
      <w:r>
        <w:t xml:space="preserve">2. Contexte &amp; objectifs</w:t>
      </w:r>
    </w:p>
    <w:p>
      <w:pPr/>
      <w:r>
        <w:t xml:space="preserve">Le client exploite une flotte d'engins lourds (camions, bennes, tracteurs, engins de chantier) aujourd'hui suivie sur fichiers Excel, cahiers et échanges téléphoniques. Cette dispersion entraîne des documents expirés non détectés, des pannes mal anticipées et une consommation de carburant difficile à contrôler.</w:t>
      </w:r>
    </w:p>
    <w:p>
      <w:pPr/>
      <w:r>
        <w:t xml:space="preserve">Objectifs mesurables visés par la plateforme :</w:t>
      </w:r>
    </w:p>
    <w:p>
      <w:pPr>
        <w:pStyle w:val="ListParagraph"/>
        <w:numPr>
          <w:ilvl w:val="0"/>
          <w:numId w:val="2"/>
        </w:numPr>
      </w:pPr>
      <w:r>
        <w:rPr>
          <w:b/>
        </w:rPr>
        <w:t xml:space="preserve">Centraliser</w:t>
      </w:r>
      <w:r>
        <w:t xml:space="preserve"> 100 % des fiches engins et documents administratifs dans un référentiel unique.</w:t>
      </w:r>
    </w:p>
    <w:p>
      <w:pPr>
        <w:pStyle w:val="ListParagraph"/>
        <w:numPr>
          <w:ilvl w:val="0"/>
          <w:numId w:val="2"/>
        </w:numPr>
      </w:pPr>
      <w:r>
        <w:rPr>
          <w:b/>
        </w:rPr>
        <w:t xml:space="preserve">Anticiper</w:t>
      </w:r>
      <w:r>
        <w:t xml:space="preserve"> : alertes automatiques 30, 15 et 7 jours avant l'échéance d'une assurance, d'une visite technique ou d'un entretien.</w:t>
      </w:r>
    </w:p>
    <w:p>
      <w:pPr>
        <w:pStyle w:val="ListParagraph"/>
        <w:numPr>
          <w:ilvl w:val="0"/>
          <w:numId w:val="2"/>
        </w:numPr>
      </w:pPr>
      <w:r>
        <w:rPr>
          <w:b/>
        </w:rPr>
        <w:t xml:space="preserve">Tracer</w:t>
      </w:r>
      <w:r>
        <w:t xml:space="preserve"> chaque mission, chaque plein et chaque intervention depuis le terrain, via le mobile, y compris hors connexion.</w:t>
      </w:r>
    </w:p>
    <w:p>
      <w:pPr>
        <w:pStyle w:val="ListParagraph"/>
        <w:numPr>
          <w:ilvl w:val="0"/>
          <w:numId w:val="2"/>
        </w:numPr>
      </w:pPr>
      <w:r>
        <w:rPr>
          <w:b/>
        </w:rPr>
        <w:t xml:space="preserve">Piloter</w:t>
      </w:r>
      <w:r>
        <w:t xml:space="preserve"> les coûts par engin, par site et par période (coût au km / à l'heure de marche).</w:t>
      </w:r>
    </w:p>
    <w:p>
      <w:pPr>
        <w:pStyle w:val="ListParagraph"/>
        <w:numPr>
          <w:ilvl w:val="0"/>
          <w:numId w:val="2"/>
        </w:numPr>
      </w:pPr>
      <w:r>
        <w:rPr>
          <w:b/>
        </w:rPr>
        <w:t xml:space="preserve">Réduire</w:t>
      </w:r>
      <w:r>
        <w:t xml:space="preserve"> l'indisponibilité des engins grâce à la maintenance préventive planifiée.</w:t>
      </w:r>
    </w:p>
    <w:p>
      <w:pPr>
        <w:pStyle w:val="Heading2"/>
      </w:pPr>
      <w:r>
        <w:t xml:space="preserve">3. Architecture technique recommandée</w:t>
      </w:r>
    </w:p>
    <w:p>
      <w:pPr/>
      <w:r>
        <w:t xml:space="preserve">Nous recommandons </w:t>
      </w:r>
      <w:r>
        <w:rPr>
          <w:b/>
        </w:rPr>
        <w:t xml:space="preserve">Laravel</w:t>
      </w:r>
      <w:r>
        <w:t xml:space="preserve"> plutôt que Node.js : son back-office, sa gestion des rôles et ses exports PDF/Excel sont plus rapides à livrer, et les développeurs Laravel sont faciles à trouver localement pour la maintenance.</w:t>
      </w:r>
    </w:p>
    <w:p>
      <w:pPr/>
      <w:r>
        <w:drawing>
          <wp:inline distT="0" distB="0" distL="0" distR="0">
            <wp:extent cx="5486400" cy="2359478"/>
            <wp:docPr id="1" name="image1" descr="architecture cible · 2 applications, 1 API, 3 services"/>
            <a:graphic xmlns:a="http://schemas.openxmlformats.org/drawingml/2006/main">
              <a:graphicData uri="http://schemas.openxmlformats.org/drawingml/2006/picture">
                <pic:pic xmlns:pic="http://schemas.openxmlformats.org/drawingml/2006/picture">
                  <pic:nvPicPr>
                    <pic:cNvPr id="1" name="image1" descr="architecture cible · 2 applications, 1 API, 3 services"/>
                    <pic:cNvPicPr/>
                  </pic:nvPicPr>
                  <pic:blipFill>
                    <a:blip r:embed="rId3"/>
                    <a:stretch>
                      <a:fillRect/>
                    </a:stretch>
                  </pic:blipFill>
                  <pic:spPr>
                    <a:xfrm>
                      <a:off x="0" y="0"/>
                      <a:ext cx="5486400" cy="2359478"/>
                    </a:xfrm>
                    <a:prstGeom prst="rect">
                      <a:avLst/>
                    </a:prstGeom>
                  </pic:spPr>
                </pic:pic>
              </a:graphicData>
            </a:graphic>
          </wp:inline>
        </w:drawing>
      </w:r>
    </w:p>
    <w:p>
      <w:pPr/>
      <w:r>
        <w:t xml:space="preserve">architecture cible · 2 applications, 1 API, 3 services</w:t>
      </w:r>
    </w:p>
    <w:p>
      <w:pPr/>
      <w:r>
        <w:t xml:space="preserve">Le web et le mobile consomment la même API : une règle métier (ex. seuil de surconsommation) n'est écrite qu'une fois.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Couche</w:t>
            </w:r>
          </w:p>
        </w:tc>
        <w:tc>
          <w:tcPr>
            <w:tcW w:w="3120" w:type="dxa"/>
            <w:shd w:val="clear" w:color="auto" w:fill="F2F2F2"/>
          </w:tcPr>
          <w:p>
            <w:pPr/>
            <w:r>
              <w:t xml:space="preserve">Technologie retenue</w:t>
            </w:r>
          </w:p>
        </w:tc>
        <w:tc>
          <w:tcPr>
            <w:tcW w:w="3120" w:type="dxa"/>
            <w:shd w:val="clear" w:color="auto" w:fill="F2F2F2"/>
          </w:tcPr>
          <w:p>
            <w:pPr/>
            <w:r>
              <w:t xml:space="preserve">Pourquoi</w:t>
            </w:r>
          </w:p>
        </w:tc>
      </w:tr>
      <w:tr>
        <w:tc>
          <w:tcPr>
            <w:tcW w:w="3120" w:type="dxa"/>
          </w:tcPr>
          <w:p>
            <w:pPr/>
            <w:r>
              <w:t xml:space="preserve">Backend / API</w:t>
            </w:r>
          </w:p>
        </w:tc>
        <w:tc>
          <w:tcPr>
            <w:tcW w:w="3120" w:type="dxa"/>
          </w:tcPr>
          <w:p>
            <w:pPr/>
            <w:r>
              <w:t xml:space="preserve">Laravel 11, API REST JSON, Laravel Sanctum</w:t>
            </w:r>
          </w:p>
        </w:tc>
        <w:tc>
          <w:tcPr>
            <w:tcW w:w="3120" w:type="dxa"/>
          </w:tcPr>
          <w:p>
            <w:pPr/>
            <w:r>
              <w:t xml:space="preserve">Productivité, sécurité éprouvée, large communauté</w:t>
            </w:r>
          </w:p>
        </w:tc>
      </w:tr>
      <w:tr>
        <w:tc>
          <w:tcPr>
            <w:tcW w:w="3120" w:type="dxa"/>
          </w:tcPr>
          <w:p>
            <w:pPr/>
            <w:r>
              <w:t xml:space="preserve">Frontend web</w:t>
            </w:r>
          </w:p>
        </w:tc>
        <w:tc>
          <w:tcPr>
            <w:tcW w:w="3120" w:type="dxa"/>
          </w:tcPr>
          <w:p>
            <w:pPr/>
            <w:r>
              <w:t xml:space="preserve">Vue 3 (via Inertia) + Tailwind CSS</w:t>
            </w:r>
          </w:p>
        </w:tc>
        <w:tc>
          <w:tcPr>
            <w:tcW w:w="3120" w:type="dxa"/>
          </w:tcPr>
          <w:p>
            <w:pPr/>
            <w:r>
              <w:t xml:space="preserve">Interfaces réactives (planning, tableaux de bord) sans API séparée côté web</w:t>
            </w:r>
          </w:p>
        </w:tc>
      </w:tr>
      <w:tr>
        <w:tc>
          <w:tcPr>
            <w:tcW w:w="3120" w:type="dxa"/>
          </w:tcPr>
          <w:p>
            <w:pPr/>
            <w:r>
              <w:t xml:space="preserve">Mobile</w:t>
            </w:r>
          </w:p>
        </w:tc>
        <w:tc>
          <w:tcPr>
            <w:tcW w:w="3120" w:type="dxa"/>
          </w:tcPr>
          <w:p>
            <w:pPr/>
            <w:r>
              <w:t xml:space="preserve">Flutter (Android + iOS), base locale SQLite</w:t>
            </w:r>
          </w:p>
        </w:tc>
        <w:tc>
          <w:tcPr>
            <w:tcW w:w="3120" w:type="dxa"/>
          </w:tcPr>
          <w:p>
            <w:pPr/>
            <w:r>
              <w:t xml:space="preserve">Une seule base de code, fonctionnement hors-ligne sur chantier</w:t>
            </w:r>
          </w:p>
        </w:tc>
      </w:tr>
      <w:tr>
        <w:tc>
          <w:tcPr>
            <w:tcW w:w="3120" w:type="dxa"/>
          </w:tcPr>
          <w:p>
            <w:pPr/>
            <w:r>
              <w:t xml:space="preserve">Base de données</w:t>
            </w:r>
          </w:p>
        </w:tc>
        <w:tc>
          <w:tcPr>
            <w:tcW w:w="3120" w:type="dxa"/>
          </w:tcPr>
          <w:p>
            <w:pPr/>
            <w:r>
              <w:t xml:space="preserve">PostgreSQL (ou MySQL selon l'existant du client)</w:t>
            </w:r>
          </w:p>
        </w:tc>
        <w:tc>
          <w:tcPr>
            <w:tcW w:w="3120" w:type="dxa"/>
          </w:tcPr>
          <w:p>
            <w:pPr/>
            <w:r>
              <w:t xml:space="preserve">Fiabilité, requêtes de reporting</w:t>
            </w:r>
          </w:p>
        </w:tc>
      </w:tr>
      <w:tr>
        <w:tc>
          <w:tcPr>
            <w:tcW w:w="3120" w:type="dxa"/>
          </w:tcPr>
          <w:p>
            <w:pPr/>
            <w:r>
              <w:t xml:space="preserve">Rôles &amp; droits</w:t>
            </w:r>
          </w:p>
        </w:tc>
        <w:tc>
          <w:tcPr>
            <w:tcW w:w="3120" w:type="dxa"/>
          </w:tcPr>
          <w:p>
            <w:pPr/>
            <w:r>
              <w:t xml:space="preserve">spatie/laravel-permission</w:t>
            </w:r>
          </w:p>
        </w:tc>
        <w:tc>
          <w:tcPr>
            <w:tcW w:w="3120" w:type="dxa"/>
          </w:tcPr>
          <w:p>
            <w:pPr/>
            <w:r>
              <w:t xml:space="preserve">Gestion fine des 4 rôles et des restrictions par site</w:t>
            </w:r>
          </w:p>
        </w:tc>
      </w:tr>
      <w:tr>
        <w:tc>
          <w:tcPr>
            <w:tcW w:w="3120" w:type="dxa"/>
          </w:tcPr>
          <w:p>
            <w:pPr/>
            <w:r>
              <w:t xml:space="preserve">Exports</w:t>
            </w:r>
          </w:p>
        </w:tc>
        <w:tc>
          <w:tcPr>
            <w:tcW w:w="3120" w:type="dxa"/>
          </w:tcPr>
          <w:p>
            <w:pPr/>
            <w:r>
              <w:t xml:space="preserve">DomPDF / Snappy (PDF), Laravel Excel (XLSX)</w:t>
            </w:r>
          </w:p>
        </w:tc>
        <w:tc>
          <w:tcPr>
            <w:tcW w:w="3120" w:type="dxa"/>
          </w:tcPr>
          <w:p>
            <w:pPr/>
            <w:r>
              <w:t xml:space="preserve">Rapports conformes aux modèles du client</w:t>
            </w:r>
          </w:p>
        </w:tc>
      </w:tr>
      <w:tr>
        <w:tc>
          <w:tcPr>
            <w:tcW w:w="3120" w:type="dxa"/>
          </w:tcPr>
          <w:p>
            <w:pPr/>
            <w:r>
              <w:t xml:space="preserve">Graphiques</w:t>
            </w:r>
          </w:p>
        </w:tc>
        <w:tc>
          <w:tcPr>
            <w:tcW w:w="3120" w:type="dxa"/>
          </w:tcPr>
          <w:p>
            <w:pPr/>
            <w:r>
              <w:t xml:space="preserve">Chart.js ou ApexCharts</w:t>
            </w:r>
          </w:p>
        </w:tc>
        <w:tc>
          <w:tcPr>
            <w:tcW w:w="3120" w:type="dxa"/>
          </w:tcPr>
          <w:p>
            <w:pPr/>
            <w:r>
              <w:t xml:space="preserve">Tableaux de bord lisibles sur ordinateur et tablette</w:t>
            </w:r>
          </w:p>
        </w:tc>
      </w:tr>
      <w:tr>
        <w:tc>
          <w:tcPr>
            <w:tcW w:w="3120" w:type="dxa"/>
          </w:tcPr>
          <w:p>
            <w:pPr/>
            <w:r>
              <w:t xml:space="preserve">Notifications</w:t>
            </w:r>
          </w:p>
        </w:tc>
        <w:tc>
          <w:tcPr>
            <w:tcW w:w="3120" w:type="dxa"/>
          </w:tcPr>
          <w:p>
            <w:pPr/>
            <w:r>
              <w:t xml:space="preserve">Firebase Cloud Messaging, SMTP</w:t>
            </w:r>
          </w:p>
        </w:tc>
        <w:tc>
          <w:tcPr>
            <w:tcW w:w="3120" w:type="dxa"/>
          </w:tcPr>
          <w:p>
            <w:pPr/>
            <w:r>
              <w:t xml:space="preserve">Push gratuit, e-mails transactionnels</w:t>
            </w:r>
          </w:p>
        </w:tc>
      </w:tr>
      <w:tr>
        <w:tc>
          <w:tcPr>
            <w:tcW w:w="3120" w:type="dxa"/>
          </w:tcPr>
          <w:p>
            <w:pPr/>
            <w:r>
              <w:t xml:space="preserve">Infrastructure</w:t>
            </w:r>
          </w:p>
        </w:tc>
        <w:tc>
          <w:tcPr>
            <w:tcW w:w="3120" w:type="dxa"/>
          </w:tcPr>
          <w:p>
            <w:pPr/>
            <w:r>
              <w:t xml:space="preserve">Serveur cloud Linux, Docker, Nginx, CI/CD GitHub Actions</w:t>
            </w:r>
          </w:p>
        </w:tc>
        <w:tc>
          <w:tcPr>
            <w:tcW w:w="3120" w:type="dxa"/>
          </w:tcPr>
          <w:p>
            <w:pPr/>
            <w:r>
              <w:t xml:space="preserve">Déploiements reproductibles, sauvegardes quotidiennes automatiques</w:t>
            </w:r>
          </w:p>
        </w:tc>
      </w:tr>
    </w:tbl>
    <w:p>
      <w:pPr/>
      <w:r>
        <w:rPr>
          <w:b/>
        </w:rPr>
        <w:t xml:space="preserve">Sécurité</w:t>
      </w:r>
      <w:r>
        <w:t xml:space="preserve"> : HTTPS obligatoire, mots de passe chiffrés (bcrypt), jetons d'accès révocables, journal d'audit, sauvegarde quotidienne de la base conservée 30 jours.</w:t>
      </w:r>
    </w:p>
    <w:p>
      <w:pPr>
        <w:pStyle w:val="Heading2"/>
      </w:pPr>
      <w:r>
        <w:t xml:space="preserve">4. Périmètre fonctionnel</w:t>
      </w:r>
    </w:p>
    <w:p>
      <w:pPr/>
      <w:r>
        <w:t xml:space="preserve">Le périmètre couvre 6 modules métier et 2 briques transverses (alertes, mode hors-ligne). Chaque fonction indique où elle est disponible : </w:t>
      </w:r>
      <w:r>
        <w:rPr>
          <w:b/>
        </w:rPr>
        <w:t xml:space="preserve">W</w:t>
      </w:r>
      <w:r>
        <w:t xml:space="preserve"> = application web, </w:t>
      </w:r>
      <w:r>
        <w:rPr>
          <w:b/>
        </w:rPr>
        <w:t xml:space="preserve">M</w:t>
      </w:r>
      <w:r>
        <w:t xml:space="preserve"> = application mobile.</w:t>
      </w:r>
    </w:p>
    <w:p>
      <w:pPr>
        <w:pStyle w:val="Heading3"/>
      </w:pPr>
      <w:r>
        <w:t xml:space="preserve">Module 1 — Gestion du parc d'engins</w:t>
      </w:r>
    </w:p>
    <w:p>
      <w:pPr>
        <w:pStyle w:val="ListParagraph"/>
        <w:numPr>
          <w:ilvl w:val="0"/>
          <w:numId w:val="3"/>
        </w:numPr>
      </w:pPr>
      <w:r>
        <w:t xml:space="preserve">Fiche engin complète : type (camion, benne, tracteur, chargeuse…), marque, modèle, n° de châssis, immatriculation, année, compteur km et/ou horamètre, photos, statut (disponible, en mission, en panne, en maintenance, réformé). </w:t>
      </w:r>
      <w:r>
        <w:rPr>
          <w:b/>
        </w:rPr>
        <w:t xml:space="preserve">W / M (consultation)</w:t>
      </w:r>
    </w:p>
    <w:p>
      <w:pPr>
        <w:pStyle w:val="ListParagraph"/>
        <w:numPr>
          <w:ilvl w:val="0"/>
          <w:numId w:val="3"/>
        </w:numPr>
      </w:pPr>
      <w:r>
        <w:t xml:space="preserve">Gestion documentaire : carte grise, assurance, visite technique, vignette, patente/licence de transport, avec date d'expiration et pièce jointe (PDF, photo). </w:t>
      </w:r>
      <w:r>
        <w:rPr>
          <w:b/>
        </w:rPr>
        <w:t xml:space="preserve">W</w:t>
      </w:r>
    </w:p>
    <w:p>
      <w:pPr>
        <w:pStyle w:val="ListParagraph"/>
        <w:numPr>
          <w:ilvl w:val="0"/>
          <w:numId w:val="3"/>
        </w:numPr>
      </w:pPr>
      <w:r>
        <w:t xml:space="preserve">Alertes d'échéance paramétrables (J-30, J-15, J-7) par e-mail et notification. </w:t>
      </w:r>
      <w:r>
        <w:rPr>
          <w:b/>
        </w:rPr>
        <w:t xml:space="preserve">W / M</w:t>
      </w:r>
    </w:p>
    <w:p>
      <w:pPr>
        <w:pStyle w:val="ListParagraph"/>
        <w:numPr>
          <w:ilvl w:val="0"/>
          <w:numId w:val="3"/>
        </w:numPr>
      </w:pPr>
      <w:r>
        <w:t xml:space="preserve">Affectation d'un engin à un site ou à un dépôt, historique des affectations. </w:t>
      </w:r>
      <w:r>
        <w:rPr>
          <w:b/>
        </w:rPr>
        <w:t xml:space="preserve">W</w:t>
      </w:r>
    </w:p>
    <w:p>
      <w:pPr>
        <w:pStyle w:val="ListParagraph"/>
        <w:numPr>
          <w:ilvl w:val="0"/>
          <w:numId w:val="3"/>
        </w:numPr>
      </w:pPr>
      <w:r>
        <w:t xml:space="preserve">Import initial du parc depuis un fichier Excel. </w:t>
      </w:r>
      <w:r>
        <w:rPr>
          <w:b/>
        </w:rPr>
        <w:t xml:space="preserve">W</w:t>
      </w:r>
    </w:p>
    <w:p>
      <w:pPr>
        <w:pStyle w:val="Heading3"/>
      </w:pPr>
      <w:r>
        <w:t xml:space="preserve">Module 2 — Suivi des activités &amp; missions</w:t>
      </w:r>
    </w:p>
    <w:p>
      <w:pPr>
        <w:pStyle w:val="ListParagraph"/>
        <w:numPr>
          <w:ilvl w:val="0"/>
          <w:numId w:val="4"/>
        </w:numPr>
      </w:pPr>
      <w:r>
        <w:t xml:space="preserve">Référentiel des chauffeurs/opérateurs : permis (catégories, validité), habilitations, contacts. </w:t>
      </w:r>
      <w:r>
        <w:rPr>
          <w:b/>
        </w:rPr>
        <w:t xml:space="preserve">W</w:t>
      </w:r>
    </w:p>
    <w:p>
      <w:pPr>
        <w:pStyle w:val="ListParagraph"/>
        <w:numPr>
          <w:ilvl w:val="0"/>
          <w:numId w:val="4"/>
        </w:numPr>
      </w:pPr>
      <w:r>
        <w:t xml:space="preserve">Création d'ordres de mission : engin, chauffeur, site d'intervention, dates, nature des travaux, génération PDF de l'ordre. </w:t>
      </w:r>
      <w:r>
        <w:rPr>
          <w:b/>
        </w:rPr>
        <w:t xml:space="preserve">W</w:t>
      </w:r>
    </w:p>
    <w:p>
      <w:pPr>
        <w:pStyle w:val="ListParagraph"/>
        <w:numPr>
          <w:ilvl w:val="0"/>
          <w:numId w:val="4"/>
        </w:numPr>
      </w:pPr>
      <w:r>
        <w:t xml:space="preserve">Contrôle des conflits : un engin ou un chauffeur ne peut pas être affecté à deux missions simultanées. </w:t>
      </w:r>
      <w:r>
        <w:rPr>
          <w:b/>
        </w:rPr>
        <w:t xml:space="preserve">W</w:t>
      </w:r>
    </w:p>
    <w:p>
      <w:pPr>
        <w:pStyle w:val="ListParagraph"/>
        <w:numPr>
          <w:ilvl w:val="0"/>
          <w:numId w:val="4"/>
        </w:numPr>
      </w:pPr>
      <w:r>
        <w:t xml:space="preserve">Côté chauffeur : réception de la mission, démarrage/clôture, relevé du compteur km et des heures de marche (avec photo du compteur), check-list de prise en main de l'engin. </w:t>
      </w:r>
      <w:r>
        <w:rPr>
          <w:b/>
        </w:rPr>
        <w:t xml:space="preserve">M</w:t>
      </w:r>
    </w:p>
    <w:p>
      <w:pPr>
        <w:pStyle w:val="ListParagraph"/>
        <w:numPr>
          <w:ilvl w:val="0"/>
          <w:numId w:val="4"/>
        </w:numPr>
      </w:pPr>
      <w:r>
        <w:t xml:space="preserve">Signalement terrain : incident, anomalie ou panne avec photo et géolocalisation du téléphone. </w:t>
      </w:r>
      <w:r>
        <w:rPr>
          <w:b/>
        </w:rPr>
        <w:t xml:space="preserve">M</w:t>
      </w:r>
    </w:p>
    <w:p>
      <w:pPr>
        <w:pStyle w:val="ListParagraph"/>
        <w:numPr>
          <w:ilvl w:val="0"/>
          <w:numId w:val="4"/>
        </w:numPr>
      </w:pPr>
      <w:r>
        <w:t xml:space="preserve">Gestion des sites d'intervention (chantiers, carrières, clients) et planning visuel des missions. </w:t>
      </w:r>
      <w:r>
        <w:rPr>
          <w:b/>
        </w:rPr>
        <w:t xml:space="preserve">W</w:t>
      </w:r>
    </w:p>
    <w:p>
      <w:pPr>
        <w:pStyle w:val="Heading3"/>
      </w:pPr>
      <w:r>
        <w:t xml:space="preserve">Module 3 — Maintenance &amp; entretien</w:t>
      </w:r>
    </w:p>
    <w:p>
      <w:pPr>
        <w:pStyle w:val="ListParagraph"/>
        <w:numPr>
          <w:ilvl w:val="0"/>
          <w:numId w:val="5"/>
        </w:numPr>
      </w:pPr>
      <w:r>
        <w:t xml:space="preserve">Plans de maintenance préventive par type d'engin, déclenchés au km, à l'heure de marche ou à la date (vidange, filtres, pneus, graissage…). </w:t>
      </w:r>
      <w:r>
        <w:rPr>
          <w:b/>
        </w:rPr>
        <w:t xml:space="preserve">W</w:t>
      </w:r>
    </w:p>
    <w:p>
      <w:pPr>
        <w:pStyle w:val="ListParagraph"/>
        <w:numPr>
          <w:ilvl w:val="0"/>
          <w:numId w:val="5"/>
        </w:numPr>
      </w:pPr>
      <w:r>
        <w:t xml:space="preserve">Maintenance curative : déclaration de panne (depuis le mobile ou le web), diagnostic, ordre de travail, affectation au mécanicien, statut. </w:t>
      </w:r>
      <w:r>
        <w:rPr>
          <w:b/>
        </w:rPr>
        <w:t xml:space="preserve">W / M</w:t>
      </w:r>
    </w:p>
    <w:p>
      <w:pPr>
        <w:pStyle w:val="ListParagraph"/>
        <w:numPr>
          <w:ilvl w:val="0"/>
          <w:numId w:val="5"/>
        </w:numPr>
      </w:pPr>
      <w:r>
        <w:t xml:space="preserve">Espace mécanicien : liste de ses interventions, saisie du temps passé, pièces utilisées, photos avant/après, clôture. </w:t>
      </w:r>
      <w:r>
        <w:rPr>
          <w:b/>
        </w:rPr>
        <w:t xml:space="preserve">M</w:t>
      </w:r>
    </w:p>
    <w:p>
      <w:pPr>
        <w:pStyle w:val="ListParagraph"/>
        <w:numPr>
          <w:ilvl w:val="0"/>
          <w:numId w:val="5"/>
        </w:numPr>
      </w:pPr>
      <w:r>
        <w:t xml:space="preserve">Historique complet des interventions par engin (carnet d'entretien numérique). </w:t>
      </w:r>
      <w:r>
        <w:rPr>
          <w:b/>
        </w:rPr>
        <w:t xml:space="preserve">W</w:t>
      </w:r>
    </w:p>
    <w:p>
      <w:pPr>
        <w:pStyle w:val="ListParagraph"/>
        <w:numPr>
          <w:ilvl w:val="0"/>
          <w:numId w:val="5"/>
        </w:numPr>
      </w:pPr>
      <w:r>
        <w:t xml:space="preserve">Gestion des pièces de rechange : catalogue, stock par magasin, entrées/sorties, seuil d'alerte de réapprovisionnement, fournisseurs, coût unitaire. </w:t>
      </w:r>
      <w:r>
        <w:rPr>
          <w:b/>
        </w:rPr>
        <w:t xml:space="preserve">W</w:t>
      </w:r>
    </w:p>
    <w:p>
      <w:pPr>
        <w:pStyle w:val="Heading3"/>
      </w:pPr>
      <w:r>
        <w:t xml:space="preserve">Module 4 — Carburant &amp; coûts</w:t>
      </w:r>
    </w:p>
    <w:p>
      <w:pPr>
        <w:pStyle w:val="ListParagraph"/>
        <w:numPr>
          <w:ilvl w:val="0"/>
          <w:numId w:val="6"/>
        </w:numPr>
      </w:pPr>
      <w:r>
        <w:t xml:space="preserve">Saisie des pleins : engin, date, litres, prix, station ou cuve interne, compteur, photo du ticket. </w:t>
      </w:r>
      <w:r>
        <w:rPr>
          <w:b/>
        </w:rPr>
        <w:t xml:space="preserve">W / M</w:t>
      </w:r>
    </w:p>
    <w:p>
      <w:pPr>
        <w:pStyle w:val="ListParagraph"/>
        <w:numPr>
          <w:ilvl w:val="0"/>
          <w:numId w:val="6"/>
        </w:numPr>
      </w:pPr>
      <w:r>
        <w:t xml:space="preserve">Calcul automatique de la consommation : L/100 km pour les véhicules routiers, L/heure pour les engins de chantier. </w:t>
      </w:r>
      <w:r>
        <w:rPr>
          <w:b/>
        </w:rPr>
        <w:t xml:space="preserve">W</w:t>
      </w:r>
    </w:p>
    <w:p>
      <w:pPr>
        <w:pStyle w:val="ListParagraph"/>
        <w:numPr>
          <w:ilvl w:val="0"/>
          <w:numId w:val="6"/>
        </w:numPr>
      </w:pPr>
      <w:r>
        <w:t xml:space="preserve">Alertes de surconsommation : écart paramétrable (ex. +15 %) par rapport à la moyenne de l'engin ou de sa catégorie. </w:t>
      </w:r>
      <w:r>
        <w:rPr>
          <w:b/>
        </w:rPr>
        <w:t xml:space="preserve">W / M</w:t>
      </w:r>
    </w:p>
    <w:p>
      <w:pPr>
        <w:pStyle w:val="ListParagraph"/>
        <w:numPr>
          <w:ilvl w:val="0"/>
          <w:numId w:val="6"/>
        </w:numPr>
      </w:pPr>
      <w:r>
        <w:t xml:space="preserve">Suivi des cuves internes (stock, livraisons, distributions). </w:t>
      </w:r>
      <w:r>
        <w:rPr>
          <w:b/>
        </w:rPr>
        <w:t xml:space="preserve">W</w:t>
      </w:r>
    </w:p>
    <w:p>
      <w:pPr>
        <w:pStyle w:val="ListParagraph"/>
        <w:numPr>
          <w:ilvl w:val="0"/>
          <w:numId w:val="6"/>
        </w:numPr>
      </w:pPr>
      <w:r>
        <w:t xml:space="preserve">Coûts opérationnels par engin : carburant + maintenance + pièces + assurances/documents, ramenés au km ou à l'heure. </w:t>
      </w:r>
      <w:r>
        <w:rPr>
          <w:b/>
        </w:rPr>
        <w:t xml:space="preserve">W</w:t>
      </w:r>
    </w:p>
    <w:p>
      <w:pPr>
        <w:pStyle w:val="Heading3"/>
      </w:pPr>
      <w:r>
        <w:t xml:space="preserve">Module 5 — Tableaux de bord &amp; rapports</w:t>
      </w:r>
    </w:p>
    <w:p>
      <w:pPr>
        <w:pStyle w:val="ListParagraph"/>
        <w:numPr>
          <w:ilvl w:val="0"/>
          <w:numId w:val="7"/>
        </w:numPr>
      </w:pPr>
      <w:r>
        <w:t xml:space="preserve">Tableau de bord direction : taux de disponibilité du parc, taux d'utilisation, engins en panne, documents à échéance, consommation, coûts du mois. </w:t>
      </w:r>
      <w:r>
        <w:rPr>
          <w:b/>
        </w:rPr>
        <w:t xml:space="preserve">W</w:t>
      </w:r>
    </w:p>
    <w:p>
      <w:pPr>
        <w:pStyle w:val="ListParagraph"/>
        <w:numPr>
          <w:ilvl w:val="0"/>
          <w:numId w:val="7"/>
        </w:numPr>
      </w:pPr>
      <w:r>
        <w:t xml:space="preserve">Filtres par période, site, type d'engin, chauffeur. </w:t>
      </w:r>
      <w:r>
        <w:rPr>
          <w:b/>
        </w:rPr>
        <w:t xml:space="preserve">W</w:t>
      </w:r>
    </w:p>
    <w:p>
      <w:pPr>
        <w:pStyle w:val="ListParagraph"/>
        <w:numPr>
          <w:ilvl w:val="0"/>
          <w:numId w:val="7"/>
        </w:numPr>
      </w:pPr>
      <w:r>
        <w:t xml:space="preserve">Rapports types : fiche de coût par engin, rapport carburant, rapport maintenance, activité par chauffeur, rapport des missions. </w:t>
      </w:r>
      <w:r>
        <w:rPr>
          <w:b/>
        </w:rPr>
        <w:t xml:space="preserve">W</w:t>
      </w:r>
    </w:p>
    <w:p>
      <w:pPr>
        <w:pStyle w:val="ListParagraph"/>
        <w:numPr>
          <w:ilvl w:val="0"/>
          <w:numId w:val="7"/>
        </w:numPr>
      </w:pPr>
      <w:r>
        <w:t xml:space="preserve">Export PDF et Excel de toutes les listes et rapports. </w:t>
      </w:r>
      <w:r>
        <w:rPr>
          <w:b/>
        </w:rPr>
        <w:t xml:space="preserve">W</w:t>
      </w:r>
    </w:p>
    <w:p>
      <w:pPr>
        <w:pStyle w:val="ListParagraph"/>
        <w:numPr>
          <w:ilvl w:val="0"/>
          <w:numId w:val="7"/>
        </w:numPr>
      </w:pPr>
      <w:r>
        <w:t xml:space="preserve">Vue synthétique mobile pour le gestionnaire (alertes du jour, engins indisponibles). </w:t>
      </w:r>
      <w:r>
        <w:rPr>
          <w:b/>
        </w:rPr>
        <w:t xml:space="preserve">M</w:t>
      </w:r>
    </w:p>
    <w:p>
      <w:pPr>
        <w:pStyle w:val="Heading3"/>
      </w:pPr>
      <w:r>
        <w:t xml:space="preserve">Module 6 — Utilisateurs &amp; rôles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Rôle</w:t>
            </w:r>
          </w:p>
        </w:tc>
        <w:tc>
          <w:tcPr>
            <w:tcW w:w="3120" w:type="dxa"/>
            <w:shd w:val="clear" w:color="auto" w:fill="F2F2F2"/>
          </w:tcPr>
          <w:p>
            <w:pPr/>
            <w:r>
              <w:t xml:space="preserve">Accès principal</w:t>
            </w:r>
          </w:p>
        </w:tc>
        <w:tc>
          <w:tcPr>
            <w:tcW w:w="3120" w:type="dxa"/>
            <w:shd w:val="clear" w:color="auto" w:fill="F2F2F2"/>
          </w:tcPr>
          <w:p>
            <w:pPr/>
            <w:r>
              <w:t xml:space="preserve">Support</w:t>
            </w:r>
          </w:p>
        </w:tc>
      </w:tr>
      <w:tr>
        <w:tc>
          <w:tcPr>
            <w:tcW w:w="3120" w:type="dxa"/>
          </w:tcPr>
          <w:p>
            <w:pPr/>
            <w:r>
              <w:t xml:space="preserve">Administrateur</w:t>
            </w:r>
          </w:p>
        </w:tc>
        <w:tc>
          <w:tcPr>
            <w:tcW w:w="3120" w:type="dxa"/>
          </w:tcPr>
          <w:p>
            <w:pPr/>
            <w:r>
              <w:t xml:space="preserve">Tout le système, paramétrage, utilisateurs, journaux d'audit</w:t>
            </w:r>
          </w:p>
        </w:tc>
        <w:tc>
          <w:tcPr>
            <w:tcW w:w="3120" w:type="dxa"/>
          </w:tcPr>
          <w:p>
            <w:pPr/>
            <w:r>
              <w:t xml:space="preserve">Web</w:t>
            </w:r>
          </w:p>
        </w:tc>
      </w:tr>
      <w:tr>
        <w:tc>
          <w:tcPr>
            <w:tcW w:w="3120" w:type="dxa"/>
          </w:tcPr>
          <w:p>
            <w:pPr/>
            <w:r>
              <w:t xml:space="preserve">Gestionnaire de flotte</w:t>
            </w:r>
          </w:p>
        </w:tc>
        <w:tc>
          <w:tcPr>
            <w:tcW w:w="3120" w:type="dxa"/>
          </w:tcPr>
          <w:p>
            <w:pPr/>
            <w:r>
              <w:t xml:space="preserve">Parc, missions, carburant, coûts, rapports</w:t>
            </w:r>
          </w:p>
        </w:tc>
        <w:tc>
          <w:tcPr>
            <w:tcW w:w="3120" w:type="dxa"/>
          </w:tcPr>
          <w:p>
            <w:pPr/>
            <w:r>
              <w:t xml:space="preserve">Web + mobile</w:t>
            </w:r>
          </w:p>
        </w:tc>
      </w:tr>
      <w:tr>
        <w:tc>
          <w:tcPr>
            <w:tcW w:w="3120" w:type="dxa"/>
          </w:tcPr>
          <w:p>
            <w:pPr/>
            <w:r>
              <w:t xml:space="preserve">Mécanicien / chef d'atelier</w:t>
            </w:r>
          </w:p>
        </w:tc>
        <w:tc>
          <w:tcPr>
            <w:tcW w:w="3120" w:type="dxa"/>
          </w:tcPr>
          <w:p>
            <w:pPr/>
            <w:r>
              <w:t xml:space="preserve">Pannes, ordres de travail, pièces, historique d'entretien</w:t>
            </w:r>
          </w:p>
        </w:tc>
        <w:tc>
          <w:tcPr>
            <w:tcW w:w="3120" w:type="dxa"/>
          </w:tcPr>
          <w:p>
            <w:pPr/>
            <w:r>
              <w:t xml:space="preserve">Mobile + web</w:t>
            </w:r>
          </w:p>
        </w:tc>
      </w:tr>
      <w:tr>
        <w:tc>
          <w:tcPr>
            <w:tcW w:w="3120" w:type="dxa"/>
          </w:tcPr>
          <w:p>
            <w:pPr/>
            <w:r>
              <w:t xml:space="preserve">Chauffeur / opérateur</w:t>
            </w:r>
          </w:p>
        </w:tc>
        <w:tc>
          <w:tcPr>
            <w:tcW w:w="3120" w:type="dxa"/>
          </w:tcPr>
          <w:p>
            <w:pPr/>
            <w:r>
              <w:t xml:space="preserve">Ses missions, relevés compteur, pleins, signalements</w:t>
            </w:r>
          </w:p>
        </w:tc>
        <w:tc>
          <w:tcPr>
            <w:tcW w:w="3120" w:type="dxa"/>
          </w:tcPr>
          <w:p>
            <w:pPr/>
            <w:r>
              <w:t xml:space="preserve">Mobile</w:t>
            </w:r>
          </w:p>
        </w:tc>
      </w:tr>
    </w:tbl>
    <w:p>
      <w:pPr>
        <w:pStyle w:val="ListParagraph"/>
        <w:numPr>
          <w:ilvl w:val="0"/>
          <w:numId w:val="8"/>
        </w:numPr>
      </w:pPr>
      <w:r>
        <w:t xml:space="preserve">Authentification sécurisée, réinitialisation de mot de passe, désactivation de compte.</w:t>
      </w:r>
    </w:p>
    <w:p>
      <w:pPr>
        <w:pStyle w:val="ListParagraph"/>
        <w:numPr>
          <w:ilvl w:val="0"/>
          <w:numId w:val="8"/>
        </w:numPr>
      </w:pPr>
      <w:r>
        <w:t xml:space="preserve">Droits fins par rôle et restriction par site (un gestionnaire ne voit que ses sites).</w:t>
      </w:r>
    </w:p>
    <w:p>
      <w:pPr>
        <w:pStyle w:val="ListParagraph"/>
        <w:numPr>
          <w:ilvl w:val="0"/>
          <w:numId w:val="8"/>
        </w:numPr>
      </w:pPr>
      <w:r>
        <w:t xml:space="preserve">Journal d'audit : qui a créé, modifié ou supprimé quoi, et quand.</w:t>
      </w:r>
    </w:p>
    <w:p>
      <w:pPr>
        <w:pStyle w:val="Heading3"/>
      </w:pPr>
      <w:r>
        <w:t xml:space="preserve">Briques transverses</w:t>
      </w:r>
    </w:p>
    <w:p>
      <w:pPr>
        <w:pStyle w:val="ListParagraph"/>
        <w:numPr>
          <w:ilvl w:val="0"/>
          <w:numId w:val="9"/>
        </w:numPr>
      </w:pPr>
      <w:r>
        <w:rPr>
          <w:b/>
        </w:rPr>
        <w:t xml:space="preserve">Notifications</w:t>
      </w:r>
      <w:r>
        <w:t xml:space="preserve"> : e-mail et notifications push mobiles ; SMS en option (voir section 8).</w:t>
      </w:r>
    </w:p>
    <w:p>
      <w:pPr>
        <w:pStyle w:val="ListParagraph"/>
        <w:numPr>
          <w:ilvl w:val="0"/>
          <w:numId w:val="9"/>
        </w:numPr>
      </w:pPr>
      <w:r>
        <w:rPr>
          <w:b/>
        </w:rPr>
        <w:t xml:space="preserve">Mode hors-ligne mobile</w:t>
      </w:r>
      <w:r>
        <w:t xml:space="preserve"> : saisie sans réseau sur chantier, synchronisation automatique au retour de la connexion.</w:t>
      </w:r>
    </w:p>
    <w:p>
      <w:pPr>
        <w:pStyle w:val="ListParagraph"/>
        <w:numPr>
          <w:ilvl w:val="0"/>
          <w:numId w:val="9"/>
        </w:numPr>
      </w:pPr>
      <w:r>
        <w:rPr>
          <w:b/>
        </w:rPr>
        <w:t xml:space="preserve">Multilingue</w:t>
      </w:r>
      <w:r>
        <w:t xml:space="preserve"> : interface en français, structure prête pour l'anglais.</w:t>
      </w:r>
    </w:p>
    <w:p>
      <w:pPr>
        <w:pStyle w:val="Heading2"/>
      </w:pPr>
      <w:r>
        <w:t xml:space="preserve">5. Phases du projet &amp; planning estimatif</w:t>
      </w:r>
    </w:p>
    <w:p>
      <w:pPr/>
      <w:r>
        <w:t xml:space="preserve">Le projet dure </w:t>
      </w:r>
      <w:r>
        <w:rPr>
          <w:b/>
        </w:rPr>
        <w:t xml:space="preserve">18 semaines</w:t>
      </w:r>
      <w:r>
        <w:t xml:space="preserve"> (environ 4 mois et demi) avec une équipe de 5 personnes ; la version bêta est livrée en fin de semaine 13.</w:t>
      </w:r>
    </w:p>
    <w:p>
      <w:pPr/>
      <w:r>
        <w:drawing>
          <wp:inline distT="0" distB="0" distL="0" distR="0">
            <wp:extent cx="5486400" cy="2596242"/>
            <wp:docPr id="2" name="image2" descr="planning estimatif · 4 phases, 18 semaines, 3 jalons de paiement"/>
            <a:graphic xmlns:a="http://schemas.openxmlformats.org/drawingml/2006/main">
              <a:graphicData uri="http://schemas.openxmlformats.org/drawingml/2006/picture">
                <pic:pic xmlns:pic="http://schemas.openxmlformats.org/drawingml/2006/picture">
                  <pic:nvPicPr>
                    <pic:cNvPr id="2" name="image2" descr="planning estimatif · 4 phases, 18 semaines, 3 jalons de paiement"/>
                    <pic:cNvPicPr/>
                  </pic:nvPicPr>
                  <pic:blipFill>
                    <a:blip r:embed="rId4"/>
                    <a:stretch>
                      <a:fillRect/>
                    </a:stretch>
                  </pic:blipFill>
                  <pic:spPr>
                    <a:xfrm>
                      <a:off x="0" y="0"/>
                      <a:ext cx="5486400" cy="2596242"/>
                    </a:xfrm>
                    <a:prstGeom prst="rect">
                      <a:avLst/>
                    </a:prstGeom>
                  </pic:spPr>
                </pic:pic>
              </a:graphicData>
            </a:graphic>
          </wp:inline>
        </w:drawing>
      </w:r>
    </w:p>
    <w:p>
      <w:pPr/>
      <w:r>
        <w:t xml:space="preserve">planning estimatif · 4 phases, 18 semaines, 3 jalons de paiement</w:t>
      </w:r>
    </w:p>
    <w:p>
      <w:pPr/>
      <w:r>
        <w:t xml:space="preserve">Chaque phase se clôt par une validation écrite du client avant de passer à la suivante.</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Phase</w:t>
            </w:r>
          </w:p>
        </w:tc>
        <w:tc>
          <w:tcPr>
            <w:tcW w:w="2340" w:type="dxa"/>
            <w:shd w:val="clear" w:color="auto" w:fill="F2F2F2"/>
          </w:tcPr>
          <w:p>
            <w:pPr/>
            <w:r>
              <w:t xml:space="preserve">Semaines</w:t>
            </w:r>
          </w:p>
        </w:tc>
        <w:tc>
          <w:tcPr>
            <w:tcW w:w="2340" w:type="dxa"/>
            <w:shd w:val="clear" w:color="auto" w:fill="F2F2F2"/>
          </w:tcPr>
          <w:p>
            <w:pPr/>
            <w:r>
              <w:t xml:space="preserve">Livrables</w:t>
            </w:r>
          </w:p>
        </w:tc>
        <w:tc>
          <w:tcPr>
            <w:tcW w:w="2340" w:type="dxa"/>
            <w:shd w:val="clear" w:color="auto" w:fill="F2F2F2"/>
          </w:tcPr>
          <w:p>
            <w:pPr/>
            <w:r>
              <w:t xml:space="preserve">Validation client</w:t>
            </w:r>
          </w:p>
        </w:tc>
      </w:tr>
      <w:tr>
        <w:tc>
          <w:tcPr>
            <w:tcW w:w="2340" w:type="dxa"/>
          </w:tcPr>
          <w:p>
            <w:pPr/>
            <w:r>
              <w:t xml:space="preserve">P1 — Analyse, cadrage &amp; UI/UX</w:t>
            </w:r>
          </w:p>
        </w:tc>
        <w:tc>
          <w:tcPr>
            <w:tcW w:w="2340" w:type="dxa"/>
          </w:tcPr>
          <w:p>
            <w:pPr/>
            <w:r>
              <w:t xml:space="preserve">S1–S3</w:t>
            </w:r>
          </w:p>
        </w:tc>
        <w:tc>
          <w:tcPr>
            <w:tcW w:w="2340" w:type="dxa"/>
          </w:tcPr>
          <w:p>
            <w:pPr/>
            <w:r>
              <w:t xml:space="preserve">Cahier des charges fonctionnel, modèle de données, maquettes web + mobile, prototype cliquable</w:t>
            </w:r>
          </w:p>
        </w:tc>
        <w:tc>
          <w:tcPr>
            <w:tcW w:w="2340" w:type="dxa"/>
          </w:tcPr>
          <w:p>
            <w:pPr/>
            <w:r>
              <w:t xml:space="preserve">Validation des spécifications et des maquettes</w:t>
            </w:r>
          </w:p>
        </w:tc>
      </w:tr>
      <w:tr>
        <w:tc>
          <w:tcPr>
            <w:tcW w:w="2340" w:type="dxa"/>
          </w:tcPr>
          <w:p>
            <w:pPr/>
            <w:r>
              <w:t xml:space="preserve">P2 — Développement &amp; intégration API</w:t>
            </w:r>
          </w:p>
        </w:tc>
        <w:tc>
          <w:tcPr>
            <w:tcW w:w="2340" w:type="dxa"/>
          </w:tcPr>
          <w:p>
            <w:pPr/>
            <w:r>
              <w:t xml:space="preserve">S4–S13</w:t>
            </w:r>
          </w:p>
        </w:tc>
        <w:tc>
          <w:tcPr>
            <w:tcW w:w="2340" w:type="dxa"/>
          </w:tcPr>
          <w:p>
            <w:pPr/>
            <w:r>
              <w:t xml:space="preserve">Livraisons toutes les 2 semaines (sprints) sur un serveur de test, puis version bêta complète</w:t>
            </w:r>
          </w:p>
        </w:tc>
        <w:tc>
          <w:tcPr>
            <w:tcW w:w="2340" w:type="dxa"/>
          </w:tcPr>
          <w:p>
            <w:pPr/>
            <w:r>
              <w:t xml:space="preserve">Démonstration à chaque fin de sprint ; PV de livraison bêta</w:t>
            </w:r>
          </w:p>
        </w:tc>
      </w:tr>
      <w:tr>
        <w:tc>
          <w:tcPr>
            <w:tcW w:w="2340" w:type="dxa"/>
          </w:tcPr>
          <w:p>
            <w:pPr/>
            <w:r>
              <w:t xml:space="preserve">P3 — Tests, recette &amp; correctifs</w:t>
            </w:r>
          </w:p>
        </w:tc>
        <w:tc>
          <w:tcPr>
            <w:tcW w:w="2340" w:type="dxa"/>
          </w:tcPr>
          <w:p>
            <w:pPr/>
            <w:r>
              <w:t xml:space="preserve">S14–S16</w:t>
            </w:r>
          </w:p>
        </w:tc>
        <w:tc>
          <w:tcPr>
            <w:tcW w:w="2340" w:type="dxa"/>
          </w:tcPr>
          <w:p>
            <w:pPr/>
            <w:r>
              <w:t xml:space="preserve">Cahier de recette, rapport de tests, version corrigée (release candidate)</w:t>
            </w:r>
          </w:p>
        </w:tc>
        <w:tc>
          <w:tcPr>
            <w:tcW w:w="2340" w:type="dxa"/>
          </w:tcPr>
          <w:p>
            <w:pPr/>
            <w:r>
              <w:t xml:space="preserve">PV de recette sans réserve bloquante</w:t>
            </w:r>
          </w:p>
        </w:tc>
      </w:tr>
      <w:tr>
        <w:tc>
          <w:tcPr>
            <w:tcW w:w="2340" w:type="dxa"/>
          </w:tcPr>
          <w:p>
            <w:pPr/>
            <w:r>
              <w:t xml:space="preserve">P4 — Déploiement, formation &amp; mise en production</w:t>
            </w:r>
          </w:p>
        </w:tc>
        <w:tc>
          <w:tcPr>
            <w:tcW w:w="2340" w:type="dxa"/>
          </w:tcPr>
          <w:p>
            <w:pPr/>
            <w:r>
              <w:t xml:space="preserve">S17–S18</w:t>
            </w:r>
          </w:p>
        </w:tc>
        <w:tc>
          <w:tcPr>
            <w:tcW w:w="2340" w:type="dxa"/>
          </w:tcPr>
          <w:p>
            <w:pPr/>
            <w:r>
              <w:t xml:space="preserve">Plateforme en production, applications publiées sur les stores, 3 sessions de formation, guides utilisateur</w:t>
            </w:r>
          </w:p>
        </w:tc>
        <w:tc>
          <w:tcPr>
            <w:tcW w:w="2340" w:type="dxa"/>
          </w:tcPr>
          <w:p>
            <w:pPr/>
            <w:r>
              <w:t xml:space="preserve">PV de réception finale</w:t>
            </w:r>
          </w:p>
        </w:tc>
      </w:tr>
    </w:tbl>
    <w:p>
      <w:pPr/>
      <w:r>
        <w:rPr>
          <w:b/>
        </w:rPr>
        <w:t xml:space="preserve">Équipe mobilisée</w:t>
      </w:r>
      <w:r>
        <w:t xml:space="preserve"> : 1 chef de projet / BA, 1 développeur backend senior, 1 développeur frontend web, 1 développeur Flutter, 1 designer UI/UX (phase 1), plus un testeur QA et un DevOps ponctuellement.</w:t>
      </w:r>
    </w:p>
    <w:p>
      <w:pPr>
        <w:pStyle w:val="Heading2"/>
      </w:pPr>
      <w:r>
        <w:t xml:space="preserve">6. Estimation financière</w:t>
      </w:r>
    </w:p>
    <w:p>
      <w:pPr/>
      <w:r>
        <w:t xml:space="preserve">Le projet est proposé au </w:t>
      </w:r>
      <w:r>
        <w:rPr>
          <w:b/>
        </w:rPr>
        <w:t xml:space="preserve">prix forfaitaire de 550 000 FCFA HT</w:t>
      </w:r>
      <w:r>
        <w:t xml:space="preserve"> (≈ 838 EUR HT), pour un effort estimé à 174 jours-homme. Le développement (phase 2) pèse 60 % du budget.</w:t>
      </w:r>
    </w:p>
    <w:p>
      <w:pPr>
        <w:pStyle w:val="Heading3"/>
      </w:pPr>
      <w:r>
        <w:t xml:space="preserve">Base de tarification</w:t>
      </w:r>
    </w:p>
    <w:p>
      <w:pPr/>
      <w:r>
        <w:t xml:space="preserve">Le prix est forfaitaire et ferme : les jours-homme indiquent l'effort estimé par tâche, les montants la répartition du forfait global. Aucun dépassement ne sera facturé à périmètre constant.</w:t>
      </w:r>
    </w:p>
    <w:p>
      <w:pPr>
        <w:pStyle w:val="Heading3"/>
      </w:pPr>
      <w:r>
        <w:t xml:space="preserve">Grille détaillée</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w:t>
            </w:r>
          </w:p>
        </w:tc>
        <w:tc>
          <w:tcPr>
            <w:tcW w:w="1872" w:type="dxa"/>
            <w:shd w:val="clear" w:color="auto" w:fill="F2F2F2"/>
          </w:tcPr>
          <w:p>
            <w:pPr/>
            <w:r>
              <w:t xml:space="preserve">Désignation</w:t>
            </w:r>
          </w:p>
        </w:tc>
        <w:tc>
          <w:tcPr>
            <w:tcW w:w="1872" w:type="dxa"/>
            <w:shd w:val="clear" w:color="auto" w:fill="F2F2F2"/>
          </w:tcPr>
          <w:p>
            <w:pPr/>
            <w:r>
              <w:t xml:space="preserve">Profil(s)</w:t>
            </w:r>
          </w:p>
        </w:tc>
        <w:tc>
          <w:tcPr>
            <w:tcW w:w="1872" w:type="dxa"/>
            <w:shd w:val="clear" w:color="auto" w:fill="F2F2F2"/>
          </w:tcPr>
          <w:p>
            <w:pPr/>
            <w:r>
              <w:t xml:space="preserve">Jours-homme</w:t>
            </w:r>
          </w:p>
        </w:tc>
        <w:tc>
          <w:tcPr>
            <w:tcW w:w="1872" w:type="dxa"/>
            <w:shd w:val="clear" w:color="auto" w:fill="F2F2F2"/>
          </w:tcPr>
          <w:p>
            <w:pPr/>
            <w:r>
              <w:t xml:space="preserve">Montant (FCFA HT)</w:t>
            </w:r>
          </w:p>
        </w:tc>
      </w:tr>
      <w:tr>
        <w:tc>
          <w:tcPr>
            <w:tcW w:w="1872" w:type="dxa"/>
          </w:tcPr>
          <w:p>
            <w:pPr/>
            <w:r>
              <w:rPr>
                <w:b/>
              </w:rPr>
              <w:t xml:space="preserve">P1</w:t>
            </w:r>
          </w:p>
        </w:tc>
        <w:tc>
          <w:tcPr>
            <w:tcW w:w="1872" w:type="dxa"/>
          </w:tcPr>
          <w:p>
            <w:pPr/>
            <w:r>
              <w:rPr>
                <w:b/>
              </w:rPr>
              <w:t xml:space="preserve">Analyse, cadrage &amp; conception UI/UX</w:t>
            </w:r>
          </w:p>
        </w:tc>
        <w:tc>
          <w:tcPr>
            <w:tcW w:w="1872" w:type="dxa"/>
          </w:tcPr>
          <w:p>
            <w:pPr/>
          </w:p>
        </w:tc>
        <w:tc>
          <w:tcPr>
            <w:tcW w:w="1872" w:type="dxa"/>
          </w:tcPr>
          <w:p>
            <w:pPr/>
            <w:r>
              <w:rPr>
                <w:b/>
              </w:rPr>
              <w:t xml:space="preserve">24</w:t>
            </w:r>
          </w:p>
        </w:tc>
        <w:tc>
          <w:tcPr>
            <w:tcW w:w="1872" w:type="dxa"/>
          </w:tcPr>
          <w:p>
            <w:pPr/>
            <w:r>
              <w:rPr>
                <w:b/>
              </w:rPr>
              <w:t xml:space="preserve">76 500</w:t>
            </w:r>
          </w:p>
        </w:tc>
      </w:tr>
      <w:tr>
        <w:tc>
          <w:tcPr>
            <w:tcW w:w="1872" w:type="dxa"/>
          </w:tcPr>
          <w:p>
            <w:pPr/>
            <w:r>
              <w:t xml:space="preserve">1.1</w:t>
            </w:r>
          </w:p>
        </w:tc>
        <w:tc>
          <w:tcPr>
            <w:tcW w:w="1872" w:type="dxa"/>
          </w:tcPr>
          <w:p>
            <w:pPr/>
            <w:r>
              <w:t xml:space="preserve">Ateliers de cadrage, cahier des charges fonctionnel, règles de gestion</w:t>
            </w:r>
          </w:p>
        </w:tc>
        <w:tc>
          <w:tcPr>
            <w:tcW w:w="1872" w:type="dxa"/>
          </w:tcPr>
          <w:p>
            <w:pPr/>
            <w:r>
              <w:t xml:space="preserve">CP/BA</w:t>
            </w:r>
          </w:p>
        </w:tc>
        <w:tc>
          <w:tcPr>
            <w:tcW w:w="1872" w:type="dxa"/>
          </w:tcPr>
          <w:p>
            <w:pPr/>
            <w:r>
              <w:t xml:space="preserve">8</w:t>
            </w:r>
          </w:p>
        </w:tc>
        <w:tc>
          <w:tcPr>
            <w:tcW w:w="1872" w:type="dxa"/>
          </w:tcPr>
          <w:p>
            <w:pPr/>
            <w:r>
              <w:t xml:space="preserve">30 000</w:t>
            </w:r>
          </w:p>
        </w:tc>
      </w:tr>
      <w:tr>
        <w:tc>
          <w:tcPr>
            <w:tcW w:w="1872" w:type="dxa"/>
          </w:tcPr>
          <w:p>
            <w:pPr/>
            <w:r>
              <w:t xml:space="preserve">1.2</w:t>
            </w:r>
          </w:p>
        </w:tc>
        <w:tc>
          <w:tcPr>
            <w:tcW w:w="1872" w:type="dxa"/>
          </w:tcPr>
          <w:p>
            <w:pPr/>
            <w:r>
              <w:t xml:space="preserve">Architecture technique, modèle de données, spécifications API</w:t>
            </w:r>
          </w:p>
        </w:tc>
        <w:tc>
          <w:tcPr>
            <w:tcW w:w="1872" w:type="dxa"/>
          </w:tcPr>
          <w:p>
            <w:pPr/>
            <w:r>
              <w:t xml:space="preserve">Backend</w:t>
            </w:r>
          </w:p>
        </w:tc>
        <w:tc>
          <w:tcPr>
            <w:tcW w:w="1872" w:type="dxa"/>
          </w:tcPr>
          <w:p>
            <w:pPr/>
            <w:r>
              <w:t xml:space="preserve">4</w:t>
            </w:r>
          </w:p>
        </w:tc>
        <w:tc>
          <w:tcPr>
            <w:tcW w:w="1872" w:type="dxa"/>
          </w:tcPr>
          <w:p>
            <w:pPr/>
            <w:r>
              <w:t xml:space="preserve">13 000</w:t>
            </w:r>
          </w:p>
        </w:tc>
      </w:tr>
      <w:tr>
        <w:tc>
          <w:tcPr>
            <w:tcW w:w="1872" w:type="dxa"/>
          </w:tcPr>
          <w:p>
            <w:pPr/>
            <w:r>
              <w:t xml:space="preserve">1.3</w:t>
            </w:r>
          </w:p>
        </w:tc>
        <w:tc>
          <w:tcPr>
            <w:tcW w:w="1872" w:type="dxa"/>
          </w:tcPr>
          <w:p>
            <w:pPr/>
            <w:r>
              <w:t xml:space="preserve">Maquettes et prototype cliquable web + mobile (Figma), charte UI</w:t>
            </w:r>
          </w:p>
        </w:tc>
        <w:tc>
          <w:tcPr>
            <w:tcW w:w="1872" w:type="dxa"/>
          </w:tcPr>
          <w:p>
            <w:pPr/>
            <w:r>
              <w:t xml:space="preserve">UI/UX</w:t>
            </w:r>
          </w:p>
        </w:tc>
        <w:tc>
          <w:tcPr>
            <w:tcW w:w="1872" w:type="dxa"/>
          </w:tcPr>
          <w:p>
            <w:pPr/>
            <w:r>
              <w:t xml:space="preserve">12</w:t>
            </w:r>
          </w:p>
        </w:tc>
        <w:tc>
          <w:tcPr>
            <w:tcW w:w="1872" w:type="dxa"/>
          </w:tcPr>
          <w:p>
            <w:pPr/>
            <w:r>
              <w:t xml:space="preserve">33 500</w:t>
            </w:r>
          </w:p>
        </w:tc>
      </w:tr>
      <w:tr>
        <w:tc>
          <w:tcPr>
            <w:tcW w:w="1872" w:type="dxa"/>
          </w:tcPr>
          <w:p>
            <w:pPr/>
            <w:r>
              <w:rPr>
                <w:b/>
              </w:rPr>
              <w:t xml:space="preserve">P2</w:t>
            </w:r>
          </w:p>
        </w:tc>
        <w:tc>
          <w:tcPr>
            <w:tcW w:w="1872" w:type="dxa"/>
          </w:tcPr>
          <w:p>
            <w:pPr/>
            <w:r>
              <w:rPr>
                <w:b/>
              </w:rPr>
              <w:t xml:space="preserve">Développement backend / frontend / mobile &amp; intégration API</w:t>
            </w:r>
          </w:p>
        </w:tc>
        <w:tc>
          <w:tcPr>
            <w:tcW w:w="1872" w:type="dxa"/>
          </w:tcPr>
          <w:p>
            <w:pPr/>
          </w:p>
        </w:tc>
        <w:tc>
          <w:tcPr>
            <w:tcW w:w="1872" w:type="dxa"/>
          </w:tcPr>
          <w:p>
            <w:pPr/>
            <w:r>
              <w:rPr>
                <w:b/>
              </w:rPr>
              <w:t xml:space="preserve">105</w:t>
            </w:r>
          </w:p>
        </w:tc>
        <w:tc>
          <w:tcPr>
            <w:tcW w:w="1872" w:type="dxa"/>
          </w:tcPr>
          <w:p>
            <w:pPr/>
            <w:r>
              <w:rPr>
                <w:b/>
              </w:rPr>
              <w:t xml:space="preserve">329 500</w:t>
            </w:r>
          </w:p>
        </w:tc>
      </w:tr>
      <w:tr>
        <w:tc>
          <w:tcPr>
            <w:tcW w:w="1872" w:type="dxa"/>
          </w:tcPr>
          <w:p>
            <w:pPr/>
            <w:r>
              <w:t xml:space="preserve">2.1</w:t>
            </w:r>
          </w:p>
        </w:tc>
        <w:tc>
          <w:tcPr>
            <w:tcW w:w="1872" w:type="dxa"/>
          </w:tcPr>
          <w:p>
            <w:pPr/>
            <w:r>
              <w:t xml:space="preserve">Socle technique : authentification, API REST, environnements, CI/CD</w:t>
            </w:r>
          </w:p>
        </w:tc>
        <w:tc>
          <w:tcPr>
            <w:tcW w:w="1872" w:type="dxa"/>
          </w:tcPr>
          <w:p>
            <w:pPr/>
            <w:r>
              <w:t xml:space="preserve">Backend</w:t>
            </w:r>
          </w:p>
        </w:tc>
        <w:tc>
          <w:tcPr>
            <w:tcW w:w="1872" w:type="dxa"/>
          </w:tcPr>
          <w:p>
            <w:pPr/>
            <w:r>
              <w:t xml:space="preserve">6</w:t>
            </w:r>
          </w:p>
        </w:tc>
        <w:tc>
          <w:tcPr>
            <w:tcW w:w="1872" w:type="dxa"/>
          </w:tcPr>
          <w:p>
            <w:pPr/>
            <w:r>
              <w:t xml:space="preserve">19 500</w:t>
            </w:r>
          </w:p>
        </w:tc>
      </w:tr>
      <w:tr>
        <w:tc>
          <w:tcPr>
            <w:tcW w:w="1872" w:type="dxa"/>
          </w:tcPr>
          <w:p>
            <w:pPr/>
            <w:r>
              <w:t xml:space="preserve">2.2</w:t>
            </w:r>
          </w:p>
        </w:tc>
        <w:tc>
          <w:tcPr>
            <w:tcW w:w="1872" w:type="dxa"/>
          </w:tcPr>
          <w:p>
            <w:pPr/>
            <w:r>
              <w:t xml:space="preserve">Module 1 — Parc d'engins (6 j back, 5 j web, 2 j mobile)</w:t>
            </w:r>
          </w:p>
        </w:tc>
        <w:tc>
          <w:tcPr>
            <w:tcW w:w="1872" w:type="dxa"/>
          </w:tcPr>
          <w:p>
            <w:pPr/>
            <w:r>
              <w:t xml:space="preserve">Back/Web/Mobile</w:t>
            </w:r>
          </w:p>
        </w:tc>
        <w:tc>
          <w:tcPr>
            <w:tcW w:w="1872" w:type="dxa"/>
          </w:tcPr>
          <w:p>
            <w:pPr/>
            <w:r>
              <w:t xml:space="preserve">13</w:t>
            </w:r>
          </w:p>
        </w:tc>
        <w:tc>
          <w:tcPr>
            <w:tcW w:w="1872" w:type="dxa"/>
          </w:tcPr>
          <w:p>
            <w:pPr/>
            <w:r>
              <w:t xml:space="preserve">40 500</w:t>
            </w:r>
          </w:p>
        </w:tc>
      </w:tr>
      <w:tr>
        <w:tc>
          <w:tcPr>
            <w:tcW w:w="1872" w:type="dxa"/>
          </w:tcPr>
          <w:p>
            <w:pPr/>
            <w:r>
              <w:t xml:space="preserve">2.3</w:t>
            </w:r>
          </w:p>
        </w:tc>
        <w:tc>
          <w:tcPr>
            <w:tcW w:w="1872" w:type="dxa"/>
          </w:tcPr>
          <w:p>
            <w:pPr/>
            <w:r>
              <w:t xml:space="preserve">Module 2 — Activités &amp; missions (8 j back, 6 j web, 8 j mobile)</w:t>
            </w:r>
          </w:p>
        </w:tc>
        <w:tc>
          <w:tcPr>
            <w:tcW w:w="1872" w:type="dxa"/>
          </w:tcPr>
          <w:p>
            <w:pPr/>
            <w:r>
              <w:t xml:space="preserve">Back/Web/Mobile</w:t>
            </w:r>
          </w:p>
        </w:tc>
        <w:tc>
          <w:tcPr>
            <w:tcW w:w="1872" w:type="dxa"/>
          </w:tcPr>
          <w:p>
            <w:pPr/>
            <w:r>
              <w:t xml:space="preserve">22</w:t>
            </w:r>
          </w:p>
        </w:tc>
        <w:tc>
          <w:tcPr>
            <w:tcW w:w="1872" w:type="dxa"/>
          </w:tcPr>
          <w:p>
            <w:pPr/>
            <w:r>
              <w:t xml:space="preserve">69 000</w:t>
            </w:r>
          </w:p>
        </w:tc>
      </w:tr>
      <w:tr>
        <w:tc>
          <w:tcPr>
            <w:tcW w:w="1872" w:type="dxa"/>
          </w:tcPr>
          <w:p>
            <w:pPr/>
            <w:r>
              <w:t xml:space="preserve">2.4</w:t>
            </w:r>
          </w:p>
        </w:tc>
        <w:tc>
          <w:tcPr>
            <w:tcW w:w="1872" w:type="dxa"/>
          </w:tcPr>
          <w:p>
            <w:pPr/>
            <w:r>
              <w:t xml:space="preserve">Module 3 — Maintenance &amp; pièces (8 j back, 7 j web, 3 j mobile)</w:t>
            </w:r>
          </w:p>
        </w:tc>
        <w:tc>
          <w:tcPr>
            <w:tcW w:w="1872" w:type="dxa"/>
          </w:tcPr>
          <w:p>
            <w:pPr/>
            <w:r>
              <w:t xml:space="preserve">Back/Web/Mobile</w:t>
            </w:r>
          </w:p>
        </w:tc>
        <w:tc>
          <w:tcPr>
            <w:tcW w:w="1872" w:type="dxa"/>
          </w:tcPr>
          <w:p>
            <w:pPr/>
            <w:r>
              <w:t xml:space="preserve">18</w:t>
            </w:r>
          </w:p>
        </w:tc>
        <w:tc>
          <w:tcPr>
            <w:tcW w:w="1872" w:type="dxa"/>
          </w:tcPr>
          <w:p>
            <w:pPr/>
            <w:r>
              <w:t xml:space="preserve">56 000</w:t>
            </w:r>
          </w:p>
        </w:tc>
      </w:tr>
      <w:tr>
        <w:tc>
          <w:tcPr>
            <w:tcW w:w="1872" w:type="dxa"/>
          </w:tcPr>
          <w:p>
            <w:pPr/>
            <w:r>
              <w:t xml:space="preserve">2.5</w:t>
            </w:r>
          </w:p>
        </w:tc>
        <w:tc>
          <w:tcPr>
            <w:tcW w:w="1872" w:type="dxa"/>
          </w:tcPr>
          <w:p>
            <w:pPr/>
            <w:r>
              <w:t xml:space="preserve">Module 4 — Carburant &amp; coûts (6 j back, 4 j web, 4 j mobile)</w:t>
            </w:r>
          </w:p>
        </w:tc>
        <w:tc>
          <w:tcPr>
            <w:tcW w:w="1872" w:type="dxa"/>
          </w:tcPr>
          <w:p>
            <w:pPr/>
            <w:r>
              <w:t xml:space="preserve">Back/Web/Mobile</w:t>
            </w:r>
          </w:p>
        </w:tc>
        <w:tc>
          <w:tcPr>
            <w:tcW w:w="1872" w:type="dxa"/>
          </w:tcPr>
          <w:p>
            <w:pPr/>
            <w:r>
              <w:t xml:space="preserve">14</w:t>
            </w:r>
          </w:p>
        </w:tc>
        <w:tc>
          <w:tcPr>
            <w:tcW w:w="1872" w:type="dxa"/>
          </w:tcPr>
          <w:p>
            <w:pPr/>
            <w:r>
              <w:t xml:space="preserve">44 000</w:t>
            </w:r>
          </w:p>
        </w:tc>
      </w:tr>
      <w:tr>
        <w:tc>
          <w:tcPr>
            <w:tcW w:w="1872" w:type="dxa"/>
          </w:tcPr>
          <w:p>
            <w:pPr/>
            <w:r>
              <w:t xml:space="preserve">2.6</w:t>
            </w:r>
          </w:p>
        </w:tc>
        <w:tc>
          <w:tcPr>
            <w:tcW w:w="1872" w:type="dxa"/>
          </w:tcPr>
          <w:p>
            <w:pPr/>
            <w:r>
              <w:t xml:space="preserve">Module 5 — Tableaux de bord &amp; exports PDF/Excel (5 j back, 7 j web, 1 j mobile)</w:t>
            </w:r>
          </w:p>
        </w:tc>
        <w:tc>
          <w:tcPr>
            <w:tcW w:w="1872" w:type="dxa"/>
          </w:tcPr>
          <w:p>
            <w:pPr/>
            <w:r>
              <w:t xml:space="preserve">Back/Web/Mobile</w:t>
            </w:r>
          </w:p>
        </w:tc>
        <w:tc>
          <w:tcPr>
            <w:tcW w:w="1872" w:type="dxa"/>
          </w:tcPr>
          <w:p>
            <w:pPr/>
            <w:r>
              <w:t xml:space="preserve">13</w:t>
            </w:r>
          </w:p>
        </w:tc>
        <w:tc>
          <w:tcPr>
            <w:tcW w:w="1872" w:type="dxa"/>
          </w:tcPr>
          <w:p>
            <w:pPr/>
            <w:r>
              <w:t xml:space="preserve">39 500</w:t>
            </w:r>
          </w:p>
        </w:tc>
      </w:tr>
      <w:tr>
        <w:tc>
          <w:tcPr>
            <w:tcW w:w="1872" w:type="dxa"/>
          </w:tcPr>
          <w:p>
            <w:pPr/>
            <w:r>
              <w:t xml:space="preserve">2.7</w:t>
            </w:r>
          </w:p>
        </w:tc>
        <w:tc>
          <w:tcPr>
            <w:tcW w:w="1872" w:type="dxa"/>
          </w:tcPr>
          <w:p>
            <w:pPr/>
            <w:r>
              <w:t xml:space="preserve">Module 6 — Utilisateurs, rôles, audit (4 j back, 3 j web, 1 j mobile)</w:t>
            </w:r>
          </w:p>
        </w:tc>
        <w:tc>
          <w:tcPr>
            <w:tcW w:w="1872" w:type="dxa"/>
          </w:tcPr>
          <w:p>
            <w:pPr/>
            <w:r>
              <w:t xml:space="preserve">Back/Web/Mobile</w:t>
            </w:r>
          </w:p>
        </w:tc>
        <w:tc>
          <w:tcPr>
            <w:tcW w:w="1872" w:type="dxa"/>
          </w:tcPr>
          <w:p>
            <w:pPr/>
            <w:r>
              <w:t xml:space="preserve">8</w:t>
            </w:r>
          </w:p>
        </w:tc>
        <w:tc>
          <w:tcPr>
            <w:tcW w:w="1872" w:type="dxa"/>
          </w:tcPr>
          <w:p>
            <w:pPr/>
            <w:r>
              <w:t xml:space="preserve">25 000</w:t>
            </w:r>
          </w:p>
        </w:tc>
      </w:tr>
      <w:tr>
        <w:tc>
          <w:tcPr>
            <w:tcW w:w="1872" w:type="dxa"/>
          </w:tcPr>
          <w:p>
            <w:pPr/>
            <w:r>
              <w:t xml:space="preserve">2.8</w:t>
            </w:r>
          </w:p>
        </w:tc>
        <w:tc>
          <w:tcPr>
            <w:tcW w:w="1872" w:type="dxa"/>
          </w:tcPr>
          <w:p>
            <w:pPr/>
            <w:r>
              <w:t xml:space="preserve">Notifications e-mail + push (3 j back, 2 j mobile)</w:t>
            </w:r>
          </w:p>
        </w:tc>
        <w:tc>
          <w:tcPr>
            <w:tcW w:w="1872" w:type="dxa"/>
          </w:tcPr>
          <w:p>
            <w:pPr/>
            <w:r>
              <w:t xml:space="preserve">Back/Mobile</w:t>
            </w:r>
          </w:p>
        </w:tc>
        <w:tc>
          <w:tcPr>
            <w:tcW w:w="1872" w:type="dxa"/>
          </w:tcPr>
          <w:p>
            <w:pPr/>
            <w:r>
              <w:t xml:space="preserve">5</w:t>
            </w:r>
          </w:p>
        </w:tc>
        <w:tc>
          <w:tcPr>
            <w:tcW w:w="1872" w:type="dxa"/>
          </w:tcPr>
          <w:p>
            <w:pPr/>
            <w:r>
              <w:t xml:space="preserve">16 500</w:t>
            </w:r>
          </w:p>
        </w:tc>
      </w:tr>
      <w:tr>
        <w:tc>
          <w:tcPr>
            <w:tcW w:w="1872" w:type="dxa"/>
          </w:tcPr>
          <w:p>
            <w:pPr/>
            <w:r>
              <w:t xml:space="preserve">2.9</w:t>
            </w:r>
          </w:p>
        </w:tc>
        <w:tc>
          <w:tcPr>
            <w:tcW w:w="1872" w:type="dxa"/>
          </w:tcPr>
          <w:p>
            <w:pPr/>
            <w:r>
              <w:t xml:space="preserve">Mode hors-ligne &amp; synchronisation mobile</w:t>
            </w:r>
          </w:p>
        </w:tc>
        <w:tc>
          <w:tcPr>
            <w:tcW w:w="1872" w:type="dxa"/>
          </w:tcPr>
          <w:p>
            <w:pPr/>
            <w:r>
              <w:t xml:space="preserve">Mobile</w:t>
            </w:r>
          </w:p>
        </w:tc>
        <w:tc>
          <w:tcPr>
            <w:tcW w:w="1872" w:type="dxa"/>
          </w:tcPr>
          <w:p>
            <w:pPr/>
            <w:r>
              <w:t xml:space="preserve">6</w:t>
            </w:r>
          </w:p>
        </w:tc>
        <w:tc>
          <w:tcPr>
            <w:tcW w:w="1872" w:type="dxa"/>
          </w:tcPr>
          <w:p>
            <w:pPr/>
            <w:r>
              <w:t xml:space="preserve">19 500</w:t>
            </w:r>
          </w:p>
        </w:tc>
      </w:tr>
      <w:tr>
        <w:tc>
          <w:tcPr>
            <w:tcW w:w="1872" w:type="dxa"/>
          </w:tcPr>
          <w:p>
            <w:pPr/>
            <w:r>
              <w:rPr>
                <w:b/>
              </w:rPr>
              <w:t xml:space="preserve">P3</w:t>
            </w:r>
          </w:p>
        </w:tc>
        <w:tc>
          <w:tcPr>
            <w:tcW w:w="1872" w:type="dxa"/>
          </w:tcPr>
          <w:p>
            <w:pPr/>
            <w:r>
              <w:rPr>
                <w:b/>
              </w:rPr>
              <w:t xml:space="preserve">Tests, recette &amp; correctifs</w:t>
            </w:r>
          </w:p>
        </w:tc>
        <w:tc>
          <w:tcPr>
            <w:tcW w:w="1872" w:type="dxa"/>
          </w:tcPr>
          <w:p>
            <w:pPr/>
          </w:p>
        </w:tc>
        <w:tc>
          <w:tcPr>
            <w:tcW w:w="1872" w:type="dxa"/>
          </w:tcPr>
          <w:p>
            <w:pPr/>
            <w:r>
              <w:rPr>
                <w:b/>
              </w:rPr>
              <w:t xml:space="preserve">21</w:t>
            </w:r>
          </w:p>
        </w:tc>
        <w:tc>
          <w:tcPr>
            <w:tcW w:w="1872" w:type="dxa"/>
          </w:tcPr>
          <w:p>
            <w:pPr/>
            <w:r>
              <w:rPr>
                <w:b/>
              </w:rPr>
              <w:t xml:space="preserve">59 000</w:t>
            </w:r>
          </w:p>
        </w:tc>
      </w:tr>
      <w:tr>
        <w:tc>
          <w:tcPr>
            <w:tcW w:w="1872" w:type="dxa"/>
          </w:tcPr>
          <w:p>
            <w:pPr/>
            <w:r>
              <w:t xml:space="preserve">3.1</w:t>
            </w:r>
          </w:p>
        </w:tc>
        <w:tc>
          <w:tcPr>
            <w:tcW w:w="1872" w:type="dxa"/>
          </w:tcPr>
          <w:p>
            <w:pPr/>
            <w:r>
              <w:t xml:space="preserve">Plan de tests, tests fonctionnels et de non-régression</w:t>
            </w:r>
          </w:p>
        </w:tc>
        <w:tc>
          <w:tcPr>
            <w:tcW w:w="1872" w:type="dxa"/>
          </w:tcPr>
          <w:p>
            <w:pPr/>
            <w:r>
              <w:t xml:space="preserve">QA</w:t>
            </w:r>
          </w:p>
        </w:tc>
        <w:tc>
          <w:tcPr>
            <w:tcW w:w="1872" w:type="dxa"/>
          </w:tcPr>
          <w:p>
            <w:pPr/>
            <w:r>
              <w:t xml:space="preserve">10</w:t>
            </w:r>
          </w:p>
        </w:tc>
        <w:tc>
          <w:tcPr>
            <w:tcW w:w="1872" w:type="dxa"/>
          </w:tcPr>
          <w:p>
            <w:pPr/>
            <w:r>
              <w:t xml:space="preserve">22 500</w:t>
            </w:r>
          </w:p>
        </w:tc>
      </w:tr>
      <w:tr>
        <w:tc>
          <w:tcPr>
            <w:tcW w:w="1872" w:type="dxa"/>
          </w:tcPr>
          <w:p>
            <w:pPr/>
            <w:r>
              <w:t xml:space="preserve">3.2</w:t>
            </w:r>
          </w:p>
        </w:tc>
        <w:tc>
          <w:tcPr>
            <w:tcW w:w="1872" w:type="dxa"/>
          </w:tcPr>
          <w:p>
            <w:pPr/>
            <w:r>
              <w:t xml:space="preserve">Tests de performance et de sécurité (droits, injections, sauvegardes)</w:t>
            </w:r>
          </w:p>
        </w:tc>
        <w:tc>
          <w:tcPr>
            <w:tcW w:w="1872" w:type="dxa"/>
          </w:tcPr>
          <w:p>
            <w:pPr/>
            <w:r>
              <w:t xml:space="preserve">Backend</w:t>
            </w:r>
          </w:p>
        </w:tc>
        <w:tc>
          <w:tcPr>
            <w:tcW w:w="1872" w:type="dxa"/>
          </w:tcPr>
          <w:p>
            <w:pPr/>
            <w:r>
              <w:t xml:space="preserve">3</w:t>
            </w:r>
          </w:p>
        </w:tc>
        <w:tc>
          <w:tcPr>
            <w:tcW w:w="1872" w:type="dxa"/>
          </w:tcPr>
          <w:p>
            <w:pPr/>
            <w:r>
              <w:t xml:space="preserve">10 000</w:t>
            </w:r>
          </w:p>
        </w:tc>
      </w:tr>
      <w:tr>
        <w:tc>
          <w:tcPr>
            <w:tcW w:w="1872" w:type="dxa"/>
          </w:tcPr>
          <w:p>
            <w:pPr/>
            <w:r>
              <w:t xml:space="preserve">3.3</w:t>
            </w:r>
          </w:p>
        </w:tc>
        <w:tc>
          <w:tcPr>
            <w:tcW w:w="1872" w:type="dxa"/>
          </w:tcPr>
          <w:p>
            <w:pPr/>
            <w:r>
              <w:t xml:space="preserve">Accompagnement de la recette client et correctifs</w:t>
            </w:r>
          </w:p>
        </w:tc>
        <w:tc>
          <w:tcPr>
            <w:tcW w:w="1872" w:type="dxa"/>
          </w:tcPr>
          <w:p>
            <w:pPr/>
            <w:r>
              <w:t xml:space="preserve">Backend/Mobile</w:t>
            </w:r>
          </w:p>
        </w:tc>
        <w:tc>
          <w:tcPr>
            <w:tcW w:w="1872" w:type="dxa"/>
          </w:tcPr>
          <w:p>
            <w:pPr/>
            <w:r>
              <w:t xml:space="preserve">8</w:t>
            </w:r>
          </w:p>
        </w:tc>
        <w:tc>
          <w:tcPr>
            <w:tcW w:w="1872" w:type="dxa"/>
          </w:tcPr>
          <w:p>
            <w:pPr/>
            <w:r>
              <w:t xml:space="preserve">26 500</w:t>
            </w:r>
          </w:p>
        </w:tc>
      </w:tr>
      <w:tr>
        <w:tc>
          <w:tcPr>
            <w:tcW w:w="1872" w:type="dxa"/>
          </w:tcPr>
          <w:p>
            <w:pPr/>
            <w:r>
              <w:rPr>
                <w:b/>
              </w:rPr>
              <w:t xml:space="preserve">P4</w:t>
            </w:r>
          </w:p>
        </w:tc>
        <w:tc>
          <w:tcPr>
            <w:tcW w:w="1872" w:type="dxa"/>
          </w:tcPr>
          <w:p>
            <w:pPr/>
            <w:r>
              <w:rPr>
                <w:b/>
              </w:rPr>
              <w:t xml:space="preserve">Déploiement, formation &amp; mise en production</w:t>
            </w:r>
          </w:p>
        </w:tc>
        <w:tc>
          <w:tcPr>
            <w:tcW w:w="1872" w:type="dxa"/>
          </w:tcPr>
          <w:p>
            <w:pPr/>
          </w:p>
        </w:tc>
        <w:tc>
          <w:tcPr>
            <w:tcW w:w="1872" w:type="dxa"/>
          </w:tcPr>
          <w:p>
            <w:pPr/>
            <w:r>
              <w:rPr>
                <w:b/>
              </w:rPr>
              <w:t xml:space="preserve">12</w:t>
            </w:r>
          </w:p>
        </w:tc>
        <w:tc>
          <w:tcPr>
            <w:tcW w:w="1872" w:type="dxa"/>
          </w:tcPr>
          <w:p>
            <w:pPr/>
            <w:r>
              <w:rPr>
                <w:b/>
              </w:rPr>
              <w:t xml:space="preserve">40 000</w:t>
            </w:r>
          </w:p>
        </w:tc>
      </w:tr>
      <w:tr>
        <w:tc>
          <w:tcPr>
            <w:tcW w:w="1872" w:type="dxa"/>
          </w:tcPr>
          <w:p>
            <w:pPr/>
            <w:r>
              <w:t xml:space="preserve">4.1</w:t>
            </w:r>
          </w:p>
        </w:tc>
        <w:tc>
          <w:tcPr>
            <w:tcW w:w="1872" w:type="dxa"/>
          </w:tcPr>
          <w:p>
            <w:pPr/>
            <w:r>
              <w:t xml:space="preserve">Installation serveur, sécurisation, sauvegardes, mise en production</w:t>
            </w:r>
          </w:p>
        </w:tc>
        <w:tc>
          <w:tcPr>
            <w:tcW w:w="1872" w:type="dxa"/>
          </w:tcPr>
          <w:p>
            <w:pPr/>
            <w:r>
              <w:t xml:space="preserve">DevOps</w:t>
            </w:r>
          </w:p>
        </w:tc>
        <w:tc>
          <w:tcPr>
            <w:tcW w:w="1872" w:type="dxa"/>
          </w:tcPr>
          <w:p>
            <w:pPr/>
            <w:r>
              <w:t xml:space="preserve">3</w:t>
            </w:r>
          </w:p>
        </w:tc>
        <w:tc>
          <w:tcPr>
            <w:tcW w:w="1872" w:type="dxa"/>
          </w:tcPr>
          <w:p>
            <w:pPr/>
            <w:r>
              <w:t xml:space="preserve">10 000</w:t>
            </w:r>
          </w:p>
        </w:tc>
      </w:tr>
      <w:tr>
        <w:tc>
          <w:tcPr>
            <w:tcW w:w="1872" w:type="dxa"/>
          </w:tcPr>
          <w:p>
            <w:pPr/>
            <w:r>
              <w:t xml:space="preserve">4.2</w:t>
            </w:r>
          </w:p>
        </w:tc>
        <w:tc>
          <w:tcPr>
            <w:tcW w:w="1872" w:type="dxa"/>
          </w:tcPr>
          <w:p>
            <w:pPr/>
            <w:r>
              <w:t xml:space="preserve">Publication Google Play Store et Apple App Store</w:t>
            </w:r>
          </w:p>
        </w:tc>
        <w:tc>
          <w:tcPr>
            <w:tcW w:w="1872" w:type="dxa"/>
          </w:tcPr>
          <w:p>
            <w:pPr/>
            <w:r>
              <w:t xml:space="preserve">Mobile</w:t>
            </w:r>
          </w:p>
        </w:tc>
        <w:tc>
          <w:tcPr>
            <w:tcW w:w="1872" w:type="dxa"/>
          </w:tcPr>
          <w:p>
            <w:pPr/>
            <w:r>
              <w:t xml:space="preserve">2</w:t>
            </w:r>
          </w:p>
        </w:tc>
        <w:tc>
          <w:tcPr>
            <w:tcW w:w="1872" w:type="dxa"/>
          </w:tcPr>
          <w:p>
            <w:pPr/>
            <w:r>
              <w:t xml:space="preserve">6 500</w:t>
            </w:r>
          </w:p>
        </w:tc>
      </w:tr>
      <w:tr>
        <w:tc>
          <w:tcPr>
            <w:tcW w:w="1872" w:type="dxa"/>
          </w:tcPr>
          <w:p>
            <w:pPr/>
            <w:r>
              <w:t xml:space="preserve">4.3</w:t>
            </w:r>
          </w:p>
        </w:tc>
        <w:tc>
          <w:tcPr>
            <w:tcW w:w="1872" w:type="dxa"/>
          </w:tcPr>
          <w:p>
            <w:pPr/>
            <w:r>
              <w:t xml:space="preserve">Formation : 3 sessions (admins, gestionnaires, chauffeurs/mécaniciens)</w:t>
            </w:r>
          </w:p>
        </w:tc>
        <w:tc>
          <w:tcPr>
            <w:tcW w:w="1872" w:type="dxa"/>
          </w:tcPr>
          <w:p>
            <w:pPr/>
            <w:r>
              <w:t xml:space="preserve">CP/BA</w:t>
            </w:r>
          </w:p>
        </w:tc>
        <w:tc>
          <w:tcPr>
            <w:tcW w:w="1872" w:type="dxa"/>
          </w:tcPr>
          <w:p>
            <w:pPr/>
            <w:r>
              <w:t xml:space="preserve">4</w:t>
            </w:r>
          </w:p>
        </w:tc>
        <w:tc>
          <w:tcPr>
            <w:tcW w:w="1872" w:type="dxa"/>
          </w:tcPr>
          <w:p>
            <w:pPr/>
            <w:r>
              <w:t xml:space="preserve">15 000</w:t>
            </w:r>
          </w:p>
        </w:tc>
      </w:tr>
      <w:tr>
        <w:tc>
          <w:tcPr>
            <w:tcW w:w="1872" w:type="dxa"/>
          </w:tcPr>
          <w:p>
            <w:pPr/>
            <w:r>
              <w:t xml:space="preserve">4.4</w:t>
            </w:r>
          </w:p>
        </w:tc>
        <w:tc>
          <w:tcPr>
            <w:tcW w:w="1872" w:type="dxa"/>
          </w:tcPr>
          <w:p>
            <w:pPr/>
            <w:r>
              <w:t xml:space="preserve">Guide utilisateur, fiches réflexes, documentation technique</w:t>
            </w:r>
          </w:p>
        </w:tc>
        <w:tc>
          <w:tcPr>
            <w:tcW w:w="1872" w:type="dxa"/>
          </w:tcPr>
          <w:p>
            <w:pPr/>
            <w:r>
              <w:t xml:space="preserve">Frontend</w:t>
            </w:r>
          </w:p>
        </w:tc>
        <w:tc>
          <w:tcPr>
            <w:tcW w:w="1872" w:type="dxa"/>
          </w:tcPr>
          <w:p>
            <w:pPr/>
            <w:r>
              <w:t xml:space="preserve">3</w:t>
            </w:r>
          </w:p>
        </w:tc>
        <w:tc>
          <w:tcPr>
            <w:tcW w:w="1872" w:type="dxa"/>
          </w:tcPr>
          <w:p>
            <w:pPr/>
            <w:r>
              <w:t xml:space="preserve">8 500</w:t>
            </w:r>
          </w:p>
        </w:tc>
      </w:tr>
      <w:tr>
        <w:tc>
          <w:tcPr>
            <w:tcW w:w="1872" w:type="dxa"/>
          </w:tcPr>
          <w:p>
            <w:pPr/>
            <w:r>
              <w:rPr>
                <w:b/>
              </w:rPr>
              <w:t xml:space="preserve">PT</w:t>
            </w:r>
          </w:p>
        </w:tc>
        <w:tc>
          <w:tcPr>
            <w:tcW w:w="1872" w:type="dxa"/>
          </w:tcPr>
          <w:p>
            <w:pPr/>
            <w:r>
              <w:rPr>
                <w:b/>
              </w:rPr>
              <w:t xml:space="preserve">Pilotage de projet (transverse)</w:t>
            </w:r>
            <w:r>
              <w:t xml:space="preserve"> : comités hebdomadaires, suivi planning, reporting</w:t>
            </w:r>
          </w:p>
        </w:tc>
        <w:tc>
          <w:tcPr>
            <w:tcW w:w="1872" w:type="dxa"/>
          </w:tcPr>
          <w:p>
            <w:pPr/>
            <w:r>
              <w:t xml:space="preserve">CP/BA</w:t>
            </w:r>
          </w:p>
        </w:tc>
        <w:tc>
          <w:tcPr>
            <w:tcW w:w="1872" w:type="dxa"/>
          </w:tcPr>
          <w:p>
            <w:pPr/>
            <w:r>
              <w:rPr>
                <w:b/>
              </w:rPr>
              <w:t xml:space="preserve">12</w:t>
            </w:r>
          </w:p>
        </w:tc>
        <w:tc>
          <w:tcPr>
            <w:tcW w:w="1872" w:type="dxa"/>
          </w:tcPr>
          <w:p>
            <w:pPr/>
            <w:r>
              <w:rPr>
                <w:b/>
              </w:rPr>
              <w:t xml:space="preserve">45 000</w:t>
            </w:r>
          </w:p>
        </w:tc>
      </w:tr>
    </w:tbl>
    <w:p>
      <w:pPr>
        <w:pStyle w:val="Heading3"/>
      </w:pPr>
      <w:r>
        <w:t xml:space="preserve">Récapitulatif</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Poste</w:t>
            </w:r>
          </w:p>
        </w:tc>
        <w:tc>
          <w:tcPr>
            <w:tcW w:w="4680" w:type="dxa"/>
            <w:shd w:val="clear" w:color="auto" w:fill="F2F2F2"/>
          </w:tcPr>
          <w:p>
            <w:pPr/>
            <w:r>
              <w:t xml:space="preserve">Montant (FCFA)</w:t>
            </w:r>
          </w:p>
        </w:tc>
      </w:tr>
      <w:tr>
        <w:tc>
          <w:tcPr>
            <w:tcW w:w="4680" w:type="dxa"/>
          </w:tcPr>
          <w:p>
            <w:pPr/>
            <w:r>
              <w:t xml:space="preserve">Phase 1 — Cadrage &amp; UI/UX</w:t>
            </w:r>
          </w:p>
        </w:tc>
        <w:tc>
          <w:tcPr>
            <w:tcW w:w="4680" w:type="dxa"/>
          </w:tcPr>
          <w:p>
            <w:pPr/>
            <w:r>
              <w:t xml:space="preserve">76 500</w:t>
            </w:r>
          </w:p>
        </w:tc>
      </w:tr>
      <w:tr>
        <w:tc>
          <w:tcPr>
            <w:tcW w:w="4680" w:type="dxa"/>
          </w:tcPr>
          <w:p>
            <w:pPr/>
            <w:r>
              <w:t xml:space="preserve">Phase 2 — Développement</w:t>
            </w:r>
          </w:p>
        </w:tc>
        <w:tc>
          <w:tcPr>
            <w:tcW w:w="4680" w:type="dxa"/>
          </w:tcPr>
          <w:p>
            <w:pPr/>
            <w:r>
              <w:t xml:space="preserve">329 500</w:t>
            </w:r>
          </w:p>
        </w:tc>
      </w:tr>
      <w:tr>
        <w:tc>
          <w:tcPr>
            <w:tcW w:w="4680" w:type="dxa"/>
          </w:tcPr>
          <w:p>
            <w:pPr/>
            <w:r>
              <w:t xml:space="preserve">Phase 3 — Tests &amp; recette</w:t>
            </w:r>
          </w:p>
        </w:tc>
        <w:tc>
          <w:tcPr>
            <w:tcW w:w="4680" w:type="dxa"/>
          </w:tcPr>
          <w:p>
            <w:pPr/>
            <w:r>
              <w:t xml:space="preserve">59 000</w:t>
            </w:r>
          </w:p>
        </w:tc>
      </w:tr>
      <w:tr>
        <w:tc>
          <w:tcPr>
            <w:tcW w:w="4680" w:type="dxa"/>
          </w:tcPr>
          <w:p>
            <w:pPr/>
            <w:r>
              <w:t xml:space="preserve">Phase 4 — Déploiement &amp; formation</w:t>
            </w:r>
          </w:p>
        </w:tc>
        <w:tc>
          <w:tcPr>
            <w:tcW w:w="4680" w:type="dxa"/>
          </w:tcPr>
          <w:p>
            <w:pPr/>
            <w:r>
              <w:t xml:space="preserve">40 000</w:t>
            </w:r>
          </w:p>
        </w:tc>
      </w:tr>
      <w:tr>
        <w:tc>
          <w:tcPr>
            <w:tcW w:w="4680" w:type="dxa"/>
          </w:tcPr>
          <w:p>
            <w:pPr/>
            <w:r>
              <w:t xml:space="preserve">Pilotage transverse</w:t>
            </w:r>
          </w:p>
        </w:tc>
        <w:tc>
          <w:tcPr>
            <w:tcW w:w="4680" w:type="dxa"/>
          </w:tcPr>
          <w:p>
            <w:pPr/>
            <w:r>
              <w:t xml:space="preserve">45 000</w:t>
            </w:r>
          </w:p>
        </w:tc>
      </w:tr>
      <w:tr>
        <w:tc>
          <w:tcPr>
            <w:tcW w:w="4680" w:type="dxa"/>
          </w:tcPr>
          <w:p>
            <w:pPr/>
            <w:r>
              <w:rPr>
                <w:b/>
              </w:rPr>
              <w:t xml:space="preserve">Total HT</w:t>
            </w:r>
          </w:p>
        </w:tc>
        <w:tc>
          <w:tcPr>
            <w:tcW w:w="4680" w:type="dxa"/>
          </w:tcPr>
          <w:p>
            <w:pPr/>
            <w:r>
              <w:rPr>
                <w:b/>
              </w:rPr>
              <w:t xml:space="preserve">550 000</w:t>
            </w:r>
          </w:p>
        </w:tc>
      </w:tr>
      <w:tr>
        <w:tc>
          <w:tcPr>
            <w:tcW w:w="4680" w:type="dxa"/>
          </w:tcPr>
          <w:p>
            <w:pPr/>
            <w:r>
              <w:t xml:space="preserve">TVA 18 % (à ajuster selon le pays : 19,25 % au Cameroun, par ex.)</w:t>
            </w:r>
          </w:p>
        </w:tc>
        <w:tc>
          <w:tcPr>
            <w:tcW w:w="4680" w:type="dxa"/>
          </w:tcPr>
          <w:p>
            <w:pPr/>
            <w:r>
              <w:t xml:space="preserve">99 000</w:t>
            </w:r>
          </w:p>
        </w:tc>
      </w:tr>
      <w:tr>
        <w:tc>
          <w:tcPr>
            <w:tcW w:w="4680" w:type="dxa"/>
          </w:tcPr>
          <w:p>
            <w:pPr/>
            <w:r>
              <w:rPr>
                <w:b/>
              </w:rPr>
              <w:t xml:space="preserve">Total TTC</w:t>
            </w:r>
          </w:p>
        </w:tc>
        <w:tc>
          <w:tcPr>
            <w:tcW w:w="4680" w:type="dxa"/>
          </w:tcPr>
          <w:p>
            <w:pPr/>
            <w:r>
              <w:rPr>
                <w:b/>
              </w:rPr>
              <w:t xml:space="preserve">649 000</w:t>
            </w:r>
          </w:p>
        </w:tc>
      </w:tr>
    </w:tbl>
    <w:p>
      <w:pPr/>
      <w:r>
        <w:t xml:space="preserve">Contre-valeur indicative : 838 EUR HT, 989 EUR TTC (parité fixe 1 EUR = 655,957 FCFA) ; seul le montant en FCFA fait foi.</w:t>
      </w:r>
    </w:p>
    <w:p>
      <w:pPr>
        <w:pStyle w:val="Heading2"/>
      </w:pPr>
      <w:r>
        <w:t xml:space="preserve">7. Modalités de paiement &amp; conditions</w:t>
      </w:r>
    </w:p>
    <w:p>
      <w:pPr/>
      <w:r>
        <w:t xml:space="preserve">Le règlement se fait en 3 échéances liées à des livrables vérifiables, et 3 mois de support sont inclus après la mise en production.</w:t>
      </w:r>
    </w:p>
    <w:p>
      <w:pPr>
        <w:pStyle w:val="Heading3"/>
      </w:pPr>
      <w:r>
        <w:t xml:space="preserve">Échéancier de paiement</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Échéance</w:t>
            </w:r>
          </w:p>
        </w:tc>
        <w:tc>
          <w:tcPr>
            <w:tcW w:w="1872" w:type="dxa"/>
            <w:shd w:val="clear" w:color="auto" w:fill="F2F2F2"/>
          </w:tcPr>
          <w:p>
            <w:pPr/>
            <w:r>
              <w:t xml:space="preserve">Déclencheur</w:t>
            </w:r>
          </w:p>
        </w:tc>
        <w:tc>
          <w:tcPr>
            <w:tcW w:w="1872" w:type="dxa"/>
            <w:shd w:val="clear" w:color="auto" w:fill="F2F2F2"/>
          </w:tcPr>
          <w:p>
            <w:pPr/>
            <w:r>
              <w:t xml:space="preserve">%</w:t>
            </w:r>
          </w:p>
        </w:tc>
        <w:tc>
          <w:tcPr>
            <w:tcW w:w="1872" w:type="dxa"/>
            <w:shd w:val="clear" w:color="auto" w:fill="F2F2F2"/>
          </w:tcPr>
          <w:p>
            <w:pPr/>
            <w:r>
              <w:t xml:space="preserve">Montant HT (FCFA)</w:t>
            </w:r>
          </w:p>
        </w:tc>
        <w:tc>
          <w:tcPr>
            <w:tcW w:w="1872" w:type="dxa"/>
            <w:shd w:val="clear" w:color="auto" w:fill="F2F2F2"/>
          </w:tcPr>
          <w:p>
            <w:pPr/>
            <w:r>
              <w:t xml:space="preserve">Montant TTC (FCFA)</w:t>
            </w:r>
          </w:p>
        </w:tc>
      </w:tr>
      <w:tr>
        <w:tc>
          <w:tcPr>
            <w:tcW w:w="1872" w:type="dxa"/>
          </w:tcPr>
          <w:p>
            <w:pPr/>
            <w:r>
              <w:t xml:space="preserve">1</w:t>
            </w:r>
          </w:p>
        </w:tc>
        <w:tc>
          <w:tcPr>
            <w:tcW w:w="1872" w:type="dxa"/>
          </w:tcPr>
          <w:p>
            <w:pPr/>
            <w:r>
              <w:t xml:space="preserve">Signature du devis / bon de commande</w:t>
            </w:r>
          </w:p>
        </w:tc>
        <w:tc>
          <w:tcPr>
            <w:tcW w:w="1872" w:type="dxa"/>
          </w:tcPr>
          <w:p>
            <w:pPr/>
            <w:r>
              <w:t xml:space="preserve">40 %</w:t>
            </w:r>
          </w:p>
        </w:tc>
        <w:tc>
          <w:tcPr>
            <w:tcW w:w="1872" w:type="dxa"/>
          </w:tcPr>
          <w:p>
            <w:pPr/>
            <w:r>
              <w:t xml:space="preserve">220 000</w:t>
            </w:r>
          </w:p>
        </w:tc>
        <w:tc>
          <w:tcPr>
            <w:tcW w:w="1872" w:type="dxa"/>
          </w:tcPr>
          <w:p>
            <w:pPr/>
            <w:r>
              <w:t xml:space="preserve">259 600</w:t>
            </w:r>
          </w:p>
        </w:tc>
      </w:tr>
      <w:tr>
        <w:tc>
          <w:tcPr>
            <w:tcW w:w="1872" w:type="dxa"/>
          </w:tcPr>
          <w:p>
            <w:pPr/>
            <w:r>
              <w:t xml:space="preserve">2</w:t>
            </w:r>
          </w:p>
        </w:tc>
        <w:tc>
          <w:tcPr>
            <w:tcW w:w="1872" w:type="dxa"/>
          </w:tcPr>
          <w:p>
            <w:pPr/>
            <w:r>
              <w:t xml:space="preserve">Livraison de la version bêta (fin de phase 2, semaine 13)</w:t>
            </w:r>
          </w:p>
        </w:tc>
        <w:tc>
          <w:tcPr>
            <w:tcW w:w="1872" w:type="dxa"/>
          </w:tcPr>
          <w:p>
            <w:pPr/>
            <w:r>
              <w:t xml:space="preserve">40 %</w:t>
            </w:r>
          </w:p>
        </w:tc>
        <w:tc>
          <w:tcPr>
            <w:tcW w:w="1872" w:type="dxa"/>
          </w:tcPr>
          <w:p>
            <w:pPr/>
            <w:r>
              <w:t xml:space="preserve">220 000</w:t>
            </w:r>
          </w:p>
        </w:tc>
        <w:tc>
          <w:tcPr>
            <w:tcW w:w="1872" w:type="dxa"/>
          </w:tcPr>
          <w:p>
            <w:pPr/>
            <w:r>
              <w:t xml:space="preserve">259 600</w:t>
            </w:r>
          </w:p>
        </w:tc>
      </w:tr>
      <w:tr>
        <w:tc>
          <w:tcPr>
            <w:tcW w:w="1872" w:type="dxa"/>
          </w:tcPr>
          <w:p>
            <w:pPr/>
            <w:r>
              <w:t xml:space="preserve">3</w:t>
            </w:r>
          </w:p>
        </w:tc>
        <w:tc>
          <w:tcPr>
            <w:tcW w:w="1872" w:type="dxa"/>
          </w:tcPr>
          <w:p>
            <w:pPr/>
            <w:r>
              <w:t xml:space="preserve">Mise en production et PV de réception finale (semaine 18)</w:t>
            </w:r>
          </w:p>
        </w:tc>
        <w:tc>
          <w:tcPr>
            <w:tcW w:w="1872" w:type="dxa"/>
          </w:tcPr>
          <w:p>
            <w:pPr/>
            <w:r>
              <w:t xml:space="preserve">20 %</w:t>
            </w:r>
          </w:p>
        </w:tc>
        <w:tc>
          <w:tcPr>
            <w:tcW w:w="1872" w:type="dxa"/>
          </w:tcPr>
          <w:p>
            <w:pPr/>
            <w:r>
              <w:t xml:space="preserve">110 000</w:t>
            </w:r>
          </w:p>
        </w:tc>
        <w:tc>
          <w:tcPr>
            <w:tcW w:w="1872" w:type="dxa"/>
          </w:tcPr>
          <w:p>
            <w:pPr/>
            <w:r>
              <w:t xml:space="preserve">129 800</w:t>
            </w:r>
          </w:p>
        </w:tc>
      </w:tr>
      <w:tr>
        <w:tc>
          <w:tcPr>
            <w:tcW w:w="1872" w:type="dxa"/>
          </w:tcPr>
          <w:p>
            <w:pPr/>
          </w:p>
        </w:tc>
        <w:tc>
          <w:tcPr>
            <w:tcW w:w="1872" w:type="dxa"/>
          </w:tcPr>
          <w:p>
            <w:pPr/>
            <w:r>
              <w:rPr>
                <w:b/>
              </w:rPr>
              <w:t xml:space="preserve">Total</w:t>
            </w:r>
          </w:p>
        </w:tc>
        <w:tc>
          <w:tcPr>
            <w:tcW w:w="1872" w:type="dxa"/>
          </w:tcPr>
          <w:p>
            <w:pPr/>
            <w:r>
              <w:rPr>
                <w:b/>
              </w:rPr>
              <w:t xml:space="preserve">100 %</w:t>
            </w:r>
          </w:p>
        </w:tc>
        <w:tc>
          <w:tcPr>
            <w:tcW w:w="1872" w:type="dxa"/>
          </w:tcPr>
          <w:p>
            <w:pPr/>
            <w:r>
              <w:rPr>
                <w:b/>
              </w:rPr>
              <w:t xml:space="preserve">550 000</w:t>
            </w:r>
          </w:p>
        </w:tc>
        <w:tc>
          <w:tcPr>
            <w:tcW w:w="1872" w:type="dxa"/>
          </w:tcPr>
          <w:p>
            <w:pPr/>
            <w:r>
              <w:rPr>
                <w:b/>
              </w:rPr>
              <w:t xml:space="preserve">649 000</w:t>
            </w:r>
          </w:p>
        </w:tc>
      </w:tr>
    </w:tbl>
    <w:p>
      <w:pPr>
        <w:pStyle w:val="ListParagraph"/>
        <w:numPr>
          <w:ilvl w:val="0"/>
          <w:numId w:val="10"/>
        </w:numPr>
      </w:pPr>
      <w:r>
        <w:t xml:space="preserve">Paiement par virement bancaire ou mobile money entreprise, à 30 jours date de facture.</w:t>
      </w:r>
    </w:p>
    <w:p>
      <w:pPr>
        <w:pStyle w:val="ListParagraph"/>
        <w:numPr>
          <w:ilvl w:val="0"/>
          <w:numId w:val="10"/>
        </w:numPr>
      </w:pPr>
      <w:r>
        <w:t xml:space="preserve">Le démarrage des travaux est conditionné à la réception de l'acompte de 40 %.</w:t>
      </w:r>
    </w:p>
    <w:p>
      <w:pPr>
        <w:pStyle w:val="ListParagraph"/>
        <w:numPr>
          <w:ilvl w:val="0"/>
          <w:numId w:val="10"/>
        </w:numPr>
      </w:pPr>
      <w:r>
        <w:t xml:space="preserve">Tout retard de paiement supérieur à 15 jours suspend le planning d'autant.</w:t>
      </w:r>
    </w:p>
    <w:p>
      <w:pPr>
        <w:pStyle w:val="Heading3"/>
      </w:pPr>
      <w:r>
        <w:t xml:space="preserve">Support &amp; maintenance post-lancement</w:t>
      </w:r>
    </w:p>
    <w:p>
      <w:pPr>
        <w:pStyle w:val="ListParagraph"/>
        <w:numPr>
          <w:ilvl w:val="0"/>
          <w:numId w:val="11"/>
        </w:numPr>
      </w:pPr>
      <w:r>
        <w:rPr>
          <w:b/>
        </w:rPr>
        <w:t xml:space="preserve">3 mois de garantie et support offerts</w:t>
      </w:r>
      <w:r>
        <w:t xml:space="preserve"> à compter de la mise en production : correction de tout bug bloquant ou majeur, assistance utilisateurs par e-mail/WhatsApp (jours ouvrés, 8 h–18 h).</w:t>
      </w:r>
    </w:p>
    <w:p>
      <w:pPr>
        <w:pStyle w:val="ListParagraph"/>
        <w:numPr>
          <w:ilvl w:val="0"/>
          <w:numId w:val="11"/>
        </w:numPr>
      </w:pPr>
      <w:r>
        <w:t xml:space="preserve">Délais d'intervention pendant la garantie :</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Criticité</w:t>
            </w:r>
          </w:p>
        </w:tc>
        <w:tc>
          <w:tcPr>
            <w:tcW w:w="2340" w:type="dxa"/>
            <w:shd w:val="clear" w:color="auto" w:fill="F2F2F2"/>
          </w:tcPr>
          <w:p>
            <w:pPr/>
            <w:r>
              <w:t xml:space="preserve">Exemple</w:t>
            </w:r>
          </w:p>
        </w:tc>
        <w:tc>
          <w:tcPr>
            <w:tcW w:w="2340" w:type="dxa"/>
            <w:shd w:val="clear" w:color="auto" w:fill="F2F2F2"/>
          </w:tcPr>
          <w:p>
            <w:pPr/>
            <w:r>
              <w:t xml:space="preserve">Prise en charge</w:t>
            </w:r>
          </w:p>
        </w:tc>
        <w:tc>
          <w:tcPr>
            <w:tcW w:w="2340" w:type="dxa"/>
            <w:shd w:val="clear" w:color="auto" w:fill="F2F2F2"/>
          </w:tcPr>
          <w:p>
            <w:pPr/>
            <w:r>
              <w:t xml:space="preserve">Correction cible</w:t>
            </w:r>
          </w:p>
        </w:tc>
      </w:tr>
      <w:tr>
        <w:tc>
          <w:tcPr>
            <w:tcW w:w="2340" w:type="dxa"/>
          </w:tcPr>
          <w:p>
            <w:pPr/>
            <w:r>
              <w:t xml:space="preserve">Bloquante</w:t>
            </w:r>
          </w:p>
        </w:tc>
        <w:tc>
          <w:tcPr>
            <w:tcW w:w="2340" w:type="dxa"/>
          </w:tcPr>
          <w:p>
            <w:pPr/>
            <w:r>
              <w:t xml:space="preserve">Plateforme inaccessible, saisie impossible</w:t>
            </w:r>
          </w:p>
        </w:tc>
        <w:tc>
          <w:tcPr>
            <w:tcW w:w="2340" w:type="dxa"/>
          </w:tcPr>
          <w:p>
            <w:pPr/>
            <w:r>
              <w:t xml:space="preserve">4 h ouvrées</w:t>
            </w:r>
          </w:p>
        </w:tc>
        <w:tc>
          <w:tcPr>
            <w:tcW w:w="2340" w:type="dxa"/>
          </w:tcPr>
          <w:p>
            <w:pPr/>
            <w:r>
              <w:t xml:space="preserve">1 jour ouvré</w:t>
            </w:r>
          </w:p>
        </w:tc>
      </w:tr>
      <w:tr>
        <w:tc>
          <w:tcPr>
            <w:tcW w:w="2340" w:type="dxa"/>
          </w:tcPr>
          <w:p>
            <w:pPr/>
            <w:r>
              <w:t xml:space="preserve">Majeure</w:t>
            </w:r>
          </w:p>
        </w:tc>
        <w:tc>
          <w:tcPr>
            <w:tcW w:w="2340" w:type="dxa"/>
          </w:tcPr>
          <w:p>
            <w:pPr/>
            <w:r>
              <w:t xml:space="preserve">Un module ne calcule plus correctement</w:t>
            </w:r>
          </w:p>
        </w:tc>
        <w:tc>
          <w:tcPr>
            <w:tcW w:w="2340" w:type="dxa"/>
          </w:tcPr>
          <w:p>
            <w:pPr/>
            <w:r>
              <w:t xml:space="preserve">1 jour ouvré</w:t>
            </w:r>
          </w:p>
        </w:tc>
        <w:tc>
          <w:tcPr>
            <w:tcW w:w="2340" w:type="dxa"/>
          </w:tcPr>
          <w:p>
            <w:pPr/>
            <w:r>
              <w:t xml:space="preserve">3 jours ouvrés</w:t>
            </w:r>
          </w:p>
        </w:tc>
      </w:tr>
      <w:tr>
        <w:tc>
          <w:tcPr>
            <w:tcW w:w="2340" w:type="dxa"/>
          </w:tcPr>
          <w:p>
            <w:pPr/>
            <w:r>
              <w:t xml:space="preserve">Mineure</w:t>
            </w:r>
          </w:p>
        </w:tc>
        <w:tc>
          <w:tcPr>
            <w:tcW w:w="2340" w:type="dxa"/>
          </w:tcPr>
          <w:p>
            <w:pPr/>
            <w:r>
              <w:t xml:space="preserve">Libellé, affichage, confort</w:t>
            </w:r>
          </w:p>
        </w:tc>
        <w:tc>
          <w:tcPr>
            <w:tcW w:w="2340" w:type="dxa"/>
          </w:tcPr>
          <w:p>
            <w:pPr/>
            <w:r>
              <w:t xml:space="preserve">3 jours ouvrés</w:t>
            </w:r>
          </w:p>
        </w:tc>
        <w:tc>
          <w:tcPr>
            <w:tcW w:w="2340" w:type="dxa"/>
          </w:tcPr>
          <w:p>
            <w:pPr/>
            <w:r>
              <w:t xml:space="preserve">Prochaine version</w:t>
            </w:r>
          </w:p>
        </w:tc>
      </w:tr>
    </w:tbl>
    <w:p>
      <w:pPr>
        <w:pStyle w:val="ListParagraph"/>
        <w:numPr>
          <w:ilvl w:val="0"/>
          <w:numId w:val="12"/>
        </w:numPr>
      </w:pPr>
      <w:r>
        <w:rPr>
          <w:b/>
        </w:rPr>
        <w:t xml:space="preserve">Au-delà des 3 mois</w:t>
      </w:r>
      <w:r>
        <w:t xml:space="preserve"> (optionnel) : contrat de maintenance à </w:t>
      </w:r>
      <w:r>
        <w:rPr>
          <w:b/>
        </w:rPr>
        <w:t xml:space="preserve">6 500 FCFA HT/mois</w:t>
      </w:r>
      <w:r>
        <w:t xml:space="preserve"> (engagement 12 mois) comprenant correctifs, mises à jour de sécurité, sauvegardes supervisées, compatibilité nouvelles versions Android/iOS et 2 jours d'évolutions mineures par mois.</w:t>
      </w:r>
    </w:p>
    <w:p>
      <w:pPr>
        <w:pStyle w:val="Heading3"/>
      </w:pPr>
      <w:r>
        <w:t xml:space="preserve">Conditions générales</w:t>
      </w:r>
    </w:p>
    <w:p>
      <w:pPr>
        <w:pStyle w:val="ListParagraph"/>
        <w:numPr>
          <w:ilvl w:val="0"/>
          <w:numId w:val="13"/>
        </w:numPr>
      </w:pPr>
      <w:r>
        <w:rPr>
          <w:b/>
        </w:rPr>
        <w:t xml:space="preserve">Propriété intellectuelle</w:t>
      </w:r>
      <w:r>
        <w:t xml:space="preserve"> : le code source et les données sont cédés au client après paiement intégral ; les bibliothèques open source restent sous leurs licences respectives.</w:t>
      </w:r>
    </w:p>
    <w:p>
      <w:pPr>
        <w:pStyle w:val="ListParagraph"/>
        <w:numPr>
          <w:ilvl w:val="0"/>
          <w:numId w:val="13"/>
        </w:numPr>
      </w:pPr>
      <w:r>
        <w:rPr>
          <w:b/>
        </w:rPr>
        <w:t xml:space="preserve">Recette</w:t>
      </w:r>
      <w:r>
        <w:t xml:space="preserve"> : le client dispose de 10 jours ouvrés pour valider chaque livraison ; sans réserve écrite dans ce délai, la livraison est réputée acceptée.</w:t>
      </w:r>
    </w:p>
    <w:p>
      <w:pPr>
        <w:pStyle w:val="ListParagraph"/>
        <w:numPr>
          <w:ilvl w:val="0"/>
          <w:numId w:val="13"/>
        </w:numPr>
      </w:pPr>
      <w:r>
        <w:rPr>
          <w:b/>
        </w:rPr>
        <w:t xml:space="preserve">Évolutions de périmètre</w:t>
      </w:r>
      <w:r>
        <w:t xml:space="preserve"> : toute demande hors du périmètre décrit fait l'objet d'un avenant chiffré au TJM du profil concerné.</w:t>
      </w:r>
    </w:p>
    <w:p>
      <w:pPr>
        <w:pStyle w:val="ListParagraph"/>
        <w:numPr>
          <w:ilvl w:val="0"/>
          <w:numId w:val="13"/>
        </w:numPr>
      </w:pPr>
      <w:r>
        <w:rPr>
          <w:b/>
        </w:rPr>
        <w:t xml:space="preserve">Engagements du client</w:t>
      </w:r>
      <w:r>
        <w:t xml:space="preserve"> : désigner un référent projet, fournir les données du parc (fichier Excel) et les règles de gestion en phase 1, assurer la disponibilité des utilisateurs pour la recette et la formation.</w:t>
      </w:r>
    </w:p>
    <w:p>
      <w:pPr>
        <w:pStyle w:val="ListParagraph"/>
        <w:numPr>
          <w:ilvl w:val="0"/>
          <w:numId w:val="13"/>
        </w:numPr>
      </w:pPr>
      <w:r>
        <w:rPr>
          <w:b/>
        </w:rPr>
        <w:t xml:space="preserve">Confidentialité</w:t>
      </w:r>
      <w:r>
        <w:t xml:space="preserve"> : les deux parties s'engagent à ne pas divulguer les informations échangées dans le cadre du projet.</w:t>
      </w:r>
    </w:p>
    <w:p>
      <w:pPr>
        <w:pStyle w:val="Heading2"/>
      </w:pPr>
      <w:r>
        <w:t xml:space="preserve">8. Hors périmètre, options &amp; coûts récurrents</w:t>
      </w:r>
    </w:p>
    <w:p>
      <w:pPr/>
      <w:r>
        <w:t xml:space="preserve">Les éléments ci-dessous ne sont pas inclus dans le total ; les options peuvent être ajoutées à la commande ou plus tard.</w:t>
      </w:r>
    </w:p>
    <w:p>
      <w:pPr>
        <w:pStyle w:val="Heading3"/>
      </w:pPr>
      <w:r>
        <w:t xml:space="preserve">Options chiffrées</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Option</w:t>
            </w:r>
          </w:p>
        </w:tc>
        <w:tc>
          <w:tcPr>
            <w:tcW w:w="2340" w:type="dxa"/>
            <w:shd w:val="clear" w:color="auto" w:fill="F2F2F2"/>
          </w:tcPr>
          <w:p>
            <w:pPr/>
            <w:r>
              <w:t xml:space="preserve">Description</w:t>
            </w:r>
          </w:p>
        </w:tc>
        <w:tc>
          <w:tcPr>
            <w:tcW w:w="2340" w:type="dxa"/>
            <w:shd w:val="clear" w:color="auto" w:fill="F2F2F2"/>
          </w:tcPr>
          <w:p>
            <w:pPr/>
            <w:r>
              <w:t xml:space="preserve">Jours-homme</w:t>
            </w:r>
          </w:p>
        </w:tc>
        <w:tc>
          <w:tcPr>
            <w:tcW w:w="2340" w:type="dxa"/>
            <w:shd w:val="clear" w:color="auto" w:fill="F2F2F2"/>
          </w:tcPr>
          <w:p>
            <w:pPr/>
            <w:r>
              <w:t xml:space="preserve">Montant (FCFA HT)</w:t>
            </w:r>
          </w:p>
        </w:tc>
      </w:tr>
      <w:tr>
        <w:tc>
          <w:tcPr>
            <w:tcW w:w="2340" w:type="dxa"/>
          </w:tcPr>
          <w:p>
            <w:pPr/>
            <w:r>
              <w:t xml:space="preserve">O1 — Géolocalisation GPS temps réel</w:t>
            </w:r>
          </w:p>
        </w:tc>
        <w:tc>
          <w:tcPr>
            <w:tcW w:w="2340" w:type="dxa"/>
          </w:tcPr>
          <w:p>
            <w:pPr/>
            <w:r>
              <w:t xml:space="preserve">Intégration d'un boîtier/traceur GPS existant (API du fournisseur) : position sur carte, trajets, alertes de sortie de zone</w:t>
            </w:r>
          </w:p>
        </w:tc>
        <w:tc>
          <w:tcPr>
            <w:tcW w:w="2340" w:type="dxa"/>
          </w:tcPr>
          <w:p>
            <w:pPr/>
            <w:r>
              <w:t xml:space="preserve">10</w:t>
            </w:r>
          </w:p>
        </w:tc>
        <w:tc>
          <w:tcPr>
            <w:tcW w:w="2340" w:type="dxa"/>
          </w:tcPr>
          <w:p>
            <w:pPr/>
            <w:r>
              <w:t xml:space="preserve">33 000</w:t>
            </w:r>
          </w:p>
        </w:tc>
      </w:tr>
      <w:tr>
        <w:tc>
          <w:tcPr>
            <w:tcW w:w="2340" w:type="dxa"/>
          </w:tcPr>
          <w:p>
            <w:pPr/>
            <w:r>
              <w:t xml:space="preserve">O2 — Alertes SMS</w:t>
            </w:r>
          </w:p>
        </w:tc>
        <w:tc>
          <w:tcPr>
            <w:tcW w:w="2340" w:type="dxa"/>
          </w:tcPr>
          <w:p>
            <w:pPr/>
            <w:r>
              <w:t xml:space="preserve">Envoi des alertes critiques par SMS via un agrégateur local (hors coût des SMS)</w:t>
            </w:r>
          </w:p>
        </w:tc>
        <w:tc>
          <w:tcPr>
            <w:tcW w:w="2340" w:type="dxa"/>
          </w:tcPr>
          <w:p>
            <w:pPr/>
            <w:r>
              <w:t xml:space="preserve">3</w:t>
            </w:r>
          </w:p>
        </w:tc>
        <w:tc>
          <w:tcPr>
            <w:tcW w:w="2340" w:type="dxa"/>
          </w:tcPr>
          <w:p>
            <w:pPr/>
            <w:r>
              <w:t xml:space="preserve">10 000</w:t>
            </w:r>
          </w:p>
        </w:tc>
      </w:tr>
      <w:tr>
        <w:tc>
          <w:tcPr>
            <w:tcW w:w="2340" w:type="dxa"/>
          </w:tcPr>
          <w:p>
            <w:pPr/>
            <w:r>
              <w:t xml:space="preserve">O3 — Cartes carburant</w:t>
            </w:r>
          </w:p>
        </w:tc>
        <w:tc>
          <w:tcPr>
            <w:tcW w:w="2340" w:type="dxa"/>
          </w:tcPr>
          <w:p>
            <w:pPr/>
            <w:r>
              <w:t xml:space="preserve">Import automatique des transactions des cartes carburant du pétrolier (fichier ou API)</w:t>
            </w:r>
          </w:p>
        </w:tc>
        <w:tc>
          <w:tcPr>
            <w:tcW w:w="2340" w:type="dxa"/>
          </w:tcPr>
          <w:p>
            <w:pPr/>
            <w:r>
              <w:t xml:space="preserve">5</w:t>
            </w:r>
          </w:p>
        </w:tc>
        <w:tc>
          <w:tcPr>
            <w:tcW w:w="2340" w:type="dxa"/>
          </w:tcPr>
          <w:p>
            <w:pPr/>
            <w:r>
              <w:t xml:space="preserve">16 500</w:t>
            </w:r>
          </w:p>
        </w:tc>
      </w:tr>
      <w:tr>
        <w:tc>
          <w:tcPr>
            <w:tcW w:w="2340" w:type="dxa"/>
          </w:tcPr>
          <w:p>
            <w:pPr/>
            <w:r>
              <w:t xml:space="preserve">O4 — Multi-sociétés</w:t>
            </w:r>
          </w:p>
        </w:tc>
        <w:tc>
          <w:tcPr>
            <w:tcW w:w="2340" w:type="dxa"/>
          </w:tcPr>
          <w:p>
            <w:pPr/>
            <w:r>
              <w:t xml:space="preserve">Gestion de plusieurs entités ou filiales dans la même plateforme, données cloisonnées</w:t>
            </w:r>
          </w:p>
        </w:tc>
        <w:tc>
          <w:tcPr>
            <w:tcW w:w="2340" w:type="dxa"/>
          </w:tcPr>
          <w:p>
            <w:pPr/>
            <w:r>
              <w:t xml:space="preserve">6</w:t>
            </w:r>
          </w:p>
        </w:tc>
        <w:tc>
          <w:tcPr>
            <w:tcW w:w="2340" w:type="dxa"/>
          </w:tcPr>
          <w:p>
            <w:pPr/>
            <w:r>
              <w:t xml:space="preserve">19 500</w:t>
            </w:r>
          </w:p>
        </w:tc>
      </w:tr>
      <w:tr>
        <w:tc>
          <w:tcPr>
            <w:tcW w:w="2340" w:type="dxa"/>
          </w:tcPr>
          <w:p>
            <w:pPr/>
            <w:r>
              <w:t xml:space="preserve">O5 — Reprise de données historiques</w:t>
            </w:r>
          </w:p>
        </w:tc>
        <w:tc>
          <w:tcPr>
            <w:tcW w:w="2340" w:type="dxa"/>
          </w:tcPr>
          <w:p>
            <w:pPr/>
            <w:r>
              <w:t xml:space="preserve">Nettoyage et import de l'historique existant (pleins, entretiens) au-delà du fichier parc</w:t>
            </w:r>
          </w:p>
        </w:tc>
        <w:tc>
          <w:tcPr>
            <w:tcW w:w="2340" w:type="dxa"/>
          </w:tcPr>
          <w:p>
            <w:pPr/>
            <w:r>
              <w:t xml:space="preserve">4</w:t>
            </w:r>
          </w:p>
        </w:tc>
        <w:tc>
          <w:tcPr>
            <w:tcW w:w="2340" w:type="dxa"/>
          </w:tcPr>
          <w:p>
            <w:pPr/>
            <w:r>
              <w:t xml:space="preserve">11 000</w:t>
            </w:r>
          </w:p>
        </w:tc>
      </w:tr>
    </w:tbl>
    <w:p>
      <w:pPr>
        <w:pStyle w:val="Heading3"/>
      </w:pPr>
      <w:r>
        <w:t xml:space="preserve">Coûts récurrents à la charge du client (indicatifs)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Poste</w:t>
            </w:r>
          </w:p>
        </w:tc>
        <w:tc>
          <w:tcPr>
            <w:tcW w:w="4680" w:type="dxa"/>
            <w:shd w:val="clear" w:color="auto" w:fill="F2F2F2"/>
          </w:tcPr>
          <w:p>
            <w:pPr/>
            <w:r>
              <w:t xml:space="preserve">Estimation</w:t>
            </w:r>
          </w:p>
        </w:tc>
      </w:tr>
      <w:tr>
        <w:tc>
          <w:tcPr>
            <w:tcW w:w="4680" w:type="dxa"/>
          </w:tcPr>
          <w:p>
            <w:pPr/>
            <w:r>
              <w:t xml:space="preserve">Hébergement serveur cloud (VPS 4 vCPU / 8 Go, sauvegardes)</w:t>
            </w:r>
          </w:p>
        </w:tc>
        <w:tc>
          <w:tcPr>
            <w:tcW w:w="4680" w:type="dxa"/>
          </w:tcPr>
          <w:p>
            <w:pPr/>
            <w:r>
              <w:t xml:space="preserve">30 000 à 60 000 FCFA / mois</w:t>
            </w:r>
          </w:p>
        </w:tc>
      </w:tr>
      <w:tr>
        <w:tc>
          <w:tcPr>
            <w:tcW w:w="4680" w:type="dxa"/>
          </w:tcPr>
          <w:p>
            <w:pPr/>
            <w:r>
              <w:t xml:space="preserve">Nom de domaine + certificat SSL</w:t>
            </w:r>
          </w:p>
        </w:tc>
        <w:tc>
          <w:tcPr>
            <w:tcW w:w="4680" w:type="dxa"/>
          </w:tcPr>
          <w:p>
            <w:pPr/>
            <w:r>
              <w:t xml:space="preserve">10 000 à 20 000 FCFA / an (SSL gratuit via Let's Encrypt)</w:t>
            </w:r>
          </w:p>
        </w:tc>
      </w:tr>
      <w:tr>
        <w:tc>
          <w:tcPr>
            <w:tcW w:w="4680" w:type="dxa"/>
          </w:tcPr>
          <w:p>
            <w:pPr/>
            <w:r>
              <w:t xml:space="preserve">Compte développeur Apple</w:t>
            </w:r>
          </w:p>
        </w:tc>
        <w:tc>
          <w:tcPr>
            <w:tcW w:w="4680" w:type="dxa"/>
          </w:tcPr>
          <w:p>
            <w:pPr/>
            <w:r>
              <w:t xml:space="preserve">99 USD / an</w:t>
            </w:r>
          </w:p>
        </w:tc>
      </w:tr>
      <w:tr>
        <w:tc>
          <w:tcPr>
            <w:tcW w:w="4680" w:type="dxa"/>
          </w:tcPr>
          <w:p>
            <w:pPr/>
            <w:r>
              <w:t xml:space="preserve">Compte développeur Google Play</w:t>
            </w:r>
          </w:p>
        </w:tc>
        <w:tc>
          <w:tcPr>
            <w:tcW w:w="4680" w:type="dxa"/>
          </w:tcPr>
          <w:p>
            <w:pPr/>
            <w:r>
              <w:t xml:space="preserve">25 USD, paiement unique</w:t>
            </w:r>
          </w:p>
        </w:tc>
      </w:tr>
      <w:tr>
        <w:tc>
          <w:tcPr>
            <w:tcW w:w="4680" w:type="dxa"/>
          </w:tcPr>
          <w:p>
            <w:pPr/>
            <w:r>
              <w:t xml:space="preserve">Service d'e-mails transactionnels</w:t>
            </w:r>
          </w:p>
        </w:tc>
        <w:tc>
          <w:tcPr>
            <w:tcW w:w="4680" w:type="dxa"/>
          </w:tcPr>
          <w:p>
            <w:pPr/>
            <w:r>
              <w:t xml:space="preserve">Gratuit jusqu'à quelques milliers d'e-mails / mois</w:t>
            </w:r>
          </w:p>
        </w:tc>
      </w:tr>
    </w:tbl>
    <w:p>
      <w:pPr>
        <w:pStyle w:val="Heading3"/>
      </w:pPr>
      <w:r>
        <w:t xml:space="preserve">Exclusions</w:t>
      </w:r>
    </w:p>
    <w:p>
      <w:pPr>
        <w:pStyle w:val="ListParagraph"/>
        <w:numPr>
          <w:ilvl w:val="0"/>
          <w:numId w:val="14"/>
        </w:numPr>
      </w:pPr>
      <w:r>
        <w:t xml:space="preserve">Fourniture de matériel (smartphones, tablettes, boîtiers GPS, serveurs physiques).</w:t>
      </w:r>
    </w:p>
    <w:p>
      <w:pPr>
        <w:pStyle w:val="ListParagraph"/>
        <w:numPr>
          <w:ilvl w:val="0"/>
          <w:numId w:val="14"/>
        </w:numPr>
      </w:pPr>
      <w:r>
        <w:t xml:space="preserve">Interfaçage avec le logiciel comptable ou l'ERP du client (chiffrable sur demande).</w:t>
      </w:r>
    </w:p>
    <w:p>
      <w:pPr>
        <w:pStyle w:val="ListParagraph"/>
        <w:numPr>
          <w:ilvl w:val="0"/>
          <w:numId w:val="14"/>
        </w:numPr>
      </w:pPr>
      <w:r>
        <w:t xml:space="preserve">Saisie des données de production par le prestataire.</w:t>
      </w:r>
    </w:p>
    <w:p>
      <w:pPr>
        <w:pStyle w:val="Heading2"/>
      </w:pPr>
      <w:r>
        <w:t xml:space="preserve">9. Bon pour accord</w:t>
      </w:r>
    </w:p>
    <w:p>
      <w:pPr/>
      <w:r>
        <w:t xml:space="preserve">Pour accepter cette proposition, retourner ce devis daté, signé et revêtu du cachet de l'entreprise, avec la mention « Bon pour accord ».</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p>
        </w:tc>
        <w:tc>
          <w:tcPr>
            <w:tcW w:w="3120" w:type="dxa"/>
            <w:shd w:val="clear" w:color="auto" w:fill="F2F2F2"/>
          </w:tcPr>
          <w:p>
            <w:pPr/>
            <w:r>
              <w:t xml:space="preserve">Pour le client</w:t>
            </w:r>
          </w:p>
        </w:tc>
        <w:tc>
          <w:tcPr>
            <w:tcW w:w="3120" w:type="dxa"/>
            <w:shd w:val="clear" w:color="auto" w:fill="F2F2F2"/>
          </w:tcPr>
          <w:p>
            <w:pPr/>
            <w:r>
              <w:t xml:space="preserve">Pour le prestataire</w:t>
            </w:r>
          </w:p>
        </w:tc>
      </w:tr>
      <w:tr>
        <w:tc>
          <w:tcPr>
            <w:tcW w:w="3120" w:type="dxa"/>
          </w:tcPr>
          <w:p>
            <w:pPr/>
            <w:r>
              <w:t xml:space="preserve">Nom et fonction</w:t>
            </w:r>
          </w:p>
        </w:tc>
        <w:tc>
          <w:tcPr>
            <w:tcW w:w="3120" w:type="dxa"/>
          </w:tcPr>
          <w:p>
            <w:pPr/>
          </w:p>
        </w:tc>
        <w:tc>
          <w:tcPr>
            <w:tcW w:w="3120" w:type="dxa"/>
          </w:tcPr>
          <w:p>
            <w:pPr/>
          </w:p>
        </w:tc>
      </w:tr>
      <w:tr>
        <w:tc>
          <w:tcPr>
            <w:tcW w:w="3120" w:type="dxa"/>
          </w:tcPr>
          <w:p>
            <w:pPr/>
            <w:r>
              <w:t xml:space="preserve">Date</w:t>
            </w:r>
          </w:p>
        </w:tc>
        <w:tc>
          <w:tcPr>
            <w:tcW w:w="3120" w:type="dxa"/>
          </w:tcPr>
          <w:p>
            <w:pPr/>
          </w:p>
        </w:tc>
        <w:tc>
          <w:tcPr>
            <w:tcW w:w="3120" w:type="dxa"/>
          </w:tcPr>
          <w:p>
            <w:pPr/>
          </w:p>
        </w:tc>
      </w:tr>
      <w:tr>
        <w:tc>
          <w:tcPr>
            <w:tcW w:w="3120" w:type="dxa"/>
          </w:tcPr>
          <w:p>
            <w:pPr/>
            <w:r>
              <w:t xml:space="preserve">Signature et cachet</w:t>
            </w:r>
          </w:p>
        </w:tc>
        <w:tc>
          <w:tcPr>
            <w:tcW w:w="3120" w:type="dxa"/>
          </w:tcPr>
          <w:p>
            <w:pPr/>
          </w:p>
        </w:tc>
        <w:tc>
          <w:tcPr>
            <w:tcW w:w="3120" w:type="dxa"/>
          </w:tcPr>
          <w:p>
            <w:pPr/>
          </w:p>
        </w:tc>
      </w:tr>
    </w:tbl>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0"/>
  </w:num>
  <w:num w:numId="5">
    <w:abstractNumId w:val="0"/>
  </w:num>
  <w:num w:numId="6">
    <w:abstractNumId w:val="0"/>
  </w:num>
  <w:num w:numId="7">
    <w:abstractNumId w:val="0"/>
  </w:num>
  <w:num w:numId="8">
    <w:abstractNumId w:val="0"/>
  </w:num>
  <w:num w:numId="9">
    <w:abstractNumId w:val="0"/>
  </w:num>
  <w:num w:numId="10">
    <w:abstractNumId w:val="0"/>
  </w:num>
  <w:num w:numId="11">
    <w:abstractNumId w:val="0"/>
  </w:num>
  <w:num w:numId="12">
    <w:abstractNumId w:val="0"/>
  </w:num>
  <w:num w:numId="13">
    <w:abstractNumId w:val="0"/>
  </w:num>
  <w:num w:numId="14">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 Id="rId4" Type="http://schemas.openxmlformats.org/officeDocument/2006/relationships/image" Target="media/image2.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Devis — Plateforme de gestion des engins poids lourds</dc:title>
  <dc:description>Claude Docs node/3c32ab57-86d5@12 docx-w6</dc:description>
  <cp:revision>12</cp:revision>
</cp:coreProperties>
</file>