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59" w:rsidRDefault="000E58EC" w:rsidP="000E58EC">
      <w:pPr>
        <w:pStyle w:val="berschrift1"/>
      </w:pPr>
      <w:r>
        <w:t>PROV-graph description</w:t>
      </w:r>
    </w:p>
    <w:p w:rsidR="000E58EC" w:rsidRDefault="000E58EC" w:rsidP="000E58EC"/>
    <w:p w:rsidR="000E58EC" w:rsidRDefault="000E58EC" w:rsidP="000E58EC">
      <w:r>
        <w:t>The p</w:t>
      </w:r>
      <w:r>
        <w:t>rovenance</w:t>
      </w:r>
      <w:r>
        <w:t xml:space="preserve"> (PROV)</w:t>
      </w:r>
      <w:r>
        <w:t xml:space="preserve"> graph </w:t>
      </w:r>
      <w:r>
        <w:t>describes the</w:t>
      </w:r>
      <w:r>
        <w:t xml:space="preserve"> </w:t>
      </w:r>
      <w:r>
        <w:t>model-building</w:t>
      </w:r>
      <w:r>
        <w:t xml:space="preserve"> process including the data/literature basis, models, and</w:t>
      </w:r>
      <w:r>
        <w:t xml:space="preserve"> </w:t>
      </w:r>
      <w:r>
        <w:t xml:space="preserve">experiments. </w:t>
      </w:r>
      <w:r w:rsidR="00077E92" w:rsidRPr="00077E92">
        <w:t>The grey bar shows the reading direction and the chronological order in which the individual models were developed</w:t>
      </w:r>
      <w:r>
        <w:t xml:space="preserve">. The yellow area is a replication from the PROV-graph in </w:t>
      </w:r>
      <w:r>
        <w:fldChar w:fldCharType="begin"/>
      </w:r>
      <w:r>
        <w:instrText xml:space="preserve"> ADDIN ZOTERO_ITEM CSL_CITATION {"citationID":"lrW9WF8K","properties":{"formattedCitation":"(Haase et al., 2022)","plainCitation":"(Haase et al., 2022)","noteIndex":0},"citationItems":[{"id":10576,"uris":["http://zotero.org/users/5828758/items/DUTTA6GU"],"uri":["http://zotero.org/users/5828758/items/DUTTA6GU"],"itemData":{"id":10576,"type":"paper-conference","title":"Site Choice in Recreational Fisheries - Towards an Agent-Based Approach","container-title":"2022 Winter Simulation Conference (WSC)","publisher":"IEEE","publisher-place":"Singapore","page":"819-830","source":"DOI.org (Crossref)","event":"2022 Winter Simulation Conference (WSC)","event-place":"Singapore","abstract":"The site choice decisions of recreational fishers (anglers) have important implications for fish stocks, fisheries management, and coastal economies by influencing catch rates and determining where economic values are created. However, the mechanisms of site choice are poorly understood. In this paper, we make the first steps toward applying agent-based modeling to improve the understanding of site choice decisions. Using an exploratory approach, we identified travel distance dependent on angler origin as a key element in site choice to rebuild travel patterns and distances. The 5-year average catches had a subdominant role for the travel patterns but could recreate the angler’s distribution among the fishing locations realistically. Utility functions combined both factors, but further model development and more realistic angler agents and catch rates are required to understand anglers’ site choices in more detail.","URL":"https://ieeexplore.ieee.org/document/10015240/","DOI":"10.1109/WSC57314.2022.10015240","ISBN":"978-1-66547-661-4","language":"en","author":[{"family":"Haase","given":"Kevin"},{"family":"Strehlow","given":"Harry V."},{"family":"Lewin","given":"Wolf-Christian"},{"family":"Reinhardt","given":"Oliver"},{"family":"Uhrmacher","given":"Adelinde M."}],"issued":{"date-parts":[["2022",12,11]]},"accessed":{"date-parts":[["2023",2,8]]}}}],"schema":"https://github.com/citation-style-language/schema/raw/master/csl-citation.json"} </w:instrText>
      </w:r>
      <w:r>
        <w:fldChar w:fldCharType="separate"/>
      </w:r>
      <w:r w:rsidRPr="000E58EC">
        <w:rPr>
          <w:rFonts w:ascii="Calibri" w:hAnsi="Calibri" w:cs="Calibri"/>
        </w:rPr>
        <w:t xml:space="preserve">Haase et al. </w:t>
      </w:r>
      <w:r>
        <w:rPr>
          <w:rFonts w:ascii="Calibri" w:hAnsi="Calibri" w:cs="Calibri"/>
        </w:rPr>
        <w:t>(</w:t>
      </w:r>
      <w:r w:rsidRPr="000E58EC">
        <w:rPr>
          <w:rFonts w:ascii="Calibri" w:hAnsi="Calibri" w:cs="Calibri"/>
        </w:rPr>
        <w:t>2022)</w:t>
      </w:r>
      <w:r>
        <w:fldChar w:fldCharType="end"/>
      </w:r>
      <w:r>
        <w:t>, the transition area from yellow to red shows the testing of different modelling tools</w:t>
      </w:r>
      <w:r w:rsidR="00077E92">
        <w:t xml:space="preserve"> (ML3 and NetLogo)</w:t>
      </w:r>
      <w:r>
        <w:t xml:space="preserve">, and the reddish area depictures the model building to test different decision theories and processing orders. </w:t>
      </w:r>
      <w:r w:rsidR="00077E92" w:rsidRPr="00077E92">
        <w:t>NetLogo is abbreviated with NL.</w:t>
      </w:r>
      <w:r w:rsidR="00077E92">
        <w:t xml:space="preserve"> </w:t>
      </w:r>
      <w:bookmarkStart w:id="0" w:name="_GoBack"/>
      <w:bookmarkEnd w:id="0"/>
      <w:r>
        <w:t>The data</w:t>
      </w:r>
      <w:r>
        <w:t xml:space="preserve"> </w:t>
      </w:r>
      <w:r>
        <w:t>entities with numbers in brackets refer to: [1]</w:t>
      </w:r>
      <w:r>
        <w:t xml:space="preserve"> </w:t>
      </w:r>
      <w:r>
        <w:fldChar w:fldCharType="begin"/>
      </w:r>
      <w:r>
        <w:instrText xml:space="preserve"> ADDIN ZOTERO_ITEM CSL_CITATION {"citationID":"eifZmWVb","properties":{"formattedCitation":"(Lewin et al., 2021)","plainCitation":"(Lewin et al., 2021)","noteIndex":0},"citationItems":[{"id":4766,"uris":["http://zotero.org/users/5828758/items/VH9N7VFV"],"uri":["http://zotero.org/users/5828758/items/VH9N7VFV"],"itemData":{"id":4766,"type":"article-journal","title":"Who travels how far: German Baltic sea anglers’ travel distances as precondition for fisheries management and coastal spatial planning","container-title":"Ocean and Coastal Management","page":"1-16","volume":"209","source":"Zotero","abstract":"The marine recreational fishery (MRF) is a branch of coastal tourism with noticeable effects on fish stocks, coastal environments, and economies. Nevertheless, little research has been conducted on its spatio-temporal dimensions. This study extends the knowledge about marine angling tourism by investigating activity hot spots and travel distances of 8429 German Baltic Sea anglers using data obtained from an on-site survey which was conducted from 2015 to 2019. Fishing from shores, small boats, and charter vessels, the anglers targeted primarily Atlantic cod and to a lesser extent sea trout, salmon, and herring. Angling effort clustered along the coast primarily according to the available infrastructure and the spatial distribution of the target species. The medians of travel distances differed among the target species and decreased from salmon (261 km), cod (194 km), sea trout (63 km) to herring (44 km). The high percentage of non-resident anglers, most of whom travelled more than 200 km to the coast, suggested that particularly cod and salmonid anglers conducted multiple-day trips and contributed to local economies. The period 2016/17 was characterised by a severe decline of the western Baltic cod stock and the first-time implementation of harvest limitations. The number and travel dis­ tances of cod charter vessel anglers decreased after the implementation, whereas the numbers and travel dis­ tances of boat and shore anglers targeting cod remained constant despite overall decreasing catch rates. The delineation of areas where marine recreational fishing concentrates may help to define areas relevant for tourism development and destination branding and equally those that require a risk assessment to evaluate the potential extent and consequences of MRF on local environments. The travel distances underlined the heterogeneity of the MRF and may be used as tool to identify stakeholder groups, to estimate the species-specific attractiveness for resident and non-resident anglers, and to evaluate the outcome of management actions.","DOI":"10.1016/j.ocecoaman.2021.105640","language":"en","author":[{"family":"Lewin","given":"Wolf-Christian"},{"family":"Weltersbach","given":"Marc Simon"},{"family":"Haase","given":"Kevin"},{"family":"Strehlow","given":"Harry Vincent"}],"issued":{"date-parts":[["2021"]]}}}],"schema":"https://github.com/citation-style-language/schema/raw/master/csl-citation.json"} </w:instrText>
      </w:r>
      <w:r>
        <w:fldChar w:fldCharType="separate"/>
      </w:r>
      <w:r w:rsidRPr="000E58EC">
        <w:rPr>
          <w:rFonts w:ascii="Calibri" w:hAnsi="Calibri" w:cs="Calibri"/>
        </w:rPr>
        <w:t>Lewin et al.</w:t>
      </w:r>
      <w:r>
        <w:rPr>
          <w:rFonts w:ascii="Calibri" w:hAnsi="Calibri" w:cs="Calibri"/>
        </w:rPr>
        <w:t xml:space="preserve"> (</w:t>
      </w:r>
      <w:r w:rsidRPr="000E58EC">
        <w:rPr>
          <w:rFonts w:ascii="Calibri" w:hAnsi="Calibri" w:cs="Calibri"/>
        </w:rPr>
        <w:t>2021)</w:t>
      </w:r>
      <w:r>
        <w:fldChar w:fldCharType="end"/>
      </w:r>
      <w:r>
        <w:t>, [2] On-site data, [3] Off-site data</w:t>
      </w:r>
      <w:r>
        <w:t>. R</w:t>
      </w:r>
      <w:r w:rsidRPr="000E58EC">
        <w:t>ounded rectangles</w:t>
      </w:r>
      <w:r>
        <w:t xml:space="preserve"> indicate entities, whereby solid blue indicates models and </w:t>
      </w:r>
      <w:r w:rsidR="00077E92" w:rsidRPr="00077E92">
        <w:t>blue frame</w:t>
      </w:r>
      <w:r w:rsidR="00077E92">
        <w:t xml:space="preserve">s experiment (E.) or model output data (D.). </w:t>
      </w:r>
      <w:r w:rsidR="00077E92">
        <w:t>The names of the models correspond to the model names in the publication.</w:t>
      </w:r>
      <w:r w:rsidR="00077E92">
        <w:t xml:space="preserve"> Normal rectangles with grey frames indicate activities such as model building (b.) or analysis (a.). </w:t>
      </w:r>
    </w:p>
    <w:p w:rsidR="00077E92" w:rsidRDefault="00077E92" w:rsidP="000E58EC"/>
    <w:p w:rsidR="000E58EC" w:rsidRPr="000E58EC" w:rsidRDefault="000E58EC" w:rsidP="000E58EC">
      <w:r>
        <w:rPr>
          <w:noProof/>
        </w:rPr>
        <w:drawing>
          <wp:inline distT="0" distB="0" distL="0" distR="0">
            <wp:extent cx="4391025" cy="29184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e.png"/>
                    <pic:cNvPicPr/>
                  </pic:nvPicPr>
                  <pic:blipFill>
                    <a:blip r:embed="rId4">
                      <a:extLst>
                        <a:ext uri="{28A0092B-C50C-407E-A947-70E740481C1C}">
                          <a14:useLocalDpi xmlns:a14="http://schemas.microsoft.com/office/drawing/2010/main" val="0"/>
                        </a:ext>
                      </a:extLst>
                    </a:blip>
                    <a:stretch>
                      <a:fillRect/>
                    </a:stretch>
                  </pic:blipFill>
                  <pic:spPr>
                    <a:xfrm>
                      <a:off x="0" y="0"/>
                      <a:ext cx="4429656" cy="2944100"/>
                    </a:xfrm>
                    <a:prstGeom prst="rect">
                      <a:avLst/>
                    </a:prstGeom>
                  </pic:spPr>
                </pic:pic>
              </a:graphicData>
            </a:graphic>
          </wp:inline>
        </w:drawing>
      </w:r>
    </w:p>
    <w:sectPr w:rsidR="000E58EC" w:rsidRPr="000E58EC" w:rsidSect="002C43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EC"/>
    <w:rsid w:val="00077E92"/>
    <w:rsid w:val="000E58EC"/>
    <w:rsid w:val="002C436F"/>
    <w:rsid w:val="008F6D59"/>
    <w:rsid w:val="00E05D3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D693"/>
  <w15:chartTrackingRefBased/>
  <w15:docId w15:val="{77E51ECC-D657-41DA-815D-685CB59C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5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58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927</Words>
  <Characters>5284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Haase</dc:creator>
  <cp:keywords/>
  <dc:description/>
  <cp:lastModifiedBy>Kevin Haase</cp:lastModifiedBy>
  <cp:revision>1</cp:revision>
  <dcterms:created xsi:type="dcterms:W3CDTF">2023-08-16T15:07:00Z</dcterms:created>
  <dcterms:modified xsi:type="dcterms:W3CDTF">2023-08-16T15:25:00Z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93c45dc8-0e9b-467a-9fc0-d3ba889353bf</vt:lpwstr>
  </property>
  <property fmtid="{D5CDD505-2E9C-101B-9397-08002B2CF9AE}" pid="3" name="ZOTERO_PREF_1">
    <vt:lpwstr>&lt;data data-version="3" zotero-version="5.0.74"&gt;&lt;session id="4nxDOhIc"/&gt;&lt;style id="http://www.zotero.org/styles/elsevier-harvard" hasBibliography="1" bibliographyStyleHasBeenSet="0"/&gt;&lt;prefs&gt;&lt;pref name="fieldType" value="Field"/&gt;&lt;/prefs&gt;&lt;/data&gt;</vt:lpwstr>
  </property>
</Properties>
</file>