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610" w:rsidRPr="00594AB3" w:rsidRDefault="00360690" w:rsidP="003D3DD0">
      <w:pPr>
        <w:rPr>
          <w:rFonts w:ascii="Arial" w:hAnsi="Arial" w:cs="Arial"/>
          <w:sz w:val="22"/>
          <w:szCs w:val="22"/>
        </w:rPr>
      </w:pPr>
      <w:r w:rsidRPr="00594AB3">
        <w:rPr>
          <w:rFonts w:ascii="Arial" w:hAnsi="Arial" w:cs="Arial"/>
          <w:sz w:val="22"/>
          <w:szCs w:val="22"/>
        </w:rPr>
        <w:t xml:space="preserve">Dear </w:t>
      </w:r>
      <w:r w:rsidR="005D4C37" w:rsidRPr="00594AB3">
        <w:rPr>
          <w:rFonts w:ascii="Arial" w:hAnsi="Arial" w:cs="Arial"/>
          <w:sz w:val="22"/>
          <w:szCs w:val="22"/>
        </w:rPr>
        <w:t>E</w:t>
      </w:r>
      <w:r w:rsidRPr="00594AB3">
        <w:rPr>
          <w:rFonts w:ascii="Arial" w:hAnsi="Arial" w:cs="Arial"/>
          <w:sz w:val="22"/>
          <w:szCs w:val="22"/>
        </w:rPr>
        <w:t>ditor,</w:t>
      </w:r>
    </w:p>
    <w:p w:rsidR="00614B60" w:rsidRDefault="00614B60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We would like to submit our manuscript, “</w:t>
      </w:r>
      <w:r w:rsidRPr="00614B60">
        <w:rPr>
          <w:rFonts w:ascii="Arial" w:hAnsi="Arial" w:cs="Arial"/>
          <w:i/>
          <w:iCs/>
          <w:sz w:val="22"/>
          <w:szCs w:val="22"/>
        </w:rPr>
        <w:t xml:space="preserve">KRAS </w:t>
      </w:r>
      <w:r w:rsidRPr="00614B60">
        <w:rPr>
          <w:rFonts w:ascii="Arial" w:hAnsi="Arial" w:cs="Arial"/>
          <w:sz w:val="22"/>
          <w:szCs w:val="22"/>
        </w:rPr>
        <w:t>allele-specific genetic interactions</w:t>
      </w:r>
      <w:r>
        <w:rPr>
          <w:rFonts w:ascii="Arial" w:hAnsi="Arial" w:cs="Arial"/>
          <w:sz w:val="22"/>
          <w:szCs w:val="22"/>
        </w:rPr>
        <w:t xml:space="preserve">,” to be published in </w:t>
      </w:r>
      <w:r w:rsidRPr="002A183D">
        <w:rPr>
          <w:rFonts w:ascii="Arial" w:hAnsi="Arial" w:cs="Arial"/>
          <w:i/>
          <w:iCs/>
          <w:sz w:val="22"/>
          <w:szCs w:val="22"/>
        </w:rPr>
        <w:t>Nature Genetics</w:t>
      </w:r>
      <w:r>
        <w:rPr>
          <w:rFonts w:ascii="Arial" w:hAnsi="Arial" w:cs="Arial"/>
          <w:sz w:val="22"/>
          <w:szCs w:val="22"/>
        </w:rPr>
        <w:t xml:space="preserve"> as an Analysis</w:t>
      </w:r>
      <w:r w:rsidR="00F83825">
        <w:rPr>
          <w:rFonts w:ascii="Arial" w:hAnsi="Arial" w:cs="Arial"/>
          <w:sz w:val="22"/>
          <w:szCs w:val="22"/>
        </w:rPr>
        <w:t xml:space="preserve"> paper</w:t>
      </w:r>
      <w:r>
        <w:rPr>
          <w:rFonts w:ascii="Arial" w:hAnsi="Arial" w:cs="Arial"/>
          <w:sz w:val="22"/>
          <w:szCs w:val="22"/>
        </w:rPr>
        <w:t xml:space="preserve">. </w:t>
      </w:r>
    </w:p>
    <w:p w:rsidR="009923B7" w:rsidRDefault="00614B60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Oncogenic mutations to </w:t>
      </w:r>
      <w:r>
        <w:rPr>
          <w:rFonts w:ascii="Arial" w:hAnsi="Arial" w:cs="Arial"/>
          <w:i/>
          <w:iCs/>
          <w:sz w:val="22"/>
          <w:szCs w:val="22"/>
        </w:rPr>
        <w:t>KRAS</w:t>
      </w:r>
      <w:r>
        <w:rPr>
          <w:rFonts w:ascii="Arial" w:hAnsi="Arial" w:cs="Arial"/>
          <w:sz w:val="22"/>
          <w:szCs w:val="22"/>
        </w:rPr>
        <w:t xml:space="preserve"> drive a large portion of colorectal adenocarcinoma, lung adenocarcinoma, multiple myeloma, and pancreatic adenocarcinoma tumors. </w:t>
      </w:r>
      <w:r w:rsidR="00FB7E1E">
        <w:rPr>
          <w:rFonts w:ascii="Arial" w:hAnsi="Arial" w:cs="Arial"/>
          <w:sz w:val="22"/>
          <w:szCs w:val="22"/>
        </w:rPr>
        <w:t xml:space="preserve">These mutations occur primarily at just four hotspots of this small GTPase, resulting in hyperactivation of the protein and an increase in pro-growth signaling. </w:t>
      </w:r>
      <w:r>
        <w:rPr>
          <w:rFonts w:ascii="Arial" w:hAnsi="Arial" w:cs="Arial"/>
          <w:sz w:val="22"/>
          <w:szCs w:val="22"/>
        </w:rPr>
        <w:t xml:space="preserve">While many researchers regard </w:t>
      </w:r>
      <w:r w:rsidR="00FB7E1E">
        <w:rPr>
          <w:rFonts w:ascii="Arial" w:hAnsi="Arial" w:cs="Arial"/>
          <w:sz w:val="22"/>
          <w:szCs w:val="22"/>
        </w:rPr>
        <w:t xml:space="preserve">these mutations as equivalent, there is mounting evidence that they are in fact distinct, with their differential biochemical and signaling behavior having strong effects on a tumor’s biology (for example, we recently published on the effects of the </w:t>
      </w:r>
      <w:r w:rsidR="009923B7" w:rsidRPr="009923B7">
        <w:rPr>
          <w:rFonts w:ascii="Arial" w:hAnsi="Arial" w:cs="Arial"/>
          <w:sz w:val="22"/>
          <w:szCs w:val="22"/>
        </w:rPr>
        <w:t>KRAS</w:t>
      </w:r>
      <w:r w:rsidR="009923B7" w:rsidRPr="009923B7">
        <w:rPr>
          <w:rFonts w:ascii="Arial" w:hAnsi="Arial" w:cs="Arial"/>
          <w:sz w:val="22"/>
          <w:szCs w:val="22"/>
          <w:vertAlign w:val="superscript"/>
        </w:rPr>
        <w:t>A146T</w:t>
      </w:r>
      <w:r w:rsidR="009923B7">
        <w:rPr>
          <w:rFonts w:ascii="Arial" w:hAnsi="Arial" w:cs="Arial"/>
          <w:sz w:val="22"/>
          <w:szCs w:val="22"/>
        </w:rPr>
        <w:t xml:space="preserve"> allele </w:t>
      </w:r>
      <w:r w:rsidR="00FB7E1E" w:rsidRPr="009923B7">
        <w:rPr>
          <w:rFonts w:ascii="Arial" w:hAnsi="Arial" w:cs="Arial"/>
          <w:sz w:val="22"/>
          <w:szCs w:val="22"/>
        </w:rPr>
        <w:t>in</w:t>
      </w:r>
      <w:r w:rsidR="00FB7E1E">
        <w:rPr>
          <w:rFonts w:ascii="Arial" w:hAnsi="Arial" w:cs="Arial"/>
          <w:sz w:val="22"/>
          <w:szCs w:val="22"/>
        </w:rPr>
        <w:t xml:space="preserve"> Poulin </w:t>
      </w:r>
      <w:r w:rsidR="00FB7E1E">
        <w:rPr>
          <w:rFonts w:ascii="Arial" w:hAnsi="Arial" w:cs="Arial"/>
          <w:i/>
          <w:iCs/>
          <w:sz w:val="22"/>
          <w:szCs w:val="22"/>
        </w:rPr>
        <w:t>et al.</w:t>
      </w:r>
      <w:r w:rsidR="00FB7E1E">
        <w:rPr>
          <w:rFonts w:ascii="Arial" w:hAnsi="Arial" w:cs="Arial"/>
          <w:sz w:val="22"/>
          <w:szCs w:val="22"/>
        </w:rPr>
        <w:t>, 2019).</w:t>
      </w:r>
      <w:r w:rsidR="009923B7">
        <w:rPr>
          <w:rFonts w:ascii="Arial" w:hAnsi="Arial" w:cs="Arial"/>
          <w:sz w:val="22"/>
          <w:szCs w:val="22"/>
        </w:rPr>
        <w:t xml:space="preserve"> </w:t>
      </w:r>
    </w:p>
    <w:p w:rsidR="00614B60" w:rsidRDefault="009923B7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436BD">
        <w:rPr>
          <w:rFonts w:ascii="Arial" w:hAnsi="Arial" w:cs="Arial"/>
          <w:sz w:val="22"/>
          <w:szCs w:val="22"/>
        </w:rPr>
        <w:t>In this analysis,</w:t>
      </w:r>
      <w:r w:rsidR="00384D09">
        <w:rPr>
          <w:rFonts w:ascii="Arial" w:hAnsi="Arial" w:cs="Arial"/>
          <w:sz w:val="22"/>
          <w:szCs w:val="22"/>
        </w:rPr>
        <w:t xml:space="preserve"> we</w:t>
      </w:r>
      <w:r>
        <w:rPr>
          <w:rFonts w:ascii="Arial" w:hAnsi="Arial" w:cs="Arial"/>
          <w:sz w:val="22"/>
          <w:szCs w:val="22"/>
        </w:rPr>
        <w:t xml:space="preserve"> sought </w:t>
      </w:r>
      <w:r>
        <w:rPr>
          <w:rFonts w:ascii="Arial" w:hAnsi="Arial" w:cs="Arial"/>
          <w:sz w:val="22"/>
          <w:szCs w:val="22"/>
        </w:rPr>
        <w:t xml:space="preserve">to identify </w:t>
      </w:r>
      <w:r>
        <w:rPr>
          <w:rFonts w:ascii="Arial" w:hAnsi="Arial" w:cs="Arial"/>
          <w:i/>
          <w:iCs/>
          <w:sz w:val="22"/>
          <w:szCs w:val="22"/>
        </w:rPr>
        <w:t>KRAS</w:t>
      </w:r>
      <w:r>
        <w:rPr>
          <w:rFonts w:ascii="Arial" w:hAnsi="Arial" w:cs="Arial"/>
          <w:sz w:val="22"/>
          <w:szCs w:val="22"/>
        </w:rPr>
        <w:t xml:space="preserve"> allele-specific genetic interactions</w:t>
      </w:r>
      <w:r>
        <w:rPr>
          <w:rFonts w:ascii="Arial" w:hAnsi="Arial" w:cs="Arial"/>
          <w:sz w:val="22"/>
          <w:szCs w:val="22"/>
        </w:rPr>
        <w:t xml:space="preserve"> by analyzing the mutations of thousands of tumor samples from these four cancers and the results of a genome-wide CRISPR-Cas9 knockout screen</w:t>
      </w:r>
      <w:r w:rsidR="00B97FEB">
        <w:rPr>
          <w:rFonts w:ascii="Arial" w:hAnsi="Arial" w:cs="Arial"/>
          <w:sz w:val="22"/>
          <w:szCs w:val="22"/>
        </w:rPr>
        <w:t xml:space="preserve"> from the Dependency Mapping project</w:t>
      </w:r>
      <w:r>
        <w:rPr>
          <w:rFonts w:ascii="Arial" w:hAnsi="Arial" w:cs="Arial"/>
          <w:sz w:val="22"/>
          <w:szCs w:val="22"/>
        </w:rPr>
        <w:t xml:space="preserve">. The results of the analysis detailed in the submitted manuscript lead to the following </w:t>
      </w:r>
      <w:r w:rsidR="007436BD">
        <w:rPr>
          <w:rFonts w:ascii="Arial" w:hAnsi="Arial" w:cs="Arial"/>
          <w:sz w:val="22"/>
          <w:szCs w:val="22"/>
        </w:rPr>
        <w:t>primary</w:t>
      </w:r>
      <w:r>
        <w:rPr>
          <w:rFonts w:ascii="Arial" w:hAnsi="Arial" w:cs="Arial"/>
          <w:sz w:val="22"/>
          <w:szCs w:val="22"/>
        </w:rPr>
        <w:t xml:space="preserve"> conclusions:</w:t>
      </w:r>
    </w:p>
    <w:p w:rsidR="009923B7" w:rsidRDefault="009923B7" w:rsidP="003D3DD0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mutational signatures to elucidate the latent mutational processes impacting a tumor, we demonstrated that the </w:t>
      </w:r>
      <w:r w:rsidR="002A183D">
        <w:rPr>
          <w:rFonts w:ascii="Arial" w:hAnsi="Arial" w:cs="Arial"/>
          <w:sz w:val="22"/>
          <w:szCs w:val="22"/>
        </w:rPr>
        <w:t>frequencies</w:t>
      </w:r>
      <w:r>
        <w:rPr>
          <w:rFonts w:ascii="Arial" w:hAnsi="Arial" w:cs="Arial"/>
          <w:sz w:val="22"/>
          <w:szCs w:val="22"/>
        </w:rPr>
        <w:t xml:space="preserve"> of the various </w:t>
      </w:r>
      <w:r>
        <w:rPr>
          <w:rFonts w:ascii="Arial" w:hAnsi="Arial" w:cs="Arial"/>
          <w:i/>
          <w:iCs/>
          <w:sz w:val="22"/>
          <w:szCs w:val="22"/>
        </w:rPr>
        <w:t>KRAS</w:t>
      </w:r>
      <w:r>
        <w:rPr>
          <w:rFonts w:ascii="Arial" w:hAnsi="Arial" w:cs="Arial"/>
          <w:sz w:val="22"/>
          <w:szCs w:val="22"/>
        </w:rPr>
        <w:t xml:space="preserve"> alleles was not </w:t>
      </w:r>
      <w:r w:rsidR="007436BD">
        <w:rPr>
          <w:rFonts w:ascii="Arial" w:hAnsi="Arial" w:cs="Arial"/>
          <w:sz w:val="22"/>
          <w:szCs w:val="22"/>
        </w:rPr>
        <w:t>solely</w:t>
      </w:r>
      <w:r>
        <w:rPr>
          <w:rFonts w:ascii="Arial" w:hAnsi="Arial" w:cs="Arial"/>
          <w:sz w:val="22"/>
          <w:szCs w:val="22"/>
        </w:rPr>
        <w:t xml:space="preserve"> determined by the</w:t>
      </w:r>
      <w:r w:rsidR="001D55B2">
        <w:rPr>
          <w:rFonts w:ascii="Arial" w:hAnsi="Arial" w:cs="Arial"/>
          <w:sz w:val="22"/>
          <w:szCs w:val="22"/>
        </w:rPr>
        <w:t xml:space="preserve"> active</w:t>
      </w:r>
      <w:r>
        <w:rPr>
          <w:rFonts w:ascii="Arial" w:hAnsi="Arial" w:cs="Arial"/>
          <w:sz w:val="22"/>
          <w:szCs w:val="22"/>
        </w:rPr>
        <w:t xml:space="preserve"> mutagenic forces. This suggested that much of the selection of </w:t>
      </w:r>
      <w:r w:rsidRPr="009923B7">
        <w:rPr>
          <w:rFonts w:ascii="Arial" w:hAnsi="Arial" w:cs="Arial"/>
          <w:i/>
          <w:iCs/>
          <w:sz w:val="22"/>
          <w:szCs w:val="22"/>
        </w:rPr>
        <w:t>KRAS</w:t>
      </w:r>
      <w:r>
        <w:rPr>
          <w:rFonts w:ascii="Arial" w:hAnsi="Arial" w:cs="Arial"/>
          <w:sz w:val="22"/>
          <w:szCs w:val="22"/>
        </w:rPr>
        <w:t xml:space="preserve"> alleles </w:t>
      </w:r>
      <w:r w:rsidRPr="009923B7">
        <w:rPr>
          <w:rFonts w:ascii="Arial" w:hAnsi="Arial" w:cs="Arial"/>
          <w:sz w:val="22"/>
          <w:szCs w:val="22"/>
        </w:rPr>
        <w:t>was</w:t>
      </w:r>
      <w:r>
        <w:rPr>
          <w:rFonts w:ascii="Arial" w:hAnsi="Arial" w:cs="Arial"/>
          <w:sz w:val="22"/>
          <w:szCs w:val="22"/>
        </w:rPr>
        <w:t xml:space="preserve"> </w:t>
      </w:r>
      <w:r w:rsidR="00B97FEB">
        <w:rPr>
          <w:rFonts w:ascii="Arial" w:hAnsi="Arial" w:cs="Arial"/>
          <w:sz w:val="22"/>
          <w:szCs w:val="22"/>
        </w:rPr>
        <w:t>driven by the distinct biological properties of the mutant protein</w:t>
      </w:r>
      <w:r>
        <w:rPr>
          <w:rFonts w:ascii="Arial" w:hAnsi="Arial" w:cs="Arial"/>
          <w:sz w:val="22"/>
          <w:szCs w:val="22"/>
        </w:rPr>
        <w:t xml:space="preserve">. </w:t>
      </w:r>
    </w:p>
    <w:p w:rsidR="009923B7" w:rsidRDefault="00B97FEB" w:rsidP="003D3DD0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such, we identified genes that tended to comutate or were less likely to comutate with each </w:t>
      </w:r>
      <w:r>
        <w:rPr>
          <w:rFonts w:ascii="Arial" w:hAnsi="Arial" w:cs="Arial"/>
          <w:i/>
          <w:iCs/>
          <w:sz w:val="22"/>
          <w:szCs w:val="22"/>
        </w:rPr>
        <w:t>KRAS</w:t>
      </w:r>
      <w:r>
        <w:rPr>
          <w:rFonts w:ascii="Arial" w:hAnsi="Arial" w:cs="Arial"/>
          <w:sz w:val="22"/>
          <w:szCs w:val="22"/>
        </w:rPr>
        <w:t xml:space="preserve"> allele</w:t>
      </w:r>
      <w:r w:rsidR="007436BD">
        <w:rPr>
          <w:rFonts w:ascii="Arial" w:hAnsi="Arial" w:cs="Arial"/>
          <w:sz w:val="22"/>
          <w:szCs w:val="22"/>
        </w:rPr>
        <w:t xml:space="preserve"> as these would be cooperating or redundant/inhibitory events, respectively</w:t>
      </w:r>
      <w:r>
        <w:rPr>
          <w:rFonts w:ascii="Arial" w:hAnsi="Arial" w:cs="Arial"/>
          <w:sz w:val="22"/>
          <w:szCs w:val="22"/>
        </w:rPr>
        <w:t>. These interactions described unique biological properties of the alleles that were tissue-specific.</w:t>
      </w:r>
    </w:p>
    <w:p w:rsidR="00B97FEB" w:rsidRDefault="00B97FEB" w:rsidP="003D3DD0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alleles were further characterized by their differential dependency on other genes in the genome.</w:t>
      </w:r>
      <w:r w:rsidR="001D55B2">
        <w:rPr>
          <w:rFonts w:ascii="Arial" w:hAnsi="Arial" w:cs="Arial"/>
          <w:sz w:val="22"/>
          <w:szCs w:val="22"/>
        </w:rPr>
        <w:t xml:space="preserve"> </w:t>
      </w:r>
      <w:r w:rsidR="002A183D">
        <w:rPr>
          <w:rFonts w:ascii="Arial" w:hAnsi="Arial" w:cs="Arial"/>
          <w:sz w:val="22"/>
          <w:szCs w:val="22"/>
        </w:rPr>
        <w:t>This</w:t>
      </w:r>
      <w:r w:rsidR="001D55B2">
        <w:rPr>
          <w:rFonts w:ascii="Arial" w:hAnsi="Arial" w:cs="Arial"/>
          <w:sz w:val="22"/>
          <w:szCs w:val="22"/>
        </w:rPr>
        <w:t xml:space="preserve"> revealed </w:t>
      </w:r>
      <w:r w:rsidR="002A183D">
        <w:rPr>
          <w:rFonts w:ascii="Arial" w:hAnsi="Arial" w:cs="Arial"/>
          <w:sz w:val="22"/>
          <w:szCs w:val="22"/>
        </w:rPr>
        <w:t>dependencies on specific genes and cellular processes</w:t>
      </w:r>
      <w:r w:rsidR="001D55B2">
        <w:rPr>
          <w:rFonts w:ascii="Arial" w:hAnsi="Arial" w:cs="Arial"/>
          <w:sz w:val="22"/>
          <w:szCs w:val="22"/>
        </w:rPr>
        <w:t xml:space="preserve"> that were specific to individual alleles.</w:t>
      </w:r>
    </w:p>
    <w:p w:rsidR="002A183D" w:rsidRDefault="002A183D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analysis presents a unique viewpoint of the highly complex genetic network of </w:t>
      </w:r>
      <w:r>
        <w:rPr>
          <w:rFonts w:ascii="Arial" w:hAnsi="Arial" w:cs="Arial"/>
          <w:i/>
          <w:iCs/>
          <w:sz w:val="22"/>
          <w:szCs w:val="22"/>
        </w:rPr>
        <w:t>KRAS</w:t>
      </w:r>
      <w:r>
        <w:rPr>
          <w:rFonts w:ascii="Arial" w:hAnsi="Arial" w:cs="Arial"/>
          <w:sz w:val="22"/>
          <w:szCs w:val="22"/>
        </w:rPr>
        <w:t>. Importantly, this network is both allele- and tissue-specific</w:t>
      </w:r>
      <w:r w:rsidR="00384D09">
        <w:rPr>
          <w:rFonts w:ascii="Arial" w:hAnsi="Arial" w:cs="Arial"/>
          <w:sz w:val="22"/>
          <w:szCs w:val="22"/>
        </w:rPr>
        <w:t xml:space="preserve"> </w:t>
      </w:r>
      <w:r w:rsidR="007436BD">
        <w:rPr>
          <w:rFonts w:ascii="Arial" w:hAnsi="Arial" w:cs="Arial"/>
          <w:sz w:val="22"/>
          <w:szCs w:val="22"/>
        </w:rPr>
        <w:t>determined by how</w:t>
      </w:r>
      <w:r w:rsidR="00384D09">
        <w:rPr>
          <w:rFonts w:ascii="Arial" w:hAnsi="Arial" w:cs="Arial"/>
          <w:sz w:val="22"/>
          <w:szCs w:val="22"/>
        </w:rPr>
        <w:t xml:space="preserve"> the distinct biological properties of the different </w:t>
      </w:r>
      <w:r w:rsidR="00384D09">
        <w:rPr>
          <w:rFonts w:ascii="Arial" w:hAnsi="Arial" w:cs="Arial"/>
          <w:i/>
          <w:iCs/>
          <w:sz w:val="22"/>
          <w:szCs w:val="22"/>
        </w:rPr>
        <w:t>KRAS</w:t>
      </w:r>
      <w:r w:rsidR="00384D09">
        <w:rPr>
          <w:rFonts w:ascii="Arial" w:hAnsi="Arial" w:cs="Arial"/>
          <w:sz w:val="22"/>
          <w:szCs w:val="22"/>
        </w:rPr>
        <w:t xml:space="preserve"> mutations interact within the existing signaling context of the organ</w:t>
      </w:r>
      <w:r>
        <w:rPr>
          <w:rFonts w:ascii="Arial" w:hAnsi="Arial" w:cs="Arial"/>
          <w:sz w:val="22"/>
          <w:szCs w:val="22"/>
        </w:rPr>
        <w:t>. We believe this is true for all oncogenes, giving this analysis an impact far broader than a single gene. Indeed, we believe this manuscript to be an example of the nuanced information that can only be gleaned from this model of oncogenes</w:t>
      </w:r>
      <w:r w:rsidR="00384D09">
        <w:rPr>
          <w:rFonts w:ascii="Arial" w:hAnsi="Arial" w:cs="Arial"/>
          <w:sz w:val="22"/>
          <w:szCs w:val="22"/>
        </w:rPr>
        <w:t xml:space="preserve">, a model that </w:t>
      </w:r>
      <w:r>
        <w:rPr>
          <w:rFonts w:ascii="Arial" w:hAnsi="Arial" w:cs="Arial"/>
          <w:sz w:val="22"/>
          <w:szCs w:val="22"/>
        </w:rPr>
        <w:t>is essential for their complete understanding.</w:t>
      </w:r>
      <w:r w:rsidR="00384D09">
        <w:rPr>
          <w:rFonts w:ascii="Arial" w:hAnsi="Arial" w:cs="Arial"/>
          <w:sz w:val="22"/>
          <w:szCs w:val="22"/>
        </w:rPr>
        <w:t xml:space="preserve"> For this reason, this study will appeal to the broad and diverse audience of </w:t>
      </w:r>
      <w:r w:rsidR="00384D09">
        <w:rPr>
          <w:rFonts w:ascii="Arial" w:hAnsi="Arial" w:cs="Arial"/>
          <w:i/>
          <w:iCs/>
          <w:sz w:val="22"/>
          <w:szCs w:val="22"/>
        </w:rPr>
        <w:t>Nature Genetics</w:t>
      </w:r>
      <w:r w:rsidR="00384D09">
        <w:rPr>
          <w:rFonts w:ascii="Arial" w:hAnsi="Arial" w:cs="Arial"/>
          <w:sz w:val="22"/>
          <w:szCs w:val="22"/>
        </w:rPr>
        <w:t>.</w:t>
      </w:r>
    </w:p>
    <w:p w:rsidR="007436BD" w:rsidRDefault="007436BD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</w:p>
    <w:p w:rsidR="003D3DD0" w:rsidRDefault="003D3DD0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</w:p>
    <w:p w:rsidR="007436BD" w:rsidRDefault="00957658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Below </w:t>
      </w:r>
      <w:r w:rsidR="003D3DD0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a list of recommended referees:</w:t>
      </w:r>
    </w:p>
    <w:p w:rsidR="003D3DD0" w:rsidRDefault="003D3DD0" w:rsidP="003D3DD0">
      <w:pPr>
        <w:pStyle w:val="ListParagraph"/>
        <w:numPr>
          <w:ilvl w:val="0"/>
          <w:numId w:val="4"/>
        </w:num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Referee One</w:t>
      </w:r>
      <w:r w:rsidR="00957658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referee.one@univeristy.edu</w:t>
      </w:r>
    </w:p>
    <w:p w:rsidR="003D3DD0" w:rsidRDefault="003D3DD0" w:rsidP="003D3DD0">
      <w:pPr>
        <w:pStyle w:val="ListParagraph"/>
        <w:numPr>
          <w:ilvl w:val="0"/>
          <w:numId w:val="4"/>
        </w:num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Referee </w:t>
      </w:r>
      <w:r>
        <w:rPr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>, referee.</w:t>
      </w:r>
      <w:r>
        <w:rPr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>@univeristy.edu</w:t>
      </w:r>
    </w:p>
    <w:p w:rsidR="003D3DD0" w:rsidRDefault="003D3DD0" w:rsidP="003D3DD0">
      <w:pPr>
        <w:pStyle w:val="ListParagraph"/>
        <w:numPr>
          <w:ilvl w:val="0"/>
          <w:numId w:val="4"/>
        </w:numPr>
        <w:tabs>
          <w:tab w:val="left" w:pos="5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Referee </w:t>
      </w:r>
      <w:r>
        <w:rPr>
          <w:rFonts w:ascii="Arial" w:hAnsi="Arial" w:cs="Arial"/>
          <w:sz w:val="22"/>
          <w:szCs w:val="22"/>
        </w:rPr>
        <w:t>Three</w:t>
      </w:r>
      <w:r>
        <w:rPr>
          <w:rFonts w:ascii="Arial" w:hAnsi="Arial" w:cs="Arial"/>
          <w:sz w:val="22"/>
          <w:szCs w:val="22"/>
        </w:rPr>
        <w:t>, referee.</w:t>
      </w:r>
      <w:r>
        <w:rPr>
          <w:rFonts w:ascii="Arial" w:hAnsi="Arial" w:cs="Arial"/>
          <w:sz w:val="22"/>
          <w:szCs w:val="22"/>
        </w:rPr>
        <w:t>three</w:t>
      </w:r>
      <w:r>
        <w:rPr>
          <w:rFonts w:ascii="Arial" w:hAnsi="Arial" w:cs="Arial"/>
          <w:sz w:val="22"/>
          <w:szCs w:val="22"/>
        </w:rPr>
        <w:t>@univeristy.edu</w:t>
      </w:r>
    </w:p>
    <w:p w:rsidR="007436BD" w:rsidRDefault="007436BD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</w:p>
    <w:p w:rsidR="007436BD" w:rsidRDefault="007436BD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</w:p>
    <w:p w:rsidR="003D3DD0" w:rsidRDefault="003D3DD0" w:rsidP="003D3DD0">
      <w:pPr>
        <w:widowControl w:val="0"/>
        <w:tabs>
          <w:tab w:val="left" w:pos="540"/>
        </w:tabs>
        <w:rPr>
          <w:rFonts w:ascii="Arial" w:hAnsi="Arial" w:cs="Arial"/>
          <w:sz w:val="22"/>
          <w:szCs w:val="22"/>
        </w:rPr>
      </w:pPr>
    </w:p>
    <w:p w:rsidR="003D3DD0" w:rsidRDefault="003D3DD0" w:rsidP="003D3DD0">
      <w:pPr>
        <w:widowControl w:val="0"/>
        <w:tabs>
          <w:tab w:val="left" w:pos="540"/>
        </w:tabs>
        <w:rPr>
          <w:rFonts w:ascii="Arial" w:hAnsi="Arial" w:cs="Arial"/>
          <w:sz w:val="22"/>
          <w:szCs w:val="22"/>
        </w:rPr>
      </w:pPr>
    </w:p>
    <w:p w:rsidR="003D3DD0" w:rsidRDefault="003D3DD0" w:rsidP="003D3DD0">
      <w:pPr>
        <w:widowControl w:val="0"/>
        <w:tabs>
          <w:tab w:val="left" w:pos="540"/>
        </w:tabs>
        <w:rPr>
          <w:rFonts w:ascii="Arial" w:hAnsi="Arial" w:cs="Arial"/>
          <w:sz w:val="22"/>
          <w:szCs w:val="22"/>
        </w:rPr>
      </w:pPr>
    </w:p>
    <w:p w:rsidR="007436BD" w:rsidRPr="007436BD" w:rsidRDefault="007436BD" w:rsidP="003D3DD0">
      <w:pPr>
        <w:widowControl w:val="0"/>
        <w:tabs>
          <w:tab w:val="left" w:pos="540"/>
        </w:tabs>
        <w:rPr>
          <w:rFonts w:ascii="Arial" w:hAnsi="Arial" w:cs="Arial"/>
          <w:sz w:val="22"/>
          <w:szCs w:val="22"/>
        </w:rPr>
      </w:pPr>
      <w:r w:rsidRPr="007436BD">
        <w:rPr>
          <w:rFonts w:ascii="Arial" w:hAnsi="Arial" w:cs="Arial"/>
          <w:sz w:val="22"/>
          <w:szCs w:val="22"/>
        </w:rPr>
        <w:t>We confirm that this manuscript has not been published elsewhere and is not under consideration by another journal.</w:t>
      </w:r>
      <w:r>
        <w:rPr>
          <w:rFonts w:ascii="Arial" w:hAnsi="Arial" w:cs="Arial"/>
          <w:sz w:val="22"/>
          <w:szCs w:val="22"/>
        </w:rPr>
        <w:t xml:space="preserve"> </w:t>
      </w:r>
      <w:r w:rsidRPr="007436BD">
        <w:rPr>
          <w:rFonts w:ascii="Arial" w:hAnsi="Arial" w:cs="Arial"/>
          <w:sz w:val="22"/>
          <w:szCs w:val="22"/>
        </w:rPr>
        <w:t>All authors have approved the manuscript and agree with its submission to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Nature Genetics</w:t>
      </w:r>
      <w:r>
        <w:rPr>
          <w:rFonts w:ascii="Arial" w:hAnsi="Arial" w:cs="Arial"/>
          <w:sz w:val="22"/>
          <w:szCs w:val="22"/>
        </w:rPr>
        <w:t>.</w:t>
      </w:r>
    </w:p>
    <w:p w:rsidR="00FB7E1E" w:rsidRDefault="00FB7E1E" w:rsidP="003D3DD0">
      <w:pPr>
        <w:tabs>
          <w:tab w:val="left" w:pos="540"/>
        </w:tabs>
        <w:rPr>
          <w:rFonts w:ascii="Arial" w:hAnsi="Arial" w:cs="Arial"/>
          <w:sz w:val="22"/>
          <w:szCs w:val="22"/>
        </w:rPr>
      </w:pPr>
    </w:p>
    <w:p w:rsidR="007436BD" w:rsidRPr="006819B1" w:rsidRDefault="00FB7E1E" w:rsidP="003D3DD0">
      <w:pPr>
        <w:rPr>
          <w:rFonts w:ascii="Arial" w:hAnsi="Arial" w:cs="Arial"/>
          <w:sz w:val="22"/>
          <w:szCs w:val="22"/>
        </w:rPr>
      </w:pPr>
      <w:r w:rsidRPr="00FB7E1E">
        <w:rPr>
          <w:rFonts w:ascii="Arial" w:hAnsi="Arial" w:cs="Arial"/>
          <w:sz w:val="22"/>
          <w:szCs w:val="22"/>
        </w:rPr>
        <w:t>Poulin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et al</w:t>
      </w:r>
      <w:r w:rsidRPr="00FB7E1E">
        <w:rPr>
          <w:rFonts w:ascii="Arial" w:hAnsi="Arial" w:cs="Arial"/>
          <w:sz w:val="22"/>
          <w:szCs w:val="22"/>
        </w:rPr>
        <w:t>. Tissue-Specific Oncogenic Activity of KRAS</w:t>
      </w:r>
      <w:r w:rsidRPr="00FB7E1E">
        <w:rPr>
          <w:rFonts w:ascii="Arial" w:hAnsi="Arial" w:cs="Arial"/>
          <w:sz w:val="22"/>
          <w:szCs w:val="22"/>
          <w:vertAlign w:val="superscript"/>
        </w:rPr>
        <w:t>A146T</w:t>
      </w:r>
      <w:r w:rsidRPr="00FB7E1E">
        <w:rPr>
          <w:rFonts w:ascii="Arial" w:hAnsi="Arial" w:cs="Arial"/>
          <w:sz w:val="22"/>
          <w:szCs w:val="22"/>
        </w:rPr>
        <w:t xml:space="preserve">. </w:t>
      </w:r>
      <w:r w:rsidRPr="00FB7E1E">
        <w:rPr>
          <w:rFonts w:ascii="Arial" w:hAnsi="Arial" w:cs="Arial"/>
          <w:i/>
          <w:iCs/>
          <w:sz w:val="22"/>
          <w:szCs w:val="22"/>
        </w:rPr>
        <w:t>Cancer discovery</w:t>
      </w:r>
      <w:r w:rsidRPr="00FB7E1E">
        <w:rPr>
          <w:rFonts w:ascii="Arial" w:hAnsi="Arial" w:cs="Arial"/>
          <w:sz w:val="22"/>
          <w:szCs w:val="22"/>
        </w:rPr>
        <w:t>, 9(6):738–755, 6 2019.</w:t>
      </w:r>
    </w:p>
    <w:sectPr w:rsidR="007436BD" w:rsidRPr="006819B1" w:rsidSect="0038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687A"/>
    <w:multiLevelType w:val="hybridMultilevel"/>
    <w:tmpl w:val="6786EFDE"/>
    <w:lvl w:ilvl="0" w:tplc="B9D2389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5A2C6E"/>
    <w:multiLevelType w:val="hybridMultilevel"/>
    <w:tmpl w:val="6F581C5C"/>
    <w:lvl w:ilvl="0" w:tplc="B9D2389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F34F33"/>
    <w:multiLevelType w:val="hybridMultilevel"/>
    <w:tmpl w:val="EB7E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310A7"/>
    <w:multiLevelType w:val="hybridMultilevel"/>
    <w:tmpl w:val="B7B0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3"/>
    <w:rsid w:val="00013EBD"/>
    <w:rsid w:val="0007363D"/>
    <w:rsid w:val="000817EC"/>
    <w:rsid w:val="00142822"/>
    <w:rsid w:val="00180C4C"/>
    <w:rsid w:val="00191E22"/>
    <w:rsid w:val="001D55B2"/>
    <w:rsid w:val="001F30A7"/>
    <w:rsid w:val="0020579C"/>
    <w:rsid w:val="002244C8"/>
    <w:rsid w:val="00262F8D"/>
    <w:rsid w:val="002A183D"/>
    <w:rsid w:val="002B046A"/>
    <w:rsid w:val="002F0485"/>
    <w:rsid w:val="00360690"/>
    <w:rsid w:val="00374FA3"/>
    <w:rsid w:val="00384D09"/>
    <w:rsid w:val="003C43D5"/>
    <w:rsid w:val="003D3DD0"/>
    <w:rsid w:val="0045113C"/>
    <w:rsid w:val="00452D71"/>
    <w:rsid w:val="00486A18"/>
    <w:rsid w:val="00494AF2"/>
    <w:rsid w:val="004C19B8"/>
    <w:rsid w:val="005872B3"/>
    <w:rsid w:val="00594AB3"/>
    <w:rsid w:val="005A18A4"/>
    <w:rsid w:val="005D4C37"/>
    <w:rsid w:val="005D71EC"/>
    <w:rsid w:val="00601EDD"/>
    <w:rsid w:val="006036DD"/>
    <w:rsid w:val="00614B60"/>
    <w:rsid w:val="00625C89"/>
    <w:rsid w:val="00626C61"/>
    <w:rsid w:val="00642BAE"/>
    <w:rsid w:val="0066687B"/>
    <w:rsid w:val="006819B1"/>
    <w:rsid w:val="00694F8D"/>
    <w:rsid w:val="006D1485"/>
    <w:rsid w:val="006F2530"/>
    <w:rsid w:val="00736498"/>
    <w:rsid w:val="00742CDD"/>
    <w:rsid w:val="007436BD"/>
    <w:rsid w:val="007461E5"/>
    <w:rsid w:val="007E38E8"/>
    <w:rsid w:val="00800895"/>
    <w:rsid w:val="00802DD9"/>
    <w:rsid w:val="00815E9D"/>
    <w:rsid w:val="00850095"/>
    <w:rsid w:val="00867ED3"/>
    <w:rsid w:val="008E54F0"/>
    <w:rsid w:val="009552B2"/>
    <w:rsid w:val="00957658"/>
    <w:rsid w:val="00977602"/>
    <w:rsid w:val="009923B7"/>
    <w:rsid w:val="009A6CA0"/>
    <w:rsid w:val="00A10812"/>
    <w:rsid w:val="00A52610"/>
    <w:rsid w:val="00A57469"/>
    <w:rsid w:val="00A962A2"/>
    <w:rsid w:val="00AD35A5"/>
    <w:rsid w:val="00B32B5F"/>
    <w:rsid w:val="00B34078"/>
    <w:rsid w:val="00B46D91"/>
    <w:rsid w:val="00B97FEB"/>
    <w:rsid w:val="00CD1CDF"/>
    <w:rsid w:val="00CE47D8"/>
    <w:rsid w:val="00D02277"/>
    <w:rsid w:val="00D0237E"/>
    <w:rsid w:val="00D43FCB"/>
    <w:rsid w:val="00D54D52"/>
    <w:rsid w:val="00DE6C2F"/>
    <w:rsid w:val="00E77D7D"/>
    <w:rsid w:val="00EC7A15"/>
    <w:rsid w:val="00F83825"/>
    <w:rsid w:val="00F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DCDA4"/>
  <w15:chartTrackingRefBased/>
  <w15:docId w15:val="{041234F7-FF5E-034E-A8A7-A3B1C7FD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B6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3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Cook</dc:creator>
  <cp:keywords/>
  <dc:description/>
  <cp:lastModifiedBy>Joshua Cook</cp:lastModifiedBy>
  <cp:revision>7</cp:revision>
  <dcterms:created xsi:type="dcterms:W3CDTF">2020-04-29T12:52:00Z</dcterms:created>
  <dcterms:modified xsi:type="dcterms:W3CDTF">2020-04-29T14:36:00Z</dcterms:modified>
</cp:coreProperties>
</file>