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4BE57" w14:textId="77777777" w:rsidR="006A5190" w:rsidRPr="005727E0" w:rsidRDefault="006A5190" w:rsidP="005727E0">
      <w:r w:rsidRPr="005727E0">
        <w:t>METHODS</w:t>
      </w:r>
    </w:p>
    <w:p w14:paraId="04080BC7" w14:textId="7D9C3612" w:rsidR="006A5190" w:rsidRPr="005727E0" w:rsidRDefault="006A5190" w:rsidP="005727E0">
      <w:pPr>
        <w:pStyle w:val="Heading2"/>
      </w:pPr>
      <w:r w:rsidRPr="005727E0">
        <w:t>Data</w:t>
      </w:r>
    </w:p>
    <w:p w14:paraId="43B893AE" w14:textId="474025B5" w:rsidR="006A5190" w:rsidRPr="005727E0" w:rsidRDefault="001A0586" w:rsidP="005727E0">
      <w:r w:rsidRPr="005727E0">
        <w:t>Whole genome sequencing (WGS), whole exome sequencing (WXS), and targeted gene panel sequencing data was collected</w:t>
      </w:r>
      <w:r w:rsidR="00913E67" w:rsidRPr="005727E0">
        <w:t xml:space="preserve"> </w:t>
      </w:r>
      <w:r w:rsidRPr="005727E0">
        <w:t>of</w:t>
      </w:r>
      <w:r w:rsidR="00913E67" w:rsidRPr="005727E0">
        <w:t xml:space="preserve"> </w:t>
      </w:r>
      <w:r w:rsidRPr="005727E0">
        <w:t>colorectal adenocarcinoma (COADREAD), lung adenocarcinoma (LUAD), multiple myeloma (MM), pancreatic adenocarcinoma (PAAD), and skin cutaneous melanoma (SKCM).</w:t>
      </w:r>
      <w:r w:rsidR="00913E67" w:rsidRPr="005727E0">
        <w:t xml:space="preserve"> </w:t>
      </w:r>
      <w:r w:rsidR="00C646F5" w:rsidRPr="005727E0">
        <w:t>WXS and WGS</w:t>
      </w:r>
      <w:r w:rsidR="006A5190" w:rsidRPr="005727E0">
        <w:t xml:space="preserve"> data were downloaded from</w:t>
      </w:r>
      <w:r w:rsidR="00AB63DC" w:rsidRPr="005727E0">
        <w:t xml:space="preserve"> cBioportal </w:t>
      </w:r>
      <w:r w:rsidR="00641DB0" w:rsidRPr="005727E0">
        <w:t>[</w:t>
      </w:r>
      <w:r w:rsidR="005727E0" w:rsidRPr="005727E0">
        <w:t>23550210</w:t>
      </w:r>
      <w:r w:rsidR="005727E0">
        <w:t xml:space="preserve">, </w:t>
      </w:r>
      <w:r w:rsidR="005727E0" w:rsidRPr="005727E0">
        <w:t>22588877</w:t>
      </w:r>
      <w:r w:rsidR="00641DB0" w:rsidRPr="005727E0">
        <w:t>], which include</w:t>
      </w:r>
      <w:r w:rsidR="005727E0">
        <w:t>d</w:t>
      </w:r>
      <w:r w:rsidR="00641DB0" w:rsidRPr="005727E0">
        <w:t xml:space="preserve"> the </w:t>
      </w:r>
      <w:r w:rsidR="005727E0">
        <w:t>relevant</w:t>
      </w:r>
      <w:r w:rsidR="00694F45" w:rsidRPr="005727E0">
        <w:t xml:space="preserve"> </w:t>
      </w:r>
      <w:r w:rsidR="00641DB0" w:rsidRPr="005727E0">
        <w:t>TCGA</w:t>
      </w:r>
      <w:r w:rsidR="005727E0">
        <w:t xml:space="preserve"> projects</w:t>
      </w:r>
      <w:r w:rsidR="00641DB0" w:rsidRPr="005727E0">
        <w:t xml:space="preserve"> and other smaller studies</w:t>
      </w:r>
      <w:r w:rsidR="00902234">
        <w:t>.</w:t>
      </w:r>
      <w:r w:rsidR="005727E0">
        <w:t xml:space="preserve"> </w:t>
      </w:r>
      <w:r w:rsidR="00C646F5" w:rsidRPr="005727E0">
        <w:t>In addition, data from</w:t>
      </w:r>
      <w:r w:rsidR="00641DB0" w:rsidRPr="005727E0">
        <w:t xml:space="preserve"> I</w:t>
      </w:r>
      <w:r w:rsidR="00215F0E" w:rsidRPr="005727E0">
        <w:t>CGC for pancreatic cancer</w:t>
      </w:r>
      <w:r w:rsidR="005727E0">
        <w:t xml:space="preserve"> </w:t>
      </w:r>
      <w:r w:rsidR="005727E0" w:rsidRPr="005727E0">
        <w:t>[21436628]</w:t>
      </w:r>
      <w:r w:rsidR="00215F0E" w:rsidRPr="005727E0">
        <w:t xml:space="preserve">, </w:t>
      </w:r>
      <w:commentRangeStart w:id="0"/>
      <w:r w:rsidR="00C646F5" w:rsidRPr="005727E0">
        <w:t xml:space="preserve">melanoma and colorectal cancer </w:t>
      </w:r>
      <w:commentRangeEnd w:id="0"/>
      <w:r w:rsidR="00902234">
        <w:rPr>
          <w:rStyle w:val="CommentReference"/>
        </w:rPr>
        <w:commentReference w:id="0"/>
      </w:r>
      <w:r w:rsidR="00C646F5" w:rsidRPr="005727E0">
        <w:t xml:space="preserve">were also included. Panel data were retrieved from the GENIE consortium [CIT]. GENIE data are an aggregation of several different panels raging from </w:t>
      </w:r>
      <w:commentRangeStart w:id="1"/>
      <w:r w:rsidR="00C646F5" w:rsidRPr="005727E0">
        <w:t>~30 genes to ~600</w:t>
      </w:r>
      <w:commentRangeEnd w:id="1"/>
      <w:r w:rsidRPr="005727E0">
        <w:rPr>
          <w:rStyle w:val="CommentReference"/>
        </w:rPr>
        <w:commentReference w:id="1"/>
      </w:r>
      <w:r w:rsidR="00C646F5" w:rsidRPr="005727E0">
        <w:t xml:space="preserve">. </w:t>
      </w:r>
      <w:r w:rsidR="00C646F5" w:rsidRPr="005727E0">
        <w:rPr>
          <w:i/>
        </w:rPr>
        <w:t xml:space="preserve">KRAS </w:t>
      </w:r>
      <w:r w:rsidR="00C646F5" w:rsidRPr="005727E0">
        <w:t xml:space="preserve">was included in all the libraries. </w:t>
      </w:r>
      <w:r w:rsidR="00215F0E" w:rsidRPr="005727E0">
        <w:t>A detailed</w:t>
      </w:r>
      <w:r w:rsidR="00C646F5" w:rsidRPr="005727E0">
        <w:t xml:space="preserve"> list of all cancer studies can be found in </w:t>
      </w:r>
      <w:r w:rsidR="00C646F5" w:rsidRPr="00902234">
        <w:rPr>
          <w:b/>
        </w:rPr>
        <w:t>supplementary table #.</w:t>
      </w:r>
    </w:p>
    <w:p w14:paraId="7B6C1033" w14:textId="516DD549" w:rsidR="00913E67" w:rsidRPr="005727E0" w:rsidRDefault="00913E67" w:rsidP="005727E0">
      <w:pPr>
        <w:pStyle w:val="Heading2"/>
      </w:pPr>
      <w:r w:rsidRPr="005727E0">
        <w:t>Hypermutated samples cutoff</w:t>
      </w:r>
    </w:p>
    <w:p w14:paraId="7BB67E18" w14:textId="53044628" w:rsidR="00913E67" w:rsidRPr="005727E0" w:rsidRDefault="00913E67" w:rsidP="005727E0">
      <w:r w:rsidRPr="005727E0">
        <w:t xml:space="preserve">Some of the samples in </w:t>
      </w:r>
      <w:r w:rsidR="00902234">
        <w:t>COADREAD</w:t>
      </w:r>
      <w:r w:rsidRPr="005727E0">
        <w:t xml:space="preserve"> </w:t>
      </w:r>
      <w:r w:rsidR="00902234">
        <w:t>had</w:t>
      </w:r>
      <w:r w:rsidRPr="005727E0">
        <w:t xml:space="preserve"> </w:t>
      </w:r>
      <w:r w:rsidR="00654E78" w:rsidRPr="005727E0">
        <w:t xml:space="preserve">5 to 10 times </w:t>
      </w:r>
      <w:r w:rsidR="00902234">
        <w:t>more mutations</w:t>
      </w:r>
      <w:r w:rsidR="00654E78" w:rsidRPr="005727E0">
        <w:t xml:space="preserve"> than </w:t>
      </w:r>
      <w:r w:rsidR="00902234">
        <w:t xml:space="preserve">the </w:t>
      </w:r>
      <w:r w:rsidR="00654E78" w:rsidRPr="005727E0">
        <w:t>average due to microsatellite instability</w:t>
      </w:r>
      <w:r w:rsidR="00CD7161" w:rsidRPr="005727E0">
        <w:t xml:space="preserve"> (MSI)</w:t>
      </w:r>
      <w:r w:rsidR="00654E78" w:rsidRPr="005727E0">
        <w:t xml:space="preserve">. </w:t>
      </w:r>
      <w:r w:rsidR="00902234">
        <w:t>A</w:t>
      </w:r>
      <w:r w:rsidR="00654E78" w:rsidRPr="005727E0">
        <w:t xml:space="preserve"> Gaussian mixed model</w:t>
      </w:r>
      <w:r w:rsidR="00902234">
        <w:t xml:space="preserve"> was used</w:t>
      </w:r>
      <w:r w:rsidR="00654E78" w:rsidRPr="005727E0">
        <w:t xml:space="preserve"> to find the optimal cutoff based on available WGS</w:t>
      </w:r>
      <w:r w:rsidR="00902234">
        <w:t xml:space="preserve"> and WXS</w:t>
      </w:r>
      <w:r w:rsidR="00654E78" w:rsidRPr="005727E0">
        <w:t xml:space="preserve"> data</w:t>
      </w:r>
      <w:r w:rsidR="00902234">
        <w:t xml:space="preserve"> (</w:t>
      </w:r>
      <w:r w:rsidR="00902234" w:rsidRPr="00902234">
        <w:rPr>
          <w:b/>
        </w:rPr>
        <w:t>supplementary figure #</w:t>
      </w:r>
      <w:r w:rsidR="00902234">
        <w:rPr>
          <w:b/>
        </w:rPr>
        <w:t>)</w:t>
      </w:r>
      <w:r w:rsidR="00902234">
        <w:t>.</w:t>
      </w:r>
      <w:r w:rsidR="00654E78" w:rsidRPr="005727E0">
        <w:t xml:space="preserve"> </w:t>
      </w:r>
      <w:r w:rsidR="00902234">
        <w:t>T</w:t>
      </w:r>
      <w:r w:rsidR="00654E78" w:rsidRPr="005727E0">
        <w:t xml:space="preserve">he top 17% </w:t>
      </w:r>
      <w:r w:rsidR="00902234">
        <w:t xml:space="preserve">and 21% </w:t>
      </w:r>
      <w:r w:rsidR="00654E78" w:rsidRPr="005727E0">
        <w:t>of samples were considered hypermutants in WGS and</w:t>
      </w:r>
      <w:r w:rsidR="00902234">
        <w:t xml:space="preserve"> WXS, respectively</w:t>
      </w:r>
      <w:r w:rsidR="00CD7161" w:rsidRPr="005727E0">
        <w:t xml:space="preserve">. </w:t>
      </w:r>
      <w:r w:rsidR="00902234">
        <w:t>T</w:t>
      </w:r>
      <w:r w:rsidR="00CD7161" w:rsidRPr="005727E0">
        <w:t xml:space="preserve">he same </w:t>
      </w:r>
      <w:r w:rsidR="00902234">
        <w:t xml:space="preserve">17% </w:t>
      </w:r>
      <w:r w:rsidR="00CD7161" w:rsidRPr="005727E0">
        <w:t>cutoff</w:t>
      </w:r>
      <w:r w:rsidR="00902234">
        <w:t xml:space="preserve"> was applied to the gene panel data</w:t>
      </w:r>
      <w:r w:rsidR="00CD7161" w:rsidRPr="005727E0">
        <w:t xml:space="preserve">. </w:t>
      </w:r>
      <w:r w:rsidR="00902234">
        <w:t>Hypermutants were not excluded from the identification of mutational</w:t>
      </w:r>
      <w:r w:rsidR="00CD7161" w:rsidRPr="005727E0">
        <w:t xml:space="preserve"> signatur</w:t>
      </w:r>
      <w:r w:rsidR="00902234">
        <w:t>es</w:t>
      </w:r>
      <w:r w:rsidR="00CD7161" w:rsidRPr="005727E0">
        <w:t xml:space="preserve"> </w:t>
      </w:r>
      <w:r w:rsidR="00902234">
        <w:t xml:space="preserve">as they Signature 6 is caused by MSI. </w:t>
      </w:r>
      <w:commentRangeStart w:id="2"/>
      <w:r w:rsidR="00CD7161" w:rsidRPr="005727E0">
        <w:t>we filter out samples with less than 40 mutations.</w:t>
      </w:r>
      <w:commentRangeEnd w:id="2"/>
      <w:r w:rsidR="00902234">
        <w:rPr>
          <w:rStyle w:val="CommentReference"/>
        </w:rPr>
        <w:commentReference w:id="2"/>
      </w:r>
    </w:p>
    <w:p w14:paraId="48AEECB6" w14:textId="3F7FB209" w:rsidR="00913E67" w:rsidRPr="005727E0" w:rsidRDefault="00913E67" w:rsidP="005727E0">
      <w:r w:rsidRPr="005727E0">
        <w:rPr>
          <w:noProof/>
        </w:rPr>
        <w:drawing>
          <wp:inline distT="0" distB="0" distL="0" distR="0" wp14:anchorId="7A348C04" wp14:editId="7B5E427F">
            <wp:extent cx="5486400" cy="748146"/>
            <wp:effectExtent l="0" t="0" r="0" b="0"/>
            <wp:docPr id="1" name="Picture 1" descr="Macintosh HD:Users:giorgio:Dropbox:hms:june_analysis:cooc_mutex_driver:data:cbioportal:exomeonly:figureForThePaper:supplementary:mutationDistr_exome_genom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rgio:Dropbox:hms:june_analysis:cooc_mutex_driver:data:cbioportal:exomeonly:figureForThePaper:supplementary:mutationDistr_exome_genome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32"/>
                    <a:stretch/>
                  </pic:blipFill>
                  <pic:spPr bwMode="auto">
                    <a:xfrm>
                      <a:off x="0" y="0"/>
                      <a:ext cx="5486400" cy="7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75EEE8A9" w14:textId="77777777" w:rsidR="00453886" w:rsidRPr="005727E0" w:rsidRDefault="00453886" w:rsidP="00453886">
      <w:pPr>
        <w:pStyle w:val="Heading2"/>
      </w:pPr>
      <w:r w:rsidRPr="005727E0">
        <w:t>Tissue gene expression filter</w:t>
      </w:r>
    </w:p>
    <w:p w14:paraId="04C0DD1A" w14:textId="2D4C6B95" w:rsidR="00453886" w:rsidRPr="00453886" w:rsidRDefault="00453886" w:rsidP="00453886">
      <w:pPr>
        <w:pStyle w:val="Default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727E0">
        <w:rPr>
          <w:rFonts w:ascii="Arial" w:hAnsi="Arial" w:cs="Arial"/>
          <w:sz w:val="24"/>
          <w:szCs w:val="24"/>
        </w:rPr>
        <w:t>A conservative filter of tissue-specific gene expression was used to confidently remove genes not expressed in the tissues of study. Normal tissue gene expression data was gathered from the GTEx Portal (12/03/2018) and The Human Protein Atlas (HPA, 12/03/2018) (Uhl</w:t>
      </w:r>
      <w:r w:rsidRPr="005727E0">
        <w:rPr>
          <w:rFonts w:ascii="Arial" w:hAnsi="Arial" w:cs="Arial"/>
          <w:sz w:val="24"/>
          <w:szCs w:val="24"/>
          <w:lang w:val="fr-FR"/>
        </w:rPr>
        <w:t>é</w:t>
      </w:r>
      <w:r w:rsidRPr="005727E0">
        <w:rPr>
          <w:rFonts w:ascii="Arial" w:hAnsi="Arial" w:cs="Arial"/>
          <w:sz w:val="24"/>
          <w:szCs w:val="24"/>
        </w:rPr>
        <w:t>n et al. 2015), and tumor expression data was collected from MMRF-CoMMpass (</w:t>
      </w:r>
      <w:r>
        <w:rPr>
          <w:rFonts w:ascii="Arial" w:hAnsi="Arial" w:cs="Arial"/>
          <w:sz w:val="24"/>
          <w:szCs w:val="24"/>
        </w:rPr>
        <w:t>01</w:t>
      </w:r>
      <w:r w:rsidRPr="005727E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14</w:t>
      </w:r>
      <w:r w:rsidRPr="005727E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2019</w:t>
      </w:r>
      <w:r w:rsidRPr="005727E0">
        <w:rPr>
          <w:rFonts w:ascii="Arial" w:hAnsi="Arial" w:cs="Arial"/>
          <w:sz w:val="24"/>
          <w:szCs w:val="24"/>
        </w:rPr>
        <w:t xml:space="preserve">), TCGA-COADREAD, TCGA-LUAD, TCGA-PAAD, and TCGA-SKCM (Cancer Genome Atlas Research Network et al. 2013). </w:t>
      </w:r>
      <w:commentRangeStart w:id="3"/>
      <w:r w:rsidRPr="005727E0">
        <w:rPr>
          <w:rFonts w:ascii="Arial" w:hAnsi="Arial" w:cs="Arial"/>
          <w:b/>
          <w:bCs/>
          <w:sz w:val="24"/>
          <w:szCs w:val="24"/>
        </w:rPr>
        <w:t>Supplementary Table JHCST1</w:t>
      </w:r>
      <w:r w:rsidRPr="005727E0">
        <w:rPr>
          <w:rFonts w:ascii="Arial" w:hAnsi="Arial" w:cs="Arial"/>
          <w:sz w:val="24"/>
          <w:szCs w:val="24"/>
        </w:rPr>
        <w:t xml:space="preserve"> </w:t>
      </w:r>
      <w:commentRangeEnd w:id="3"/>
      <w:r>
        <w:rPr>
          <w:rStyle w:val="CommentReference"/>
          <w:rFonts w:ascii="Arial" w:eastAsiaTheme="minorEastAsia" w:hAnsi="Arial" w:cs="Arial"/>
          <w:color w:val="auto"/>
          <w:bdr w:val="none" w:sz="0" w:space="0" w:color="auto"/>
        </w:rPr>
        <w:commentReference w:id="3"/>
      </w:r>
      <w:r w:rsidRPr="005727E0">
        <w:rPr>
          <w:rFonts w:ascii="Arial" w:hAnsi="Arial" w:cs="Arial"/>
          <w:sz w:val="24"/>
          <w:szCs w:val="24"/>
        </w:rPr>
        <w:t xml:space="preserve">indicates </w:t>
      </w:r>
      <w:r w:rsidRPr="005727E0">
        <w:rPr>
          <w:rFonts w:ascii="Arial" w:hAnsi="Arial" w:cs="Arial"/>
          <w:sz w:val="24"/>
          <w:szCs w:val="24"/>
        </w:rPr>
        <w:lastRenderedPageBreak/>
        <w:t xml:space="preserve">the number of samples per tissue in the GTEx and tumor gene expression data. A gene was considered “expressed” in a tissue if it met at least one of the following criteria: 1) a median expression level of at least 1 TPM across all samples of the tissue in GTEx, 2) indicated as expressed at at least 1 TPM in the HPA data set for the tissue, 3) expressed with a median level of 1 RESM in the corresponding tumor RNA-sequencing data. </w:t>
      </w:r>
      <w:commentRangeStart w:id="4"/>
      <w:r w:rsidRPr="005727E0">
        <w:rPr>
          <w:rFonts w:ascii="Arial" w:hAnsi="Arial" w:cs="Arial"/>
          <w:b/>
          <w:bCs/>
          <w:sz w:val="24"/>
          <w:szCs w:val="24"/>
        </w:rPr>
        <w:t>Supplementary Figure JHCS1</w:t>
      </w:r>
      <w:r w:rsidRPr="005727E0">
        <w:rPr>
          <w:rFonts w:ascii="Arial" w:hAnsi="Arial" w:cs="Arial"/>
          <w:sz w:val="24"/>
          <w:szCs w:val="24"/>
        </w:rPr>
        <w:t xml:space="preserve"> </w:t>
      </w:r>
      <w:commentRangeEnd w:id="4"/>
      <w:r>
        <w:rPr>
          <w:rStyle w:val="CommentReference"/>
          <w:rFonts w:ascii="Arial" w:eastAsiaTheme="minorEastAsia" w:hAnsi="Arial" w:cs="Arial"/>
          <w:color w:val="auto"/>
          <w:bdr w:val="none" w:sz="0" w:space="0" w:color="auto"/>
        </w:rPr>
        <w:commentReference w:id="4"/>
      </w:r>
      <w:r w:rsidRPr="005727E0">
        <w:rPr>
          <w:rFonts w:ascii="Arial" w:hAnsi="Arial" w:cs="Arial"/>
          <w:sz w:val="24"/>
          <w:szCs w:val="24"/>
        </w:rPr>
        <w:t>indicates the number of genes with at least one mutation that were removed from each tumor type according to this filter.</w:t>
      </w:r>
    </w:p>
    <w:p w14:paraId="13FB0FE9" w14:textId="0B82972E" w:rsidR="009F6839" w:rsidRPr="005727E0" w:rsidRDefault="00453886" w:rsidP="00453886">
      <w:pPr>
        <w:pStyle w:val="Heading2"/>
      </w:pPr>
      <w:r>
        <w:t>Identifying m</w:t>
      </w:r>
      <w:commentRangeStart w:id="5"/>
      <w:r w:rsidR="009F6839" w:rsidRPr="005727E0">
        <w:t xml:space="preserve">utational </w:t>
      </w:r>
      <w:r>
        <w:t>si</w:t>
      </w:r>
      <w:r w:rsidR="009F6839" w:rsidRPr="005727E0">
        <w:t>gnature</w:t>
      </w:r>
      <w:r>
        <w:t>s</w:t>
      </w:r>
      <w:commentRangeEnd w:id="5"/>
      <w:r w:rsidR="00C50696" w:rsidRPr="005727E0">
        <w:rPr>
          <w:rStyle w:val="CommentReference"/>
          <w:rFonts w:eastAsiaTheme="minorEastAsia"/>
          <w:b w:val="0"/>
          <w:bCs w:val="0"/>
          <w:color w:val="auto"/>
        </w:rPr>
        <w:commentReference w:id="5"/>
      </w:r>
    </w:p>
    <w:p w14:paraId="58EDF5C0" w14:textId="099BC134" w:rsidR="00DB5E8D" w:rsidRDefault="0066249E" w:rsidP="00CC169D">
      <w:r>
        <w:t>The</w:t>
      </w:r>
      <w:r w:rsidR="000E60B2" w:rsidRPr="005727E0">
        <w:t xml:space="preserve"> </w:t>
      </w:r>
      <w:r w:rsidR="00902234">
        <w:t xml:space="preserve">genome-wide mutations </w:t>
      </w:r>
      <w:r>
        <w:t xml:space="preserve">of a sample </w:t>
      </w:r>
      <w:r w:rsidR="00902234">
        <w:t xml:space="preserve">can be deconvolved into mutational signatures </w:t>
      </w:r>
      <w:r w:rsidR="00745CA8" w:rsidRPr="005727E0">
        <w:t xml:space="preserve">that represent </w:t>
      </w:r>
      <w:r w:rsidR="00490015" w:rsidRPr="005727E0">
        <w:t xml:space="preserve">endogenous or exogenous </w:t>
      </w:r>
      <w:r>
        <w:t xml:space="preserve">mutagenic </w:t>
      </w:r>
      <w:r w:rsidR="00490015" w:rsidRPr="005727E0">
        <w:t xml:space="preserve">processes </w:t>
      </w:r>
      <w:r w:rsidR="00902234">
        <w:t>[</w:t>
      </w:r>
      <w:r w:rsidR="00902234" w:rsidRPr="00902234">
        <w:rPr>
          <w:rFonts w:ascii="Calibri" w:hAnsi="Calibri" w:cs="Calibri"/>
        </w:rPr>
        <w:t>﻿</w:t>
      </w:r>
      <w:r w:rsidR="00902234" w:rsidRPr="00902234">
        <w:t>23945592</w:t>
      </w:r>
      <w:r w:rsidR="00902234">
        <w:t>]</w:t>
      </w:r>
      <w:r w:rsidR="00490015" w:rsidRPr="005727E0">
        <w:t xml:space="preserve">. </w:t>
      </w:r>
      <w:r>
        <w:t>S</w:t>
      </w:r>
      <w:r w:rsidR="00490015" w:rsidRPr="005727E0">
        <w:t xml:space="preserve">ingle </w:t>
      </w:r>
      <w:r>
        <w:t>n</w:t>
      </w:r>
      <w:r w:rsidR="00490015" w:rsidRPr="005727E0">
        <w:t xml:space="preserve">ucleotide </w:t>
      </w:r>
      <w:r>
        <w:t>v</w:t>
      </w:r>
      <w:r w:rsidR="00490015" w:rsidRPr="005727E0">
        <w:t xml:space="preserve">ariants (SNVs) from exomes or genomes </w:t>
      </w:r>
      <w:r>
        <w:t>were</w:t>
      </w:r>
      <w:r w:rsidR="00490015" w:rsidRPr="005727E0">
        <w:t xml:space="preserve"> </w:t>
      </w:r>
      <w:r w:rsidR="00E209C7" w:rsidRPr="005727E0">
        <w:t>divided in</w:t>
      </w:r>
      <w:r>
        <w:t>to</w:t>
      </w:r>
      <w:r w:rsidR="00E209C7" w:rsidRPr="005727E0">
        <w:t xml:space="preserve"> 96 </w:t>
      </w:r>
      <w:r w:rsidR="00047C84">
        <w:t>types</w:t>
      </w:r>
      <w:r w:rsidR="006A50F4" w:rsidRPr="005727E0">
        <w:t>, according to the 6</w:t>
      </w:r>
      <w:r w:rsidR="008C662D" w:rsidRPr="005727E0">
        <w:t xml:space="preserve"> mutation</w:t>
      </w:r>
      <w:r>
        <w:t>s</w:t>
      </w:r>
      <w:r w:rsidR="008C662D" w:rsidRPr="005727E0">
        <w:t xml:space="preserve"> </w:t>
      </w:r>
      <w:r>
        <w:t>of a pyrimidine</w:t>
      </w:r>
      <w:r w:rsidR="008C662D" w:rsidRPr="005727E0">
        <w:t xml:space="preserve"> (C&gt;A, C&gt;G, C&gt;T and T&gt;A, T&gt;C, T&gt;G) and </w:t>
      </w:r>
      <w:r>
        <w:t>the 16</w:t>
      </w:r>
      <w:r w:rsidR="008C662D" w:rsidRPr="005727E0">
        <w:t xml:space="preserve"> possible combination</w:t>
      </w:r>
      <w:r w:rsidR="00815519" w:rsidRPr="005727E0">
        <w:t xml:space="preserve">s of 3’ and 5’ adjacent bases. </w:t>
      </w:r>
      <w:r w:rsidR="00047C84">
        <w:t>The MATLAB implementation of N</w:t>
      </w:r>
      <w:r w:rsidR="00372CD4">
        <w:t>on-Negative Matrix Factorization (NMF)</w:t>
      </w:r>
      <w:r w:rsidR="000721C9">
        <w:t xml:space="preserve"> algorithm, </w:t>
      </w:r>
      <w:r w:rsidR="008F5804">
        <w:t>SigProfiler [</w:t>
      </w:r>
      <w:r w:rsidR="00C91185" w:rsidRPr="00C91185">
        <w:t>23945592</w:t>
      </w:r>
      <w:r w:rsidR="008F5804">
        <w:t>]</w:t>
      </w:r>
      <w:r w:rsidR="000721C9">
        <w:t>,</w:t>
      </w:r>
      <w:r w:rsidR="00047C84">
        <w:t xml:space="preserve"> is used to discover the underlying mutational patterns</w:t>
      </w:r>
      <w:r w:rsidR="00DB5E8D">
        <w:t xml:space="preserve"> </w:t>
      </w:r>
      <w:r w:rsidR="00775EB7">
        <w:t>that are common across tumors</w:t>
      </w:r>
      <w:r w:rsidR="00372CD4">
        <w:t>.</w:t>
      </w:r>
      <w:r w:rsidR="00DB5E8D">
        <w:t xml:space="preserve"> Mutational signatures are discovered separately for each tumor type</w:t>
      </w:r>
      <w:r w:rsidR="00775EB7">
        <w:t xml:space="preserve"> and optimal number of signatures was determined based on silhouette width and </w:t>
      </w:r>
      <w:r w:rsidR="000721C9">
        <w:t>f</w:t>
      </w:r>
      <w:r w:rsidR="00775EB7">
        <w:t>robenius error</w:t>
      </w:r>
      <w:r w:rsidR="00DB5E8D">
        <w:t xml:space="preserve">. </w:t>
      </w:r>
    </w:p>
    <w:p w14:paraId="2F8AB3E6" w14:textId="209BD31A" w:rsidR="001A25AF" w:rsidRDefault="00500848" w:rsidP="00710B30">
      <w:pPr>
        <w:ind w:firstLine="720"/>
      </w:pPr>
      <w:r>
        <w:t>The spectrum of the signatures discovered by NMF were matched to the COSMIC catalog [</w:t>
      </w:r>
      <w:r w:rsidR="00C91185" w:rsidRPr="00C91185">
        <w:t>23945592</w:t>
      </w:r>
      <w:r>
        <w:t>]</w:t>
      </w:r>
      <w:r w:rsidR="00F13078">
        <w:t>.</w:t>
      </w:r>
      <w:r w:rsidR="002158C9">
        <w:t xml:space="preserve"> </w:t>
      </w:r>
      <w:r w:rsidR="001624D6">
        <w:t>For the signatures for which</w:t>
      </w:r>
      <w:r w:rsidR="002158C9">
        <w:t xml:space="preserve"> </w:t>
      </w:r>
      <w:r w:rsidR="00DF09BC">
        <w:t>none of the 30 signatures in COSMIC catalog was found to be compatible</w:t>
      </w:r>
      <w:r w:rsidR="001624D6">
        <w:t>,</w:t>
      </w:r>
      <w:r w:rsidR="00F13078">
        <w:t xml:space="preserve"> </w:t>
      </w:r>
      <w:r w:rsidR="002158C9">
        <w:t xml:space="preserve">we </w:t>
      </w:r>
      <w:r w:rsidR="001624D6">
        <w:t>referred to</w:t>
      </w:r>
      <w:r w:rsidR="002158C9">
        <w:t xml:space="preserve"> </w:t>
      </w:r>
      <w:r w:rsidR="000721C9">
        <w:t>more recent</w:t>
      </w:r>
      <w:r w:rsidR="00F13078">
        <w:t xml:space="preserve"> studies</w:t>
      </w:r>
      <w:r w:rsidR="001624D6">
        <w:t xml:space="preserve"> in literature and expanded the COSMIC catalog to include these </w:t>
      </w:r>
      <w:r w:rsidR="000721C9">
        <w:t>additional signatures</w:t>
      </w:r>
      <w:r w:rsidR="00F13078">
        <w:t>.</w:t>
      </w:r>
      <w:r w:rsidR="000721C9">
        <w:t xml:space="preserve"> </w:t>
      </w:r>
      <w:r w:rsidR="00F13078">
        <w:t xml:space="preserve">In particular, </w:t>
      </w:r>
      <w:r w:rsidR="002158C9">
        <w:t>NMF results yielded</w:t>
      </w:r>
      <w:r w:rsidR="00F13078">
        <w:t xml:space="preserve"> multiple subtypes of Signature 7 </w:t>
      </w:r>
      <w:r w:rsidR="00047C84">
        <w:t>as reported previously in Ref</w:t>
      </w:r>
      <w:r w:rsidR="002158C9">
        <w:t>s</w:t>
      </w:r>
      <w:r w:rsidR="00F13078">
        <w:t xml:space="preserve"> [</w:t>
      </w:r>
      <w:r w:rsidR="002158C9">
        <w:t xml:space="preserve">bioarxiv </w:t>
      </w:r>
      <w:r w:rsidR="002158C9" w:rsidRPr="002158C9">
        <w:t>322859v1</w:t>
      </w:r>
      <w:r w:rsidR="002158C9">
        <w:t>,</w:t>
      </w:r>
      <w:r w:rsidR="00F13078">
        <w:t xml:space="preserve"> </w:t>
      </w:r>
      <w:r w:rsidR="00E62611" w:rsidRPr="00E62611">
        <w:rPr>
          <w:rFonts w:eastAsia="Times New Roman"/>
        </w:rPr>
        <w:t>28467829</w:t>
      </w:r>
      <w:r w:rsidR="00F13078">
        <w:t>]. In SKCM we</w:t>
      </w:r>
      <w:r w:rsidR="00047C84">
        <w:t xml:space="preserve"> also</w:t>
      </w:r>
      <w:r w:rsidR="00F13078">
        <w:t xml:space="preserve"> found a signature that is dominantly C&gt;A </w:t>
      </w:r>
      <w:r w:rsidR="00047C84">
        <w:t>that is not a subtype of Signature 7 but is</w:t>
      </w:r>
      <w:r w:rsidR="002158C9">
        <w:t xml:space="preserve"> due to indirect consequences of UV exposure named Signature 38 </w:t>
      </w:r>
      <w:r w:rsidR="00047C84">
        <w:t>[</w:t>
      </w:r>
      <w:r w:rsidR="002158C9">
        <w:t>bioarxiv</w:t>
      </w:r>
      <w:r w:rsidR="002158C9">
        <w:t>:</w:t>
      </w:r>
      <w:r w:rsidR="002158C9">
        <w:t xml:space="preserve"> </w:t>
      </w:r>
      <w:r w:rsidR="002158C9" w:rsidRPr="002158C9">
        <w:t>322859v1</w:t>
      </w:r>
      <w:r w:rsidR="00047C84">
        <w:t>]</w:t>
      </w:r>
      <w:r w:rsidR="00F13078">
        <w:t>.</w:t>
      </w:r>
      <w:r w:rsidR="00047C84">
        <w:t xml:space="preserve"> </w:t>
      </w:r>
      <w:r w:rsidR="001A25AF">
        <w:t>Three</w:t>
      </w:r>
      <w:r w:rsidR="006A609B">
        <w:t xml:space="preserve"> versions of the signature associated to POLE mutations,</w:t>
      </w:r>
      <w:r w:rsidR="000721C9">
        <w:t xml:space="preserve"> Signature 10</w:t>
      </w:r>
      <w:r w:rsidR="006A609B">
        <w:t>,</w:t>
      </w:r>
      <w:r w:rsidR="000721C9">
        <w:t xml:space="preserve"> </w:t>
      </w:r>
      <w:r w:rsidR="001A25AF">
        <w:t xml:space="preserve">were discovered which is in agreement with Ref [bioarxiv: </w:t>
      </w:r>
      <w:r w:rsidR="001A25AF" w:rsidRPr="002158C9">
        <w:t>322859v1</w:t>
      </w:r>
      <w:r w:rsidR="001A25AF">
        <w:t xml:space="preserve">]. These 3 types of POLE signatures differed in the dominant part of the mutational spectrum (C&gt;A, C&gt;T or C&gt;G). </w:t>
      </w:r>
      <w:r w:rsidR="006B69E3">
        <w:t>In L</w:t>
      </w:r>
      <w:r w:rsidR="00710B30">
        <w:t xml:space="preserve">UAD, </w:t>
      </w:r>
      <w:r w:rsidR="006B69E3">
        <w:t xml:space="preserve">a signature that has mutations of type C[C&gt;A]N and T[C&gt;A]N that </w:t>
      </w:r>
      <w:r w:rsidR="00710B30">
        <w:t>is attributed to 8-oxo-guanine [</w:t>
      </w:r>
      <w:r w:rsidR="00710B30">
        <w:t xml:space="preserve">bioarxiv: </w:t>
      </w:r>
      <w:r w:rsidR="00710B30" w:rsidRPr="002158C9">
        <w:t>322859v1</w:t>
      </w:r>
      <w:r w:rsidR="00710B30">
        <w:t xml:space="preserve">] was found and also included in our extended catalog. </w:t>
      </w:r>
      <w:r w:rsidR="002158C9">
        <w:t xml:space="preserve">One signature that </w:t>
      </w:r>
      <w:r w:rsidR="00710B30">
        <w:t>we discovered COADREAD</w:t>
      </w:r>
      <w:r w:rsidR="002158C9">
        <w:t xml:space="preserve"> did not have </w:t>
      </w:r>
      <w:r w:rsidR="00A21E8F">
        <w:t xml:space="preserve">a good match in </w:t>
      </w:r>
      <w:r w:rsidR="00710B30">
        <w:t xml:space="preserve">any specific signature in </w:t>
      </w:r>
      <w:r w:rsidR="00A21E8F">
        <w:t xml:space="preserve">literature, although it </w:t>
      </w:r>
      <w:r w:rsidR="001A25AF">
        <w:t xml:space="preserve">resembles </w:t>
      </w:r>
      <w:r w:rsidR="00816106">
        <w:t>SBSA</w:t>
      </w:r>
      <w:r w:rsidR="001A25AF">
        <w:t xml:space="preserve"> in Ref [</w:t>
      </w:r>
      <w:r w:rsidR="00816106">
        <w:t xml:space="preserve">bioarxiv: </w:t>
      </w:r>
      <w:r w:rsidR="00816106" w:rsidRPr="00816106">
        <w:t>416800</w:t>
      </w:r>
      <w:r w:rsidR="001A25AF">
        <w:t xml:space="preserve">] and </w:t>
      </w:r>
      <w:r w:rsidR="009F0EDB">
        <w:lastRenderedPageBreak/>
        <w:t>Signature 34</w:t>
      </w:r>
      <w:r w:rsidR="001A25AF">
        <w:t xml:space="preserve"> </w:t>
      </w:r>
      <w:r w:rsidR="009F0EDB">
        <w:t xml:space="preserve">and 41 </w:t>
      </w:r>
      <w:r w:rsidR="001A25AF">
        <w:t>in Ref [</w:t>
      </w:r>
      <w:r w:rsidR="009F0EDB">
        <w:t xml:space="preserve">bioarxiv: </w:t>
      </w:r>
      <w:r w:rsidR="009F0EDB" w:rsidRPr="002158C9">
        <w:t>322859v1</w:t>
      </w:r>
      <w:r w:rsidR="001A25AF">
        <w:t xml:space="preserve">]. We used this signature as it was discovered by </w:t>
      </w:r>
      <w:r w:rsidR="00B7221B">
        <w:t xml:space="preserve">our own </w:t>
      </w:r>
      <w:r w:rsidR="001A25AF">
        <w:t>NMF rather than matching it to a previously reported version</w:t>
      </w:r>
      <w:r w:rsidR="00B7221B">
        <w:t>,</w:t>
      </w:r>
      <w:r w:rsidR="001A25AF">
        <w:t xml:space="preserve"> </w:t>
      </w:r>
      <w:r w:rsidR="00B7221B">
        <w:t>because</w:t>
      </w:r>
      <w:r w:rsidR="001A25AF">
        <w:t xml:space="preserve"> the results from different studies was not in good agreement. This new signature that we call Signature N is not contributing to KRAS mutations. </w:t>
      </w:r>
      <w:r w:rsidR="006B69E3">
        <w:t>We also found 3</w:t>
      </w:r>
      <w:r w:rsidR="001A25AF">
        <w:t xml:space="preserve"> signatures that are likely to be artifa</w:t>
      </w:r>
      <w:bookmarkStart w:id="6" w:name="_GoBack"/>
      <w:bookmarkEnd w:id="6"/>
      <w:r w:rsidR="001A25AF">
        <w:t>cts</w:t>
      </w:r>
      <w:r w:rsidR="001A25AF">
        <w:t>, which also did not contribute to KRAS mutations</w:t>
      </w:r>
      <w:r w:rsidR="001A25AF">
        <w:t xml:space="preserve">. </w:t>
      </w:r>
    </w:p>
    <w:p w14:paraId="27C656A7" w14:textId="292D2FCF" w:rsidR="00775EB7" w:rsidRDefault="001A25AF" w:rsidP="001A25AF">
      <w:pPr>
        <w:ind w:firstLine="720"/>
      </w:pPr>
      <w:r>
        <w:t xml:space="preserve">Once the signatures in each sample is determined by NMF we removed signatures that acquire very small exposure in a given sample </w:t>
      </w:r>
      <w:r w:rsidR="006B69E3">
        <w:t>and recalculated the</w:t>
      </w:r>
      <w:r>
        <w:t xml:space="preserve"> exposures using Non-Negative Least Squares (NNLS) algorithm. Details of this</w:t>
      </w:r>
      <w:r w:rsidR="00775EB7">
        <w:t xml:space="preserve"> calculation can be found in the Supplementary Note of [</w:t>
      </w:r>
      <w:r w:rsidR="005C69AF" w:rsidRPr="005C69AF">
        <w:t>30988514</w:t>
      </w:r>
      <w:r w:rsidR="00775EB7">
        <w:t>].</w:t>
      </w:r>
      <w:r w:rsidR="005C69AF">
        <w:t xml:space="preserve"> The results of this calculation is shown in </w:t>
      </w:r>
      <w:commentRangeStart w:id="7"/>
      <w:r w:rsidR="005C69AF">
        <w:t xml:space="preserve">Supplementary Fig X. </w:t>
      </w:r>
      <w:commentRangeEnd w:id="7"/>
      <w:r w:rsidR="005C69AF">
        <w:rPr>
          <w:rStyle w:val="CommentReference"/>
        </w:rPr>
        <w:commentReference w:id="7"/>
      </w:r>
    </w:p>
    <w:p w14:paraId="0787C7DC" w14:textId="00452E34" w:rsidR="0066249E" w:rsidRPr="005727E0" w:rsidRDefault="00B02119" w:rsidP="0066249E">
      <w:pPr>
        <w:pStyle w:val="Heading2"/>
      </w:pPr>
      <w:r>
        <w:t xml:space="preserve">Probability of </w:t>
      </w:r>
      <w:r w:rsidR="0066249E" w:rsidRPr="00B02119">
        <w:rPr>
          <w:i/>
        </w:rPr>
        <w:t>RAS</w:t>
      </w:r>
      <w:r w:rsidR="0066249E" w:rsidRPr="005727E0">
        <w:t xml:space="preserve"> mutations</w:t>
      </w:r>
      <w:r>
        <w:t xml:space="preserve"> from mutational signatures</w:t>
      </w:r>
    </w:p>
    <w:p w14:paraId="7F0AE9A8" w14:textId="6F2E9B95" w:rsidR="0066249E" w:rsidRPr="005727E0" w:rsidRDefault="0066249E" w:rsidP="0066249E">
      <w:r w:rsidRPr="005727E0">
        <w:t xml:space="preserve">For each sample harboring either a </w:t>
      </w:r>
      <w:r w:rsidRPr="005727E0">
        <w:rPr>
          <w:i/>
        </w:rPr>
        <w:t>KRAS</w:t>
      </w:r>
      <w:r w:rsidRPr="005727E0">
        <w:t xml:space="preserve"> or </w:t>
      </w:r>
      <w:r w:rsidRPr="005727E0">
        <w:rPr>
          <w:i/>
        </w:rPr>
        <w:t xml:space="preserve">NRAS </w:t>
      </w:r>
      <w:r w:rsidRPr="005727E0">
        <w:t>mutation</w:t>
      </w:r>
      <w:r>
        <w:t>,</w:t>
      </w:r>
      <w:r w:rsidRPr="005727E0">
        <w:t xml:space="preserve"> the probability of occurrence </w:t>
      </w:r>
      <w:r>
        <w:t xml:space="preserve">given the mutational signatures present </w:t>
      </w:r>
      <w:r w:rsidR="00AB0FE8">
        <w:t xml:space="preserve">was calculated by considering the </w:t>
      </w:r>
      <w:r w:rsidRPr="005727E0">
        <w:t>weight of the base change among the 96 possibilities</w:t>
      </w:r>
      <w:r w:rsidR="00AB0FE8">
        <w:t xml:space="preserve"> </w:t>
      </w:r>
      <w:r w:rsidRPr="005727E0">
        <w:t xml:space="preserve">and the relative contribution of </w:t>
      </w:r>
      <w:r w:rsidR="00AB0FE8">
        <w:t>the signature to the mutations in the sample</w:t>
      </w:r>
      <w:r w:rsidRPr="005727E0">
        <w:t xml:space="preserve">. </w:t>
      </w:r>
      <w:r w:rsidR="00AB0FE8">
        <w:t>For</w:t>
      </w:r>
      <w:r w:rsidRPr="005727E0">
        <w:t xml:space="preserve"> example, </w:t>
      </w:r>
      <w:r w:rsidR="00AB0FE8">
        <w:t xml:space="preserve">consider </w:t>
      </w:r>
      <w:r w:rsidRPr="005727E0">
        <w:t xml:space="preserve">a lung cancer sample harboring a </w:t>
      </w:r>
      <w:r w:rsidRPr="005727E0">
        <w:rPr>
          <w:i/>
        </w:rPr>
        <w:t xml:space="preserve">KRAS </w:t>
      </w:r>
      <w:r w:rsidRPr="005727E0">
        <w:t>G12C, created by C[C&gt;A]A</w:t>
      </w:r>
      <w:r w:rsidR="00AB0FE8">
        <w:t>, and</w:t>
      </w:r>
      <w:r w:rsidRPr="005727E0">
        <w:t xml:space="preserve"> 2 signatures</w:t>
      </w:r>
      <w:r w:rsidR="00AB0FE8">
        <w:t xml:space="preserve"> were identified</w:t>
      </w:r>
      <w:r w:rsidRPr="005727E0">
        <w:t xml:space="preserve"> </w:t>
      </w:r>
      <w:r w:rsidR="00AB0FE8">
        <w:t>i</w:t>
      </w:r>
      <w:r w:rsidRPr="005727E0">
        <w:t>n this sample, 60% Signature 1 and 40% Signature 4. The frequency of the C[C&gt;A]A type in Signature 1 and 4 is 0.0066</w:t>
      </w:r>
      <w:r w:rsidRPr="005727E0">
        <w:rPr>
          <w:i/>
        </w:rPr>
        <w:t xml:space="preserve"> </w:t>
      </w:r>
      <w:r w:rsidRPr="005727E0">
        <w:t>and 0.0461</w:t>
      </w:r>
      <w:r w:rsidR="00AB0FE8">
        <w:t>, respectively</w:t>
      </w:r>
      <w:r w:rsidRPr="005727E0">
        <w:t xml:space="preserve"> (rescaled </w:t>
      </w:r>
      <w:r w:rsidR="00AB0FE8">
        <w:t>a range of</w:t>
      </w:r>
      <w:r w:rsidRPr="005727E0">
        <w:t xml:space="preserve"> 0 to 1 as 0.1251686 and 0.8748314)</w:t>
      </w:r>
      <w:r w:rsidR="00AB0FE8">
        <w:t xml:space="preserve">. Therefore, </w:t>
      </w:r>
      <w:r w:rsidRPr="005727E0">
        <w:t xml:space="preserve">the probability of a single </w:t>
      </w:r>
      <w:r w:rsidRPr="005727E0">
        <w:rPr>
          <w:i/>
        </w:rPr>
        <w:t xml:space="preserve">KRAS </w:t>
      </w:r>
      <w:r w:rsidRPr="005727E0">
        <w:t>G12C mutation is</w:t>
      </w:r>
      <w:r w:rsidR="00AB0FE8">
        <w:t xml:space="preserve"> approximately </w:t>
      </w:r>
      <w:r w:rsidRPr="005727E0">
        <w:t xml:space="preserve">7 times more likely to originate from Signature 4 than Signature 1. Given the relative contribution of the signatures called, the probability that </w:t>
      </w:r>
      <w:r w:rsidR="00AB0FE8">
        <w:t>the G12C</w:t>
      </w:r>
      <w:r w:rsidRPr="005727E0">
        <w:t xml:space="preserve"> mutation </w:t>
      </w:r>
      <w:r w:rsidR="00AB0FE8">
        <w:t>was</w:t>
      </w:r>
      <w:r w:rsidRPr="005727E0">
        <w:t xml:space="preserve"> caused by Signature 1 or 4 </w:t>
      </w:r>
      <w:r w:rsidR="00AB0FE8">
        <w:t>was</w:t>
      </w:r>
      <w:r w:rsidRPr="005727E0">
        <w:t>:</w:t>
      </w:r>
    </w:p>
    <w:p w14:paraId="60B2CEB6" w14:textId="05B36F02" w:rsidR="0066249E" w:rsidRPr="005727E0" w:rsidRDefault="0066249E" w:rsidP="0066249E">
      <w:r w:rsidRPr="005727E0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Signature 1</m:t>
              </m:r>
            </m:sub>
          </m:sSub>
          <m:r>
            <w:rPr>
              <w:rFonts w:ascii="Cambria Math" w:hAnsi="Cambria Math"/>
            </w:rPr>
            <m:t xml:space="preserve"> = 0.6×0.1251686 / (0.6×0.1251686 + 0.4×0.8748314) = 0.177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Signature 4</m:t>
              </m:r>
            </m:sub>
          </m:sSub>
          <m:r>
            <w:rPr>
              <w:rFonts w:ascii="Cambria Math" w:hAnsi="Cambria Math"/>
            </w:rPr>
            <m:t xml:space="preserve"> = 0.4×0.8748314 / (0.6×0.1251686 + 0.4×0.8748314) = 0.823</m:t>
          </m:r>
        </m:oMath>
      </m:oMathPara>
    </w:p>
    <w:p w14:paraId="46B0FF8C" w14:textId="77777777" w:rsidR="0066249E" w:rsidRPr="005727E0" w:rsidRDefault="0066249E" w:rsidP="0066249E"/>
    <w:p w14:paraId="0F487920" w14:textId="3C838F9A" w:rsidR="0066249E" w:rsidRPr="005727E0" w:rsidRDefault="00AB0FE8" w:rsidP="0066249E">
      <w:r>
        <w:t>In conclusion</w:t>
      </w:r>
      <w:r w:rsidR="0066249E" w:rsidRPr="005727E0">
        <w:t xml:space="preserve">, the chance that </w:t>
      </w:r>
      <w:r>
        <w:t>the</w:t>
      </w:r>
      <w:r w:rsidR="0066249E" w:rsidRPr="005727E0">
        <w:t xml:space="preserve"> </w:t>
      </w:r>
      <w:r w:rsidR="0066249E" w:rsidRPr="005727E0">
        <w:rPr>
          <w:i/>
        </w:rPr>
        <w:t xml:space="preserve">KRAS </w:t>
      </w:r>
      <w:r w:rsidR="0066249E" w:rsidRPr="005727E0">
        <w:t xml:space="preserve">G12C </w:t>
      </w:r>
      <w:r>
        <w:t xml:space="preserve">mutation </w:t>
      </w:r>
      <w:r w:rsidR="0066249E" w:rsidRPr="005727E0">
        <w:t xml:space="preserve">originated from ageing or smoke is </w:t>
      </w:r>
      <w:r>
        <w:t>18</w:t>
      </w:r>
      <w:r w:rsidR="0066249E" w:rsidRPr="005727E0">
        <w:t xml:space="preserve">% and </w:t>
      </w:r>
      <w:r>
        <w:t>82</w:t>
      </w:r>
      <w:r w:rsidR="0066249E" w:rsidRPr="005727E0">
        <w:t>%</w:t>
      </w:r>
      <w:r>
        <w:t>, respectively</w:t>
      </w:r>
      <w:r w:rsidR="0066249E" w:rsidRPr="005727E0">
        <w:t xml:space="preserve">. The sum across all samples with the same </w:t>
      </w:r>
      <w:r>
        <w:t>cancer</w:t>
      </w:r>
      <w:r w:rsidR="0066249E" w:rsidRPr="005727E0">
        <w:t xml:space="preserve"> and the same </w:t>
      </w:r>
      <w:r w:rsidRPr="00AB0FE8">
        <w:rPr>
          <w:i/>
        </w:rPr>
        <w:t>KRAS</w:t>
      </w:r>
      <w:r>
        <w:t xml:space="preserve"> </w:t>
      </w:r>
      <w:r w:rsidR="0066249E" w:rsidRPr="005727E0">
        <w:t>mutation provide</w:t>
      </w:r>
      <w:r>
        <w:t>d</w:t>
      </w:r>
      <w:r w:rsidR="0066249E" w:rsidRPr="005727E0">
        <w:t xml:space="preserve"> an estimate of the global probability of occurrence of a specific </w:t>
      </w:r>
      <w:r w:rsidR="0066249E" w:rsidRPr="00AB0FE8">
        <w:rPr>
          <w:i/>
        </w:rPr>
        <w:t>RAS</w:t>
      </w:r>
      <w:r w:rsidR="0066249E" w:rsidRPr="005727E0">
        <w:t xml:space="preserve"> mutation (</w:t>
      </w:r>
      <w:r w:rsidR="0066249E" w:rsidRPr="00AB0FE8">
        <w:rPr>
          <w:b/>
        </w:rPr>
        <w:t>Figure 2B</w:t>
      </w:r>
      <w:r w:rsidR="0066249E" w:rsidRPr="005727E0">
        <w:t>).</w:t>
      </w:r>
    </w:p>
    <w:p w14:paraId="11BCB23F" w14:textId="258971FC" w:rsidR="00104E37" w:rsidRPr="005727E0" w:rsidRDefault="00BE25F9" w:rsidP="0066249E">
      <w:pPr>
        <w:pStyle w:val="Heading2"/>
      </w:pPr>
      <w:r w:rsidRPr="005727E0">
        <w:lastRenderedPageBreak/>
        <w:t>Co-occurrence Analysis</w:t>
      </w:r>
    </w:p>
    <w:p w14:paraId="44B7AD31" w14:textId="72FA65E7" w:rsidR="00104E37" w:rsidRPr="005727E0" w:rsidRDefault="0066249E" w:rsidP="005727E0">
      <w:commentRangeStart w:id="8"/>
      <w:r>
        <w:t xml:space="preserve">A </w:t>
      </w:r>
      <w:r w:rsidR="005D1C51" w:rsidRPr="005727E0">
        <w:t>Fisher’s</w:t>
      </w:r>
      <w:r>
        <w:t xml:space="preserve"> exact</w:t>
      </w:r>
      <w:r w:rsidR="005D1C51" w:rsidRPr="005727E0">
        <w:t xml:space="preserve"> test </w:t>
      </w:r>
      <w:r w:rsidR="009C023E" w:rsidRPr="005727E0">
        <w:t xml:space="preserve">was </w:t>
      </w:r>
      <w:r>
        <w:t>used</w:t>
      </w:r>
      <w:r w:rsidR="0092277B" w:rsidRPr="005727E0">
        <w:t xml:space="preserve"> </w:t>
      </w:r>
      <w:r w:rsidR="005D1C51" w:rsidRPr="005727E0">
        <w:t>to c</w:t>
      </w:r>
      <w:r w:rsidR="009C023E" w:rsidRPr="005727E0">
        <w:t>heck for co-mutational p</w:t>
      </w:r>
      <w:r w:rsidR="005F57C0" w:rsidRPr="005727E0">
        <w:t xml:space="preserve">artners between </w:t>
      </w:r>
      <w:r w:rsidR="005F57C0" w:rsidRPr="0066249E">
        <w:rPr>
          <w:i/>
        </w:rPr>
        <w:t>RAS</w:t>
      </w:r>
      <w:r w:rsidR="005F57C0" w:rsidRPr="005727E0">
        <w:t xml:space="preserve"> alleles other mutated genes with at least two mutated samples. </w:t>
      </w:r>
      <w:r w:rsidR="0092277B" w:rsidRPr="005727E0">
        <w:t>One-tailed tests</w:t>
      </w:r>
      <w:r w:rsidR="005F57C0" w:rsidRPr="005727E0">
        <w:t xml:space="preserve"> </w:t>
      </w:r>
      <w:r w:rsidR="0092277B" w:rsidRPr="005727E0">
        <w:t>were performed</w:t>
      </w:r>
      <w:r w:rsidR="005F57C0" w:rsidRPr="005727E0">
        <w:t xml:space="preserve"> to check for </w:t>
      </w:r>
      <w:r w:rsidR="0090228C" w:rsidRPr="005727E0">
        <w:t>significant co-occurrence of mutations</w:t>
      </w:r>
      <w:r w:rsidR="0092277B" w:rsidRPr="005727E0">
        <w:t xml:space="preserve"> (right tail) and significant mutual exclusivity (left tail).</w:t>
      </w:r>
      <w:commentRangeEnd w:id="8"/>
      <w:r>
        <w:rPr>
          <w:rStyle w:val="CommentReference"/>
        </w:rPr>
        <w:commentReference w:id="8"/>
      </w:r>
    </w:p>
    <w:p w14:paraId="306A7D49" w14:textId="77777777" w:rsidR="00473769" w:rsidRPr="005727E0" w:rsidRDefault="00473769" w:rsidP="005727E0"/>
    <w:p w14:paraId="2228112C" w14:textId="49FD43A8" w:rsidR="00473769" w:rsidRPr="005727E0" w:rsidRDefault="00473769" w:rsidP="001B6C34">
      <w:pPr>
        <w:pStyle w:val="Heading2"/>
      </w:pPr>
      <w:r w:rsidRPr="005727E0">
        <w:t>Linear regression of prevalence versus occurrence probability</w:t>
      </w:r>
    </w:p>
    <w:p w14:paraId="48F8D53C" w14:textId="25EA2DBC" w:rsidR="002438AB" w:rsidRPr="005727E0" w:rsidRDefault="00473769" w:rsidP="005727E0">
      <w:r w:rsidRPr="005727E0">
        <w:t xml:space="preserve">For each sample harboring a </w:t>
      </w:r>
      <w:r w:rsidRPr="005727E0">
        <w:rPr>
          <w:i/>
        </w:rPr>
        <w:t xml:space="preserve">KRAS </w:t>
      </w:r>
      <w:r w:rsidRPr="005727E0">
        <w:t xml:space="preserve">or </w:t>
      </w:r>
      <w:r w:rsidRPr="005727E0">
        <w:rPr>
          <w:i/>
        </w:rPr>
        <w:t xml:space="preserve">NRAS </w:t>
      </w:r>
      <w:r w:rsidRPr="005727E0">
        <w:t xml:space="preserve">mutation, </w:t>
      </w:r>
      <w:r w:rsidR="007E0B43" w:rsidRPr="005727E0">
        <w:t xml:space="preserve">the </w:t>
      </w:r>
      <w:r w:rsidR="0072082E">
        <w:t>proportion</w:t>
      </w:r>
      <w:r w:rsidR="007E0B43" w:rsidRPr="005727E0">
        <w:t xml:space="preserve"> of </w:t>
      </w:r>
      <w:r w:rsidR="0072082E">
        <w:t xml:space="preserve">genome-wide mutations that were </w:t>
      </w:r>
      <w:r w:rsidR="001B6C34">
        <w:t xml:space="preserve">identical </w:t>
      </w:r>
      <w:r w:rsidR="007E0B43" w:rsidRPr="005727E0">
        <w:t xml:space="preserve">to </w:t>
      </w:r>
      <w:r w:rsidR="001B6C34">
        <w:t xml:space="preserve">the </w:t>
      </w:r>
      <w:r w:rsidR="007E0B43" w:rsidRPr="001B6C34">
        <w:rPr>
          <w:i/>
        </w:rPr>
        <w:t>RAS</w:t>
      </w:r>
      <w:r w:rsidR="007E0B43" w:rsidRPr="005727E0">
        <w:t xml:space="preserve"> </w:t>
      </w:r>
      <w:r w:rsidR="001B6C34">
        <w:t>mutation</w:t>
      </w:r>
      <w:r w:rsidR="007E0B43" w:rsidRPr="005727E0">
        <w:t xml:space="preserve"> </w:t>
      </w:r>
      <w:r w:rsidR="0072082E">
        <w:t>was calculated</w:t>
      </w:r>
      <w:r w:rsidR="007E0B43" w:rsidRPr="005727E0">
        <w:t>.</w:t>
      </w:r>
      <w:r w:rsidR="002438AB" w:rsidRPr="005727E0">
        <w:t xml:space="preserve"> For example, </w:t>
      </w:r>
      <w:r w:rsidR="0072082E">
        <w:t>consider</w:t>
      </w:r>
      <w:r w:rsidR="002438AB" w:rsidRPr="005727E0">
        <w:t xml:space="preserve"> a</w:t>
      </w:r>
      <w:r w:rsidR="0072082E">
        <w:t xml:space="preserve"> SKCM tumor with an</w:t>
      </w:r>
      <w:r w:rsidR="002438AB" w:rsidRPr="005727E0">
        <w:t xml:space="preserve"> </w:t>
      </w:r>
      <w:r w:rsidR="002438AB" w:rsidRPr="005727E0">
        <w:rPr>
          <w:i/>
        </w:rPr>
        <w:t>NRAS</w:t>
      </w:r>
      <w:r w:rsidR="002438AB" w:rsidRPr="005727E0">
        <w:t xml:space="preserve"> </w:t>
      </w:r>
      <w:r w:rsidR="0072082E">
        <w:t>mutation</w:t>
      </w:r>
      <w:r w:rsidR="002438AB" w:rsidRPr="005727E0">
        <w:t xml:space="preserve"> and a total of 1</w:t>
      </w:r>
      <w:r w:rsidR="0072082E">
        <w:t>,</w:t>
      </w:r>
      <w:r w:rsidR="002438AB" w:rsidRPr="005727E0">
        <w:t>500 SNVs</w:t>
      </w:r>
      <w:r w:rsidR="00983715" w:rsidRPr="005727E0">
        <w:t>.</w:t>
      </w:r>
      <w:r w:rsidR="002438AB" w:rsidRPr="005727E0">
        <w:t xml:space="preserve"> 200 mutations </w:t>
      </w:r>
      <w:r w:rsidR="0072082E">
        <w:t>were</w:t>
      </w:r>
      <w:r w:rsidR="002438AB" w:rsidRPr="005727E0">
        <w:t xml:space="preserve"> of the type A[G&gt;T]T (</w:t>
      </w:r>
      <w:r w:rsidR="002438AB" w:rsidRPr="005727E0">
        <w:rPr>
          <w:i/>
        </w:rPr>
        <w:t xml:space="preserve">NRAS </w:t>
      </w:r>
      <w:r w:rsidR="002438AB" w:rsidRPr="005727E0">
        <w:t>Q61K), 300 of the type G[T&gt;C]T (</w:t>
      </w:r>
      <w:r w:rsidR="002438AB" w:rsidRPr="005727E0">
        <w:rPr>
          <w:i/>
        </w:rPr>
        <w:t xml:space="preserve">NRAS </w:t>
      </w:r>
      <w:r w:rsidR="002438AB" w:rsidRPr="005727E0">
        <w:t>Q61R)</w:t>
      </w:r>
      <w:r w:rsidR="0072082E">
        <w:t>,</w:t>
      </w:r>
      <w:r w:rsidR="002438AB" w:rsidRPr="005727E0">
        <w:t xml:space="preserve"> and 400 G[T&gt;A]T (</w:t>
      </w:r>
      <w:r w:rsidR="002438AB" w:rsidRPr="005727E0">
        <w:rPr>
          <w:i/>
        </w:rPr>
        <w:t xml:space="preserve">NRAS </w:t>
      </w:r>
      <w:r w:rsidR="002438AB" w:rsidRPr="005727E0">
        <w:t>Q61L</w:t>
      </w:r>
      <w:r w:rsidR="00C71F3B" w:rsidRPr="005727E0">
        <w:t xml:space="preserve">). The relative probability </w:t>
      </w:r>
      <w:r w:rsidR="002438AB" w:rsidRPr="005727E0">
        <w:t xml:space="preserve">of </w:t>
      </w:r>
      <w:r w:rsidR="00C71F3B" w:rsidRPr="005727E0">
        <w:t>randomly generating each of these</w:t>
      </w:r>
      <w:r w:rsidR="002438AB" w:rsidRPr="005727E0">
        <w:t xml:space="preserve"> mutation</w:t>
      </w:r>
      <w:r w:rsidR="00C71F3B" w:rsidRPr="005727E0">
        <w:t>s</w:t>
      </w:r>
      <w:r w:rsidR="002438AB" w:rsidRPr="005727E0">
        <w:t xml:space="preserve"> </w:t>
      </w:r>
      <w:r w:rsidR="0072082E">
        <w:t>was</w:t>
      </w:r>
      <w:r w:rsidR="002438AB" w:rsidRPr="005727E0">
        <w:t xml:space="preserve"> therefore:</w:t>
      </w:r>
    </w:p>
    <w:p w14:paraId="1D3274AE" w14:textId="77777777" w:rsidR="002438AB" w:rsidRPr="005727E0" w:rsidRDefault="002438AB" w:rsidP="005727E0"/>
    <w:p w14:paraId="0A9D3583" w14:textId="6731BCA9" w:rsidR="0018452F" w:rsidRPr="005727E0" w:rsidRDefault="005C69AF" w:rsidP="005727E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Q61K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200+300+400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=0.22</m:t>
          </m:r>
        </m:oMath>
      </m:oMathPara>
    </w:p>
    <w:p w14:paraId="38EE949D" w14:textId="35514A54" w:rsidR="0018452F" w:rsidRPr="005727E0" w:rsidRDefault="0018452F" w:rsidP="005727E0">
      <w:r w:rsidRPr="005727E0">
        <w:t xml:space="preserve"> </w:t>
      </w:r>
    </w:p>
    <w:p w14:paraId="5D447D40" w14:textId="4CB76F34" w:rsidR="00473769" w:rsidRPr="005727E0" w:rsidRDefault="005C69AF" w:rsidP="005727E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Q61R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200+300+400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187917" w14:textId="4990A284" w:rsidR="0018452F" w:rsidRPr="005727E0" w:rsidRDefault="005C69AF" w:rsidP="005727E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Q61L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200+300+400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=0.44</m:t>
          </m:r>
        </m:oMath>
      </m:oMathPara>
    </w:p>
    <w:p w14:paraId="34320225" w14:textId="4DFCBD38" w:rsidR="0018452F" w:rsidRPr="005727E0" w:rsidRDefault="00414E00" w:rsidP="005727E0">
      <w:r w:rsidRPr="005727E0">
        <w:br/>
        <w:t xml:space="preserve">In Figure 2D, the mean across samples </w:t>
      </w:r>
      <w:r w:rsidR="003B4031" w:rsidRPr="005727E0">
        <w:t xml:space="preserve">± </w:t>
      </w:r>
      <w:r w:rsidR="0072082E" w:rsidRPr="0072082E">
        <w:rPr>
          <w:highlight w:val="yellow"/>
        </w:rPr>
        <w:t>X%</w:t>
      </w:r>
      <w:r w:rsidR="0072082E">
        <w:t xml:space="preserve"> </w:t>
      </w:r>
      <w:r w:rsidR="003B4031" w:rsidRPr="005727E0">
        <w:t xml:space="preserve">confidence interval </w:t>
      </w:r>
      <w:r w:rsidR="0072082E">
        <w:t>was</w:t>
      </w:r>
      <w:r w:rsidR="00983715" w:rsidRPr="005727E0">
        <w:t xml:space="preserve"> reported </w:t>
      </w:r>
      <w:r w:rsidR="003B4031" w:rsidRPr="005727E0">
        <w:t xml:space="preserve">on the </w:t>
      </w:r>
      <w:r w:rsidR="0072082E">
        <w:t>y</w:t>
      </w:r>
      <w:r w:rsidR="003B4031" w:rsidRPr="005727E0">
        <w:t xml:space="preserve">-axis while </w:t>
      </w:r>
      <w:r w:rsidR="0072082E">
        <w:t xml:space="preserve">the </w:t>
      </w:r>
      <w:r w:rsidR="003B4031" w:rsidRPr="005727E0">
        <w:t xml:space="preserve">frequency of mutation </w:t>
      </w:r>
      <w:r w:rsidR="00C71F3B" w:rsidRPr="005727E0">
        <w:t xml:space="preserve">within the tumor type </w:t>
      </w:r>
      <w:r w:rsidR="0072082E">
        <w:t>was</w:t>
      </w:r>
      <w:r w:rsidR="003B4031" w:rsidRPr="005727E0">
        <w:t xml:space="preserve"> reported on the </w:t>
      </w:r>
      <w:r w:rsidR="0072082E">
        <w:t>x</w:t>
      </w:r>
      <w:r w:rsidR="003B4031" w:rsidRPr="005727E0">
        <w:t>-axis.</w:t>
      </w:r>
    </w:p>
    <w:p w14:paraId="191D4C7C" w14:textId="3BD1CF50" w:rsidR="003B4031" w:rsidRPr="005727E0" w:rsidRDefault="003B4031" w:rsidP="005727E0">
      <w:r w:rsidRPr="005727E0">
        <w:t xml:space="preserve">Regression lines </w:t>
      </w:r>
      <w:r w:rsidR="0072082E">
        <w:t>were</w:t>
      </w:r>
      <w:r w:rsidRPr="005727E0">
        <w:t xml:space="preserve"> calculated by amino acid position w</w:t>
      </w:r>
      <w:r w:rsidR="00977433" w:rsidRPr="005727E0">
        <w:t>ith a linear model weighted by the inverse of the standard deviation of each point (</w:t>
      </w:r>
      <w:r w:rsidR="0072082E">
        <w:t xml:space="preserve">thus, </w:t>
      </w:r>
      <w:r w:rsidR="00977433" w:rsidRPr="005727E0">
        <w:t xml:space="preserve">more weight </w:t>
      </w:r>
      <w:r w:rsidR="0072082E">
        <w:t>was</w:t>
      </w:r>
      <w:r w:rsidR="00977433" w:rsidRPr="005727E0">
        <w:t xml:space="preserve"> given to those mutations that </w:t>
      </w:r>
      <w:r w:rsidR="0072082E">
        <w:t>had</w:t>
      </w:r>
      <w:r w:rsidR="00977433" w:rsidRPr="005727E0">
        <w:t xml:space="preserve"> a lower variability of their estimate).</w:t>
      </w:r>
    </w:p>
    <w:p w14:paraId="6E412702" w14:textId="77777777" w:rsidR="00A525AC" w:rsidRPr="005727E0" w:rsidRDefault="00A525AC" w:rsidP="005727E0"/>
    <w:p w14:paraId="1AFC5B97" w14:textId="1105E9F9" w:rsidR="00C07D83" w:rsidRDefault="00717EBE" w:rsidP="006D3C9F">
      <w:pPr>
        <w:pStyle w:val="Heading2"/>
      </w:pPr>
      <w:r>
        <w:t>Defining allele-specific synthetic lethality</w:t>
      </w:r>
    </w:p>
    <w:p w14:paraId="70EBEF03" w14:textId="1B578734" w:rsidR="006D3C9F" w:rsidRDefault="006D3C9F" w:rsidP="006D3C9F">
      <w:pPr>
        <w:rPr>
          <w:color w:val="000000"/>
        </w:rPr>
      </w:pPr>
      <w:r>
        <w:t xml:space="preserve">The </w:t>
      </w:r>
      <w:r w:rsidR="00BA54F7">
        <w:t>most recent</w:t>
      </w:r>
      <w:r>
        <w:t xml:space="preserve"> </w:t>
      </w:r>
      <w:r w:rsidR="00BA54F7">
        <w:t xml:space="preserve">data </w:t>
      </w:r>
      <w:r>
        <w:t xml:space="preserve">release from the Cancer Dependency Map (DepMap) project </w:t>
      </w:r>
      <w:r>
        <w:rPr>
          <w:color w:val="000000"/>
        </w:rPr>
        <w:t xml:space="preserve">[28753430, 29083409] </w:t>
      </w:r>
      <w:r>
        <w:t xml:space="preserve">was downloaded on </w:t>
      </w:r>
      <w:r w:rsidR="00BA54F7">
        <w:t xml:space="preserve">03/24/2018. For all analyses, the batch-effect corrected, CERES-adjusted dependency scores were used. </w:t>
      </w:r>
      <w:r w:rsidR="00BA54F7">
        <w:rPr>
          <w:color w:val="000000"/>
        </w:rPr>
        <w:t xml:space="preserve">Thus far, the DepMap </w:t>
      </w:r>
      <w:r w:rsidR="00BA54F7">
        <w:rPr>
          <w:color w:val="000000"/>
        </w:rPr>
        <w:lastRenderedPageBreak/>
        <w:t xml:space="preserve">project has screened 27 COADREAD, 76 LUAD, 16 MM, 25 PAAD, and 34 SKCM derived cell lines, of which 13 COADREAD, 26 LUAD, and 23 PAAD had a </w:t>
      </w:r>
      <w:r w:rsidR="00BA54F7">
        <w:rPr>
          <w:i/>
          <w:iCs/>
          <w:color w:val="000000"/>
        </w:rPr>
        <w:t>KRAS</w:t>
      </w:r>
      <w:r w:rsidR="00BA54F7">
        <w:rPr>
          <w:color w:val="000000"/>
        </w:rPr>
        <w:t xml:space="preserve"> mutation, 8 SKCM had a </w:t>
      </w:r>
      <w:r w:rsidR="00BA54F7">
        <w:rPr>
          <w:i/>
          <w:iCs/>
          <w:color w:val="000000"/>
        </w:rPr>
        <w:t>NRAS</w:t>
      </w:r>
      <w:r w:rsidR="00BA54F7">
        <w:rPr>
          <w:color w:val="000000"/>
        </w:rPr>
        <w:t xml:space="preserve"> mutation, and 9 MM had either a </w:t>
      </w:r>
      <w:r w:rsidR="00BA54F7">
        <w:rPr>
          <w:i/>
          <w:iCs/>
          <w:color w:val="000000"/>
        </w:rPr>
        <w:t>KRAS</w:t>
      </w:r>
      <w:r w:rsidR="00BA54F7">
        <w:rPr>
          <w:color w:val="000000"/>
        </w:rPr>
        <w:t xml:space="preserve"> or </w:t>
      </w:r>
      <w:r w:rsidR="00BA54F7">
        <w:rPr>
          <w:i/>
          <w:iCs/>
          <w:color w:val="000000"/>
        </w:rPr>
        <w:t>NRAS</w:t>
      </w:r>
      <w:r w:rsidR="00BA54F7">
        <w:rPr>
          <w:color w:val="000000"/>
        </w:rPr>
        <w:t xml:space="preserve"> mutation (only including mutations in hotspot codons; </w:t>
      </w:r>
      <w:r w:rsidR="00BA54F7">
        <w:rPr>
          <w:b/>
          <w:bCs/>
          <w:color w:val="000000"/>
        </w:rPr>
        <w:t>Supplementary Figure JHC1A</w:t>
      </w:r>
      <w:r w:rsidR="00BA54F7">
        <w:rPr>
          <w:color w:val="000000"/>
        </w:rPr>
        <w:t xml:space="preserve">). Only alleles found in at least three cell lines of a cancer were used in the following analysis, which restricted the analysis to the most common </w:t>
      </w:r>
      <w:r w:rsidR="00BA54F7">
        <w:rPr>
          <w:i/>
          <w:iCs/>
          <w:color w:val="000000"/>
        </w:rPr>
        <w:t>KRAS</w:t>
      </w:r>
      <w:r w:rsidR="00BA54F7">
        <w:rPr>
          <w:color w:val="000000"/>
        </w:rPr>
        <w:t xml:space="preserve"> alleles of COADREAD, LUAD, and PAAD cell lines. The metric for genetic dependency was a measure of the depletion of the CRISPR sgRNA for the given target gene [29083409]; thus a negative score indicated a greater dependency.</w:t>
      </w:r>
    </w:p>
    <w:p w14:paraId="07EA9AFA" w14:textId="2AEDAFC1" w:rsidR="00BA54F7" w:rsidRDefault="00BA54F7" w:rsidP="006D3C9F">
      <w:pPr>
        <w:rPr>
          <w:color w:val="000000"/>
        </w:rPr>
      </w:pPr>
      <w:r>
        <w:rPr>
          <w:color w:val="000000"/>
        </w:rPr>
        <w:tab/>
      </w:r>
      <w:r w:rsidR="00653BC2">
        <w:rPr>
          <w:color w:val="000000"/>
        </w:rPr>
        <w:t xml:space="preserve">The DepMap project identified “pan-essential” genes as those uniformly lethal across cell lines [29083409]; these genes were used to inform the determination of synthetic lethal genes in this analysis. </w:t>
      </w:r>
      <w:r w:rsidR="00794559">
        <w:rPr>
          <w:color w:val="000000"/>
        </w:rPr>
        <w:t xml:space="preserve">To select genes that showed synthetic lethality in the cell lines of at least one </w:t>
      </w:r>
      <w:r w:rsidR="00794559" w:rsidRPr="00794559">
        <w:rPr>
          <w:i/>
          <w:color w:val="000000"/>
        </w:rPr>
        <w:t>KRAS</w:t>
      </w:r>
      <w:r w:rsidR="00794559">
        <w:rPr>
          <w:color w:val="000000"/>
        </w:rPr>
        <w:t xml:space="preserve"> allele, o</w:t>
      </w:r>
      <w:r w:rsidR="00653BC2">
        <w:rPr>
          <w:color w:val="000000"/>
        </w:rPr>
        <w:t xml:space="preserve">nly genes that had an mean dependency score </w:t>
      </w:r>
      <w:r w:rsidR="00794559">
        <w:rPr>
          <w:color w:val="000000"/>
        </w:rPr>
        <w:t>within or less than (i.e. stronger dependency)</w:t>
      </w:r>
      <w:r w:rsidR="00653BC2">
        <w:rPr>
          <w:color w:val="000000"/>
        </w:rPr>
        <w:t xml:space="preserve"> </w:t>
      </w:r>
      <w:r w:rsidR="00794559">
        <w:rPr>
          <w:color w:val="000000"/>
        </w:rPr>
        <w:t xml:space="preserve">one standard deviation of the pan-essential genes in cell lines of a </w:t>
      </w:r>
      <w:r w:rsidR="00794559">
        <w:rPr>
          <w:i/>
          <w:color w:val="000000"/>
        </w:rPr>
        <w:t>KRAS</w:t>
      </w:r>
      <w:r w:rsidR="00794559">
        <w:rPr>
          <w:color w:val="000000"/>
        </w:rPr>
        <w:t xml:space="preserve"> allele were tested further. To statistically determine allele-specificity, an ANOVA was used to test for variation in dependency scores in cell lines separated by </w:t>
      </w:r>
      <w:r w:rsidR="00794559">
        <w:rPr>
          <w:i/>
          <w:color w:val="000000"/>
        </w:rPr>
        <w:t>KRAS</w:t>
      </w:r>
      <w:r w:rsidR="00794559">
        <w:rPr>
          <w:color w:val="000000"/>
        </w:rPr>
        <w:t xml:space="preserve"> allele. Due to the relatively low number of cell lines per allele, a </w:t>
      </w:r>
      <w:r w:rsidR="00794559">
        <w:rPr>
          <w:i/>
          <w:color w:val="000000"/>
        </w:rPr>
        <w:t>p</w:t>
      </w:r>
      <w:r w:rsidR="00794559">
        <w:rPr>
          <w:color w:val="000000"/>
        </w:rPr>
        <w:t>-value of 0.10 was used as the threshold.</w:t>
      </w:r>
    </w:p>
    <w:p w14:paraId="7B7C3EB9" w14:textId="687F4793" w:rsidR="00717EBE" w:rsidRDefault="00717EBE" w:rsidP="006D3C9F">
      <w:pPr>
        <w:rPr>
          <w:color w:val="000000"/>
        </w:rPr>
      </w:pPr>
    </w:p>
    <w:p w14:paraId="75E9C2B8" w14:textId="613C0932" w:rsidR="00717EBE" w:rsidRDefault="00717EBE" w:rsidP="00717EBE">
      <w:pPr>
        <w:pStyle w:val="Heading2"/>
      </w:pPr>
      <w:r>
        <w:t>The functional enrichment of synthetic lethal genes</w:t>
      </w:r>
    </w:p>
    <w:p w14:paraId="5739A29F" w14:textId="6DCF63BE" w:rsidR="00717EBE" w:rsidRDefault="00764EEF" w:rsidP="00764EEF">
      <w:r>
        <w:t>WebGestalt</w:t>
      </w:r>
      <w:r w:rsidR="00717EBE">
        <w:t xml:space="preserve"> </w:t>
      </w:r>
      <w:r>
        <w:t xml:space="preserve">was used to </w:t>
      </w:r>
      <w:r w:rsidR="00717EBE">
        <w:t xml:space="preserve">identify cellular functions and pathways enriched in </w:t>
      </w:r>
      <w:r>
        <w:t>genes determined to show allele-specific genetic dependencies [</w:t>
      </w:r>
      <w:r w:rsidRPr="00764EEF">
        <w:t>28472511</w:t>
      </w:r>
      <w:r>
        <w:t>]. The R package ‘WebGestaltR’ was used to interface with the web application. The following databases were used: "geneontology_Biological_Process","geneontology_Cellular_Component", "geneontology_Molecular_Function", "pathway_KEGG", "pathway_Panther", "pathway_Reactome", "pathway_Wikipathway", "community-contributed_Hallmark50”. The enriched gene-sets (FDR &lt; 0.10) were manually sorted into the groups presented in the paper.</w:t>
      </w:r>
    </w:p>
    <w:p w14:paraId="483268E2" w14:textId="2090FDA5" w:rsidR="00926DB4" w:rsidRPr="00717EBE" w:rsidRDefault="00926DB4" w:rsidP="005A3545">
      <w:r>
        <w:tab/>
        <w:t>To specifically investigate the genetic dependencies with key oncogenic signaling pathways, the following KEGG gene</w:t>
      </w:r>
      <w:r w:rsidR="005A3545">
        <w:t xml:space="preserve">-sets from MSigDB C2 curated collection were used: "APOPTOSIS", "CELL_CYCLE", "JAK_STAT_SIGNALING_PATHWAY", "MAPK_SIGNALING_PATHWAY", "MTOR_SIGNALING_PATHWAY", "NOTCH_SIGNALING_PATHWAY", "P53_SIGNALING_PATHWAY", </w:t>
      </w:r>
      <w:r w:rsidR="005A3545">
        <w:lastRenderedPageBreak/>
        <w:t>"PHOSPHATIDYLINOSITOL_SIGNALING_SYSTEM", "VEGF_SIGNALING_PATHWAY", "WNT_SIGNALING_PATHWAY" [</w:t>
      </w:r>
      <w:r w:rsidR="005A3545">
        <w:rPr>
          <w:color w:val="000000"/>
        </w:rPr>
        <w:t xml:space="preserve">27899662, </w:t>
      </w:r>
      <w:r w:rsidR="005A3545" w:rsidRPr="005A3545">
        <w:rPr>
          <w:color w:val="000000"/>
        </w:rPr>
        <w:t>21546393</w:t>
      </w:r>
      <w:r w:rsidR="005A3545">
        <w:t>].</w:t>
      </w:r>
    </w:p>
    <w:p w14:paraId="5F242747" w14:textId="5E526427" w:rsidR="00A525AC" w:rsidRPr="005727E0" w:rsidRDefault="00A525AC" w:rsidP="006D3C9F">
      <w:pPr>
        <w:pStyle w:val="Heading2"/>
      </w:pPr>
      <w:r w:rsidRPr="005727E0">
        <w:t>Allele-specific co</w:t>
      </w:r>
      <w:r w:rsidR="00C07D83" w:rsidRPr="005727E0">
        <w:t>-</w:t>
      </w:r>
      <w:r w:rsidRPr="005727E0">
        <w:t xml:space="preserve">mutation </w:t>
      </w:r>
      <w:r w:rsidRPr="006D3C9F">
        <w:t>subnetwork</w:t>
      </w:r>
    </w:p>
    <w:p w14:paraId="54826FE9" w14:textId="755F57EA" w:rsidR="00A525AC" w:rsidRDefault="001B19F0" w:rsidP="005727E0">
      <w:r w:rsidRPr="005727E0">
        <w:t>Significantly disrupted protein-protein interaction (PPI) subnetworks were identified using HotNet2 (</w:t>
      </w:r>
      <w:r w:rsidR="00C35CD1" w:rsidRPr="005727E0">
        <w:t>version 1.2.1)</w:t>
      </w:r>
      <w:r w:rsidRPr="005727E0">
        <w:t xml:space="preserve"> [25501392] with samples divided by </w:t>
      </w:r>
      <w:r w:rsidRPr="005727E0">
        <w:rPr>
          <w:i/>
          <w:iCs/>
        </w:rPr>
        <w:t>RAS</w:t>
      </w:r>
      <w:r w:rsidRPr="005727E0">
        <w:t xml:space="preserve"> mutation or wild-type </w:t>
      </w:r>
      <w:r w:rsidRPr="005727E0">
        <w:rPr>
          <w:i/>
          <w:iCs/>
        </w:rPr>
        <w:t>RAS</w:t>
      </w:r>
      <w:r w:rsidRPr="005727E0">
        <w:t xml:space="preserve"> and cancer type, where mutational frequency of the gene in the subset was used the value for “heat.” The underlying PPI </w:t>
      </w:r>
      <w:r w:rsidR="002443AE" w:rsidRPr="005727E0">
        <w:t xml:space="preserve">consisted of the binary </w:t>
      </w:r>
      <w:r w:rsidR="001D1992">
        <w:t xml:space="preserve">and complex </w:t>
      </w:r>
      <w:r w:rsidR="002443AE" w:rsidRPr="005727E0">
        <w:t xml:space="preserve">interactions </w:t>
      </w:r>
      <w:r w:rsidRPr="005727E0">
        <w:t xml:space="preserve">obtained from </w:t>
      </w:r>
      <w:r w:rsidR="002443AE" w:rsidRPr="005727E0">
        <w:t xml:space="preserve">the </w:t>
      </w:r>
      <w:r w:rsidRPr="005727E0">
        <w:t>High-quality INTeractomes (HINT)</w:t>
      </w:r>
      <w:r w:rsidR="002443AE" w:rsidRPr="005727E0">
        <w:t xml:space="preserve"> database</w:t>
      </w:r>
      <w:r w:rsidRPr="005727E0">
        <w:t xml:space="preserve"> (</w:t>
      </w:r>
      <w:r w:rsidR="001F5CBC" w:rsidRPr="005727E0">
        <w:t>11/24/2018</w:t>
      </w:r>
      <w:r w:rsidRPr="005727E0">
        <w:t>) [22846459] and non-expressed genes were removed for each cancer. The simulations were performed over 100 permutated networks with 1</w:t>
      </w:r>
      <w:r w:rsidR="001D1992">
        <w:t>,</w:t>
      </w:r>
      <w:r w:rsidRPr="005727E0">
        <w:t>000 heat permutations and a diffusion constant of 0.5</w:t>
      </w:r>
      <w:r w:rsidR="001D1992">
        <w:t>0</w:t>
      </w:r>
      <w:r w:rsidRPr="005727E0">
        <w:t xml:space="preserve">. The threshold for the minimum edge weight </w:t>
      </w:r>
      <w:r w:rsidRPr="005727E0">
        <w:rPr>
          <w:rFonts w:ascii="Cambria Math" w:hAnsi="Cambria Math" w:cs="Cambria Math"/>
        </w:rPr>
        <w:t>𝛿</w:t>
      </w:r>
      <w:r w:rsidRPr="005727E0">
        <w:t xml:space="preserve"> of the returned subnetwork was determined to be the smallest value with the most number of significant (</w:t>
      </w:r>
      <w:r w:rsidR="00065C8E">
        <w:t xml:space="preserve">FDR adjusted </w:t>
      </w:r>
      <w:r w:rsidR="00065C8E">
        <w:rPr>
          <w:i/>
          <w:iCs/>
        </w:rPr>
        <w:t>p</w:t>
      </w:r>
      <w:r w:rsidR="00065C8E" w:rsidRPr="00065C8E">
        <w:t>-</w:t>
      </w:r>
      <w:r w:rsidRPr="00065C8E">
        <w:t>value</w:t>
      </w:r>
      <w:r w:rsidRPr="005727E0">
        <w:t xml:space="preserve"> &lt; 0.</w:t>
      </w:r>
      <w:r w:rsidR="00065C8E">
        <w:t>10</w:t>
      </w:r>
      <w:r w:rsidRPr="005727E0">
        <w:t xml:space="preserve">) subnetwork sizes </w:t>
      </w:r>
      <w:r w:rsidRPr="005727E0">
        <w:rPr>
          <w:rFonts w:ascii="Cambria Math" w:hAnsi="Cambria Math" w:cs="Cambria Math"/>
        </w:rPr>
        <w:t>𝑘</w:t>
      </w:r>
      <w:r w:rsidRPr="005727E0">
        <w:t>. The largest significant subnetwork size was then selected</w:t>
      </w:r>
      <w:r w:rsidR="00065C8E">
        <w:t xml:space="preserve"> as the threshold</w:t>
      </w:r>
      <w:r w:rsidRPr="005727E0">
        <w:t>.</w:t>
      </w:r>
    </w:p>
    <w:p w14:paraId="65BCA175" w14:textId="0A86210D" w:rsidR="005A3545" w:rsidRPr="002772D5" w:rsidRDefault="005A3545" w:rsidP="005727E0">
      <w:r>
        <w:tab/>
      </w:r>
      <w:r w:rsidR="00606376">
        <w:t>The a</w:t>
      </w:r>
      <w:r>
        <w:t>llele specificity of a co-mutating subnetwork was determined using a one-sided Fisher’s exact test to</w:t>
      </w:r>
      <w:r w:rsidR="002772D5">
        <w:t xml:space="preserve"> compare </w:t>
      </w:r>
      <w:r>
        <w:t xml:space="preserve">the frequency of </w:t>
      </w:r>
      <w:r w:rsidR="002772D5">
        <w:t xml:space="preserve">having at least one mutation in a gene in the subnetwork between </w:t>
      </w:r>
      <w:r>
        <w:t xml:space="preserve">samples with the </w:t>
      </w:r>
      <w:r>
        <w:rPr>
          <w:i/>
        </w:rPr>
        <w:t>KRAS</w:t>
      </w:r>
      <w:r>
        <w:t xml:space="preserve"> allele </w:t>
      </w:r>
      <w:r w:rsidR="002772D5">
        <w:t xml:space="preserve">and all others of the same cancer. In the text, </w:t>
      </w:r>
      <w:r w:rsidR="002772D5">
        <w:rPr>
          <w:i/>
        </w:rPr>
        <w:t>p</w:t>
      </w:r>
      <w:r w:rsidR="002772D5">
        <w:rPr>
          <w:i/>
        </w:rPr>
        <w:softHyphen/>
      </w:r>
      <w:r w:rsidR="002772D5">
        <w:t xml:space="preserve">-values are presented though all had Benjamini-Hochberg FDR adjusted </w:t>
      </w:r>
      <w:r w:rsidR="002772D5" w:rsidRPr="002772D5">
        <w:rPr>
          <w:i/>
        </w:rPr>
        <w:t>q</w:t>
      </w:r>
      <w:r w:rsidR="002772D5">
        <w:t xml:space="preserve">-values below </w:t>
      </w:r>
      <w:commentRangeStart w:id="9"/>
      <w:r w:rsidR="002772D5">
        <w:t>0.10</w:t>
      </w:r>
      <w:commentRangeEnd w:id="9"/>
      <w:r w:rsidR="00606376">
        <w:rPr>
          <w:rStyle w:val="CommentReference"/>
        </w:rPr>
        <w:commentReference w:id="9"/>
      </w:r>
      <w:r w:rsidR="002772D5">
        <w:t xml:space="preserve"> [“</w:t>
      </w:r>
      <w:r w:rsidR="002772D5" w:rsidRPr="002772D5">
        <w:t>Controlling the false discovery rate: a practical and powerful approach to multiple testing</w:t>
      </w:r>
      <w:r w:rsidR="002772D5">
        <w:t xml:space="preserve">”]. </w:t>
      </w:r>
    </w:p>
    <w:p w14:paraId="3BEEB5E6" w14:textId="0E9470BC" w:rsidR="005A3545" w:rsidRPr="005727E0" w:rsidRDefault="005A3545" w:rsidP="005727E0"/>
    <w:sectPr w:rsidR="005A3545" w:rsidRPr="005727E0" w:rsidSect="009B3F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hua Cook" w:date="2019-04-16T07:18:00Z" w:initials="JHC">
    <w:p w14:paraId="4118FA69" w14:textId="3D17A056" w:rsidR="00902234" w:rsidRDefault="00902234">
      <w:pPr>
        <w:pStyle w:val="CommentText"/>
      </w:pPr>
      <w:r>
        <w:rPr>
          <w:rStyle w:val="CommentReference"/>
        </w:rPr>
        <w:annotationRef/>
      </w:r>
      <w:r>
        <w:t>@GM: Were these from ICGC? On their website it says these  were the TCGA projects.</w:t>
      </w:r>
      <w:r>
        <w:br/>
      </w:r>
      <w:r w:rsidRPr="00902234">
        <w:t>https://icgc.org/icgc/cgp/73/509/1002259</w:t>
      </w:r>
    </w:p>
  </w:comment>
  <w:comment w:id="1" w:author="Joshua Cook" w:date="2019-04-16T07:07:00Z" w:initials="JHC">
    <w:p w14:paraId="46D4DB35" w14:textId="72D54C69" w:rsidR="001A0586" w:rsidRDefault="001A0586" w:rsidP="005727E0">
      <w:pPr>
        <w:pStyle w:val="CommentText"/>
      </w:pPr>
      <w:r>
        <w:rPr>
          <w:rStyle w:val="CommentReference"/>
        </w:rPr>
        <w:annotationRef/>
      </w:r>
      <w:r w:rsidR="00902234">
        <w:rPr>
          <w:rStyle w:val="CommentReference"/>
        </w:rPr>
        <w:t>@GM: Please insert the actual range.</w:t>
      </w:r>
    </w:p>
  </w:comment>
  <w:comment w:id="2" w:author="Joshua Cook" w:date="2019-04-16T07:26:00Z" w:initials="JHC">
    <w:p w14:paraId="1E52A49E" w14:textId="0047187F" w:rsidR="00902234" w:rsidRDefault="00902234">
      <w:pPr>
        <w:pStyle w:val="CommentText"/>
      </w:pPr>
      <w:r>
        <w:rPr>
          <w:rStyle w:val="CommentReference"/>
        </w:rPr>
        <w:annotationRef/>
      </w:r>
      <w:r>
        <w:t>@JHC: Move to Mutational Signature Call</w:t>
      </w:r>
    </w:p>
  </w:comment>
  <w:comment w:id="3" w:author="Joshua Cook" w:date="2019-04-16T07:59:00Z" w:initials="JHC">
    <w:p w14:paraId="3B046555" w14:textId="77777777" w:rsidR="00453886" w:rsidRDefault="00453886" w:rsidP="00453886">
      <w:pPr>
        <w:pStyle w:val="CommentText"/>
      </w:pPr>
      <w:r>
        <w:rPr>
          <w:rStyle w:val="CommentReference"/>
        </w:rPr>
        <w:annotationRef/>
      </w:r>
      <w:r>
        <w:t>@JHC: Need to make this table.</w:t>
      </w:r>
    </w:p>
  </w:comment>
  <w:comment w:id="4" w:author="Joshua Cook" w:date="2019-04-16T08:00:00Z" w:initials="JHC">
    <w:p w14:paraId="32B03776" w14:textId="77777777" w:rsidR="00453886" w:rsidRDefault="00453886" w:rsidP="00453886">
      <w:pPr>
        <w:pStyle w:val="CommentText"/>
      </w:pPr>
      <w:r>
        <w:rPr>
          <w:rStyle w:val="CommentReference"/>
        </w:rPr>
        <w:annotationRef/>
      </w:r>
      <w:r>
        <w:t>@JHC: Need to make this Fig</w:t>
      </w:r>
    </w:p>
  </w:comment>
  <w:comment w:id="5" w:author="Giorgio Melloni" w:date="2019-03-28T20:41:00Z" w:initials="GM">
    <w:p w14:paraId="3C13F3BC" w14:textId="578F8F35" w:rsidR="00C50696" w:rsidRDefault="00C50696" w:rsidP="005727E0">
      <w:pPr>
        <w:pStyle w:val="CommentText"/>
      </w:pPr>
      <w:r>
        <w:rPr>
          <w:rStyle w:val="CommentReference"/>
        </w:rPr>
        <w:annotationRef/>
      </w:r>
      <w:r>
        <w:t>To be rewritten by Doga</w:t>
      </w:r>
    </w:p>
  </w:comment>
  <w:comment w:id="7" w:author="Doga" w:date="2019-04-18T15:45:00Z" w:initials="MOU">
    <w:p w14:paraId="458FE8E6" w14:textId="0AF48D10" w:rsidR="005C69AF" w:rsidRDefault="005C69AF">
      <w:pPr>
        <w:pStyle w:val="CommentText"/>
      </w:pPr>
      <w:r>
        <w:rPr>
          <w:rStyle w:val="CommentReference"/>
        </w:rPr>
        <w:annotationRef/>
      </w:r>
      <w:r>
        <w:t>This is the figure with bars for each sample and fraction of exposures I guess you have a supplementary figure like this.</w:t>
      </w:r>
    </w:p>
  </w:comment>
  <w:comment w:id="8" w:author="Joshua Cook" w:date="2019-04-16T07:34:00Z" w:initials="JHC">
    <w:p w14:paraId="0B244F20" w14:textId="4633460E" w:rsidR="0066249E" w:rsidRDefault="0066249E">
      <w:pPr>
        <w:pStyle w:val="CommentText"/>
      </w:pPr>
      <w:r>
        <w:rPr>
          <w:rStyle w:val="CommentReference"/>
        </w:rPr>
        <w:annotationRef/>
      </w:r>
      <w:r>
        <w:t>@GM: There is reference to only considering driver genes in the text.</w:t>
      </w:r>
    </w:p>
  </w:comment>
  <w:comment w:id="9" w:author="Joshua Cook" w:date="2019-04-16T09:21:00Z" w:initials="JHC">
    <w:p w14:paraId="56AE9DE1" w14:textId="01E4EDC7" w:rsidR="00606376" w:rsidRDefault="00606376">
      <w:pPr>
        <w:pStyle w:val="CommentText"/>
      </w:pPr>
      <w:r>
        <w:rPr>
          <w:rStyle w:val="CommentReference"/>
        </w:rPr>
        <w:annotationRef/>
      </w:r>
      <w:r>
        <w:t>@JHC: check this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18FA69" w15:done="0"/>
  <w15:commentEx w15:paraId="46D4DB35" w15:done="0"/>
  <w15:commentEx w15:paraId="1E52A49E" w15:done="0"/>
  <w15:commentEx w15:paraId="3B046555" w15:done="0"/>
  <w15:commentEx w15:paraId="32B03776" w15:done="0"/>
  <w15:commentEx w15:paraId="3C13F3BC" w15:done="0"/>
  <w15:commentEx w15:paraId="458FE8E6" w15:done="0"/>
  <w15:commentEx w15:paraId="0B244F20" w15:done="0"/>
  <w15:commentEx w15:paraId="56AE9D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18FA69" w16cid:durableId="20600047"/>
  <w16cid:commentId w16cid:paraId="46D4DB35" w16cid:durableId="205FFDCF"/>
  <w16cid:commentId w16cid:paraId="1E52A49E" w16cid:durableId="20600225"/>
  <w16cid:commentId w16cid:paraId="3B046555" w16cid:durableId="206009D0"/>
  <w16cid:commentId w16cid:paraId="32B03776" w16cid:durableId="20600A07"/>
  <w16cid:commentId w16cid:paraId="3C13F3BC" w16cid:durableId="205DE70A"/>
  <w16cid:commentId w16cid:paraId="26C653AB" w16cid:durableId="20600347"/>
  <w16cid:commentId w16cid:paraId="18BE5F54" w16cid:durableId="20600387"/>
  <w16cid:commentId w16cid:paraId="337DDEA3" w16cid:durableId="206003C0"/>
  <w16cid:commentId w16cid:paraId="0B244F20" w16cid:durableId="2060040D"/>
  <w16cid:commentId w16cid:paraId="56AE9DE1" w16cid:durableId="20601D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90"/>
    <w:rsid w:val="00047C84"/>
    <w:rsid w:val="00065C8E"/>
    <w:rsid w:val="000721C9"/>
    <w:rsid w:val="000B3B2F"/>
    <w:rsid w:val="000E60B2"/>
    <w:rsid w:val="00104E37"/>
    <w:rsid w:val="001624D6"/>
    <w:rsid w:val="0018452F"/>
    <w:rsid w:val="001A0586"/>
    <w:rsid w:val="001A25AF"/>
    <w:rsid w:val="001B19F0"/>
    <w:rsid w:val="001B6C34"/>
    <w:rsid w:val="001D1992"/>
    <w:rsid w:val="001D275A"/>
    <w:rsid w:val="001F5CBC"/>
    <w:rsid w:val="00205029"/>
    <w:rsid w:val="002158C9"/>
    <w:rsid w:val="00215F0E"/>
    <w:rsid w:val="002438AB"/>
    <w:rsid w:val="002443AE"/>
    <w:rsid w:val="002772D5"/>
    <w:rsid w:val="002C6DB0"/>
    <w:rsid w:val="00372CD4"/>
    <w:rsid w:val="003B4031"/>
    <w:rsid w:val="00414E00"/>
    <w:rsid w:val="00453886"/>
    <w:rsid w:val="00473769"/>
    <w:rsid w:val="00490015"/>
    <w:rsid w:val="00500848"/>
    <w:rsid w:val="005727E0"/>
    <w:rsid w:val="005A3545"/>
    <w:rsid w:val="005A441C"/>
    <w:rsid w:val="005C2D3B"/>
    <w:rsid w:val="005C69AF"/>
    <w:rsid w:val="005D1C51"/>
    <w:rsid w:val="005E1741"/>
    <w:rsid w:val="005F57C0"/>
    <w:rsid w:val="00606376"/>
    <w:rsid w:val="00633FF3"/>
    <w:rsid w:val="00641DB0"/>
    <w:rsid w:val="00653BC2"/>
    <w:rsid w:val="00654E78"/>
    <w:rsid w:val="0066249E"/>
    <w:rsid w:val="00694F45"/>
    <w:rsid w:val="006A50F4"/>
    <w:rsid w:val="006A5190"/>
    <w:rsid w:val="006A609B"/>
    <w:rsid w:val="006B69E3"/>
    <w:rsid w:val="006D3C9F"/>
    <w:rsid w:val="006D40FA"/>
    <w:rsid w:val="00710B30"/>
    <w:rsid w:val="00717EBE"/>
    <w:rsid w:val="0072082E"/>
    <w:rsid w:val="00745CA8"/>
    <w:rsid w:val="00764EEF"/>
    <w:rsid w:val="00775EB7"/>
    <w:rsid w:val="007901CB"/>
    <w:rsid w:val="00794559"/>
    <w:rsid w:val="007E0B43"/>
    <w:rsid w:val="007E31DF"/>
    <w:rsid w:val="0081106E"/>
    <w:rsid w:val="00813C5C"/>
    <w:rsid w:val="00815519"/>
    <w:rsid w:val="00816106"/>
    <w:rsid w:val="008810B5"/>
    <w:rsid w:val="008B1818"/>
    <w:rsid w:val="008C094D"/>
    <w:rsid w:val="008C662D"/>
    <w:rsid w:val="008C675C"/>
    <w:rsid w:val="008F5804"/>
    <w:rsid w:val="008F7099"/>
    <w:rsid w:val="00902234"/>
    <w:rsid w:val="0090228C"/>
    <w:rsid w:val="00913E67"/>
    <w:rsid w:val="0092277B"/>
    <w:rsid w:val="00926DB4"/>
    <w:rsid w:val="00977433"/>
    <w:rsid w:val="00983715"/>
    <w:rsid w:val="009B3F5E"/>
    <w:rsid w:val="009C023E"/>
    <w:rsid w:val="009F0EDB"/>
    <w:rsid w:val="009F6839"/>
    <w:rsid w:val="00A21E8F"/>
    <w:rsid w:val="00A525AC"/>
    <w:rsid w:val="00A62444"/>
    <w:rsid w:val="00A867BB"/>
    <w:rsid w:val="00AB0FE8"/>
    <w:rsid w:val="00AB63DC"/>
    <w:rsid w:val="00AF624F"/>
    <w:rsid w:val="00B02119"/>
    <w:rsid w:val="00B7221B"/>
    <w:rsid w:val="00B91D97"/>
    <w:rsid w:val="00BA54F7"/>
    <w:rsid w:val="00BE25F9"/>
    <w:rsid w:val="00BF31BA"/>
    <w:rsid w:val="00C07D83"/>
    <w:rsid w:val="00C35CD1"/>
    <w:rsid w:val="00C50696"/>
    <w:rsid w:val="00C646F5"/>
    <w:rsid w:val="00C71F3B"/>
    <w:rsid w:val="00C91185"/>
    <w:rsid w:val="00CC169D"/>
    <w:rsid w:val="00CD6583"/>
    <w:rsid w:val="00CD7161"/>
    <w:rsid w:val="00DB5E8D"/>
    <w:rsid w:val="00DF09BC"/>
    <w:rsid w:val="00E209C7"/>
    <w:rsid w:val="00E62611"/>
    <w:rsid w:val="00E9768A"/>
    <w:rsid w:val="00EB0807"/>
    <w:rsid w:val="00F1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A9AF8"/>
  <w14:defaultImageDpi w14:val="300"/>
  <w15:docId w15:val="{121D6E25-56DC-1B4C-8EA8-EEDDAF7A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27E0"/>
    <w:pPr>
      <w:spacing w:line="360" w:lineRule="auto"/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1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7E0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7E0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519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5190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1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9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A5190"/>
    <w:pPr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A5190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A519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519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519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519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519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5190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8F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38AB"/>
    <w:rPr>
      <w:color w:val="808080"/>
    </w:rPr>
  </w:style>
  <w:style w:type="paragraph" w:customStyle="1" w:styleId="Default">
    <w:name w:val="Default"/>
    <w:rsid w:val="00A525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50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0696"/>
  </w:style>
  <w:style w:type="character" w:customStyle="1" w:styleId="CommentTextChar">
    <w:name w:val="Comment Text Char"/>
    <w:basedOn w:val="DefaultParagraphFont"/>
    <w:link w:val="CommentText"/>
    <w:uiPriority w:val="99"/>
    <w:rsid w:val="00C506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9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30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CF47C4E-BB70-F046-BEC7-189CCF61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1817</Words>
  <Characters>10363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HMS DBMI</Company>
  <LinksUpToDate>false</LinksUpToDate>
  <CharactersWithSpaces>12156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Melloni</dc:creator>
  <cp:keywords/>
  <dc:description/>
  <cp:lastModifiedBy>Doga</cp:lastModifiedBy>
  <cp:revision>28</cp:revision>
  <dcterms:created xsi:type="dcterms:W3CDTF">2018-12-19T16:39:00Z</dcterms:created>
  <dcterms:modified xsi:type="dcterms:W3CDTF">2019-04-18T19:45:00Z</dcterms:modified>
</cp:coreProperties>
</file>