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lang w:val="en-GB"/>
        </w:rPr>
      </w:pP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xml:space="preserve">, </w:t>
      </w:r>
      <w:proofErr w:type="spellStart"/>
      <w:r w:rsidRPr="00AD3BF2">
        <w:rPr>
          <w:rFonts w:cs="Arial"/>
        </w:rPr>
        <w:t>Doga</w:t>
      </w:r>
      <w:proofErr w:type="spellEnd"/>
      <w:r w:rsidRPr="00AD3BF2">
        <w:rPr>
          <w:rFonts w:cs="Arial"/>
        </w:rPr>
        <w:t xml:space="preserve">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091ACACA" w:rsidR="00E0297D" w:rsidRPr="00AD3BF2" w:rsidRDefault="00FD56C1" w:rsidP="0062388D">
      <w:pPr>
        <w:pStyle w:val="BodyText"/>
      </w:pPr>
      <w:r w:rsidRPr="00AD3BF2">
        <w:rPr>
          <w:vertAlign w:val="superscript"/>
        </w:rPr>
        <w:t>1</w:t>
      </w:r>
      <w:r w:rsidRPr="00AD3BF2">
        <w:t>Department of Cancer Biology, Dana</w:t>
      </w:r>
      <w:r w:rsidR="00A347F7">
        <w:t>-</w:t>
      </w:r>
      <w:r w:rsidRPr="00AD3BF2">
        <w:t xml:space="preserve">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0" w:name="section"/>
      <w:bookmarkEnd w:id="0"/>
      <w:r w:rsidR="008E33BA">
        <w:br w:type="page"/>
      </w:r>
    </w:p>
    <w:p w14:paraId="6CF8220A" w14:textId="6DD8644C" w:rsidR="00B1436B" w:rsidRDefault="00B1436B" w:rsidP="006932C5">
      <w:pPr>
        <w:pStyle w:val="Heading1"/>
      </w:pPr>
      <w:r>
        <w:lastRenderedPageBreak/>
        <w:t>Abstract</w:t>
      </w:r>
    </w:p>
    <w:p w14:paraId="792E9B31" w14:textId="00C23891"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r w:rsidR="008C32BD">
        <w:rPr>
          <w:rFonts w:cs="Arial"/>
        </w:rPr>
        <w:t>s</w:t>
      </w:r>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r w:rsidR="008C32BD">
        <w:rPr>
          <w:rFonts w:cs="Arial"/>
        </w:rPr>
        <w:t xml:space="preserve">are </w:t>
      </w:r>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r w:rsidR="008C32BD">
        <w:rPr>
          <w:rFonts w:cs="Arial"/>
        </w:rPr>
        <w:t>our</w:t>
      </w:r>
      <w:r w:rsidRPr="004A5445">
        <w:rPr>
          <w:rFonts w:cs="Arial"/>
        </w:rPr>
        <w:t xml:space="preserve"> genetic analysis reveal</w:t>
      </w:r>
      <w:r w:rsidR="008C32BD">
        <w:rPr>
          <w:rFonts w:cs="Arial"/>
        </w:rPr>
        <w:t>s</w:t>
      </w:r>
      <w:r w:rsidRPr="004A5445">
        <w:rPr>
          <w:rFonts w:cs="Arial"/>
        </w:rPr>
        <w:t xml:space="preserve"> that each </w:t>
      </w:r>
      <w:r w:rsidRPr="0043131B">
        <w:rPr>
          <w:rFonts w:cs="Arial"/>
          <w:i/>
          <w:iCs/>
        </w:rPr>
        <w:t>KRAS</w:t>
      </w:r>
      <w:r w:rsidRPr="004A5445">
        <w:rPr>
          <w:rFonts w:cs="Arial"/>
        </w:rPr>
        <w:t xml:space="preserve"> allele </w:t>
      </w:r>
      <w:r w:rsidR="008C32BD">
        <w:rPr>
          <w:rFonts w:cs="Arial"/>
        </w:rPr>
        <w:t>is</w:t>
      </w:r>
      <w:r w:rsidR="008C32BD" w:rsidRPr="004A5445">
        <w:rPr>
          <w:rFonts w:cs="Arial"/>
        </w:rPr>
        <w:t xml:space="preserve"> </w:t>
      </w:r>
      <w:r w:rsidRPr="004A5445">
        <w:rPr>
          <w:rFonts w:cs="Arial"/>
        </w:rPr>
        <w:t>associated with a distinct tissue-specific comutation network. Moreover, we identif</w:t>
      </w:r>
      <w:r w:rsidR="008C32BD">
        <w:rPr>
          <w:rFonts w:cs="Arial"/>
        </w:rPr>
        <w:t>y</w:t>
      </w:r>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1" w:name="section-1"/>
      <w:bookmarkEnd w:id="1"/>
      <w:r w:rsidR="008E33BA">
        <w:br w:type="page"/>
      </w:r>
    </w:p>
    <w:p w14:paraId="45C3F964" w14:textId="5E76C872" w:rsidR="00B1436B" w:rsidRDefault="00B1436B" w:rsidP="006932C5">
      <w:pPr>
        <w:pStyle w:val="Heading1"/>
      </w:pPr>
      <w:r>
        <w:lastRenderedPageBreak/>
        <w:t>Introduction</w:t>
      </w:r>
    </w:p>
    <w:p w14:paraId="0C049A6B" w14:textId="7AFA178B"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r w:rsidR="006E7FBF" w:rsidRPr="006E7FBF">
            <w:rPr>
              <w:color w:val="000000"/>
              <w:vertAlign w:val="superscript"/>
            </w:rPr>
            <w:t>1,2</w:t>
          </w:r>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r w:rsidR="006E7FBF" w:rsidRPr="006E7FBF">
            <w:rPr>
              <w:color w:val="000000"/>
              <w:vertAlign w:val="superscript"/>
            </w:rPr>
            <w:t>3,4</w:t>
          </w:r>
        </w:sdtContent>
      </w:sdt>
      <w:r w:rsidRPr="004A5445">
        <w:t>.</w:t>
      </w:r>
    </w:p>
    <w:p w14:paraId="27A4B8D7" w14:textId="22174DBD"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r w:rsidR="006E7FBF" w:rsidRPr="006E7FBF">
            <w:rPr>
              <w:color w:val="000000"/>
              <w:vertAlign w:val="superscript"/>
            </w:rPr>
            <w:t>1</w:t>
          </w:r>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r w:rsidR="006E7FBF" w:rsidRPr="006E7FBF">
            <w:rPr>
              <w:iCs/>
              <w:color w:val="000000"/>
              <w:vertAlign w:val="superscript"/>
            </w:rPr>
            <w:t>5</w:t>
          </w:r>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r w:rsidR="006E7FBF" w:rsidRPr="006E7FBF">
            <w:rPr>
              <w:color w:val="000000"/>
              <w:vertAlign w:val="superscript"/>
            </w:rPr>
            <w:t>6</w:t>
          </w:r>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of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r w:rsidR="006E7FBF" w:rsidRPr="006E7FBF">
            <w:rPr>
              <w:color w:val="000000"/>
              <w:vertAlign w:val="superscript"/>
            </w:rPr>
            <w:t>7</w:t>
          </w:r>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r w:rsidR="006E7FBF" w:rsidRPr="006E7FBF">
            <w:rPr>
              <w:color w:val="000000"/>
              <w:vertAlign w:val="superscript"/>
            </w:rPr>
            <w:t>8,9</w:t>
          </w:r>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r w:rsidR="006E7FBF" w:rsidRPr="006E7FBF">
            <w:rPr>
              <w:color w:val="000000"/>
              <w:vertAlign w:val="superscript"/>
            </w:rPr>
            <w:t>4,10–12</w:t>
          </w:r>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r w:rsidR="006E7FBF" w:rsidRPr="006E7FBF">
            <w:rPr>
              <w:color w:val="000000"/>
              <w:vertAlign w:val="superscript"/>
            </w:rPr>
            <w:t>4,8,13–20</w:t>
          </w:r>
        </w:sdtContent>
      </w:sdt>
      <w:r w:rsidRPr="004A5445">
        <w:t>.</w:t>
      </w:r>
    </w:p>
    <w:p w14:paraId="7553CBE5" w14:textId="2673122B"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r w:rsidR="006E7FBF" w:rsidRPr="006E7FBF">
            <w:rPr>
              <w:color w:val="000000"/>
              <w:vertAlign w:val="superscript"/>
            </w:rPr>
            <w:t>3,6</w:t>
          </w:r>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r w:rsidR="006E7FBF" w:rsidRPr="006E7FBF">
            <w:rPr>
              <w:color w:val="000000"/>
              <w:vertAlign w:val="superscript"/>
            </w:rPr>
            <w:t>21</w:t>
          </w:r>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r w:rsidR="006E7FBF" w:rsidRPr="006E7FBF">
            <w:rPr>
              <w:color w:val="000000"/>
              <w:vertAlign w:val="superscript"/>
            </w:rPr>
            <w:t>22–24</w:t>
          </w:r>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r w:rsidR="006E7FBF" w:rsidRPr="006E7FBF">
            <w:rPr>
              <w:color w:val="000000"/>
              <w:vertAlign w:val="superscript"/>
            </w:rPr>
            <w:t>25</w:t>
          </w:r>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2" w:name="results"/>
      <w:r w:rsidRPr="002B1889">
        <w:rPr>
          <w:rFonts w:cs="Arial"/>
        </w:rPr>
        <w:t>Results</w:t>
      </w:r>
      <w:bookmarkEnd w:id="2"/>
    </w:p>
    <w:p w14:paraId="2F851BE4" w14:textId="77777777" w:rsidR="00E0297D" w:rsidRDefault="00FD56C1" w:rsidP="007C292B">
      <w:pPr>
        <w:pStyle w:val="Heading2"/>
      </w:pPr>
      <w:bookmarkStart w:id="3" w:name="X7c90b2226103abe9a08bb000b049c924f8e8f36"/>
      <w:r>
        <w:rPr>
          <w:i/>
        </w:rPr>
        <w:t>KRAS</w:t>
      </w:r>
      <w:r>
        <w:t xml:space="preserve"> alleles are non-uniformly distributed across cancers.</w:t>
      </w:r>
      <w:bookmarkEnd w:id="3"/>
    </w:p>
    <w:p w14:paraId="208BBA32" w14:textId="08B147CF"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r w:rsidR="00045C63">
        <w:t>Data</w:t>
      </w:r>
      <w:r>
        <w:t xml:space="preserve"> 1 and 2.</w:t>
      </w:r>
    </w:p>
    <w:p w14:paraId="2B72C4C4" w14:textId="260E08D9"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r w:rsidR="00114488">
        <w:t>”</w:t>
      </w:r>
      <w:r w:rsidR="00FD56C1">
        <w:t xml:space="preserve"> codons</w:t>
      </w:r>
      <w:r w:rsidR="00D14579">
        <w:t>:</w:t>
      </w:r>
      <w:r w:rsidR="00FD56C1">
        <w:t xml:space="preserve"> 12, 13, 61, and 146 (</w:t>
      </w:r>
      <w:r>
        <w:t xml:space="preserve">Fig. 1b, </w:t>
      </w:r>
      <w:r w:rsidR="00FD56C1">
        <w:t xml:space="preserve">Supplementary </w:t>
      </w:r>
      <w:r w:rsidR="00045C63">
        <w:t>Data</w:t>
      </w:r>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4" w:name="Xb6249c3546c95db6d651da04755e4937cc665f6"/>
      <w:r>
        <w:t xml:space="preserve">The </w:t>
      </w:r>
      <w:r>
        <w:rPr>
          <w:i/>
        </w:rPr>
        <w:t>KRAS</w:t>
      </w:r>
      <w:r>
        <w:t xml:space="preserve"> alleles have different mutagenic origins.</w:t>
      </w:r>
      <w:bookmarkEnd w:id="4"/>
    </w:p>
    <w:p w14:paraId="79E7E0D7" w14:textId="178C9EBE"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r w:rsidR="006E7FBF" w:rsidRPr="006E7FBF">
            <w:rPr>
              <w:color w:val="000000"/>
              <w:vertAlign w:val="superscript"/>
            </w:rPr>
            <w:t>26</w:t>
          </w:r>
        </w:sdtContent>
      </w:sdt>
      <w:r>
        <w:t xml:space="preserve"> (Supplementary </w:t>
      </w:r>
      <w:r w:rsidR="00045C63">
        <w:t>Data</w:t>
      </w:r>
      <w:r>
        <w:t xml:space="preserve"> 4 and 5; the signature numbers refer to those in the catalog</w:t>
      </w:r>
      <w:r w:rsidR="00802C81">
        <w:t xml:space="preserve"> published </w:t>
      </w:r>
      <w:r w:rsidR="006F4DD3">
        <w:t>by</w:t>
      </w:r>
      <w:r w:rsidR="009D0C53">
        <w:t xml:space="preserve"> </w:t>
      </w:r>
      <w:proofErr w:type="spellStart"/>
      <w:r w:rsidR="009D0C53">
        <w:lastRenderedPageBreak/>
        <w:t>Alexandrov</w:t>
      </w:r>
      <w:proofErr w:type="spellEnd"/>
      <w:r w:rsidR="009D0C53">
        <w:t xml:space="preserve">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r w:rsidR="006E7FBF" w:rsidRPr="006E7FBF">
            <w:rPr>
              <w:color w:val="000000"/>
              <w:vertAlign w:val="superscript"/>
            </w:rPr>
            <w:t>27</w:t>
          </w:r>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7BBB2862"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r w:rsidR="006E7FBF" w:rsidRPr="006E7FBF">
            <w:rPr>
              <w:color w:val="000000"/>
              <w:vertAlign w:val="superscript"/>
            </w:rPr>
            <w:t>28</w:t>
          </w:r>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2468DA58"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r w:rsidR="006E7FBF" w:rsidRPr="006E7FBF">
            <w:rPr>
              <w:color w:val="000000"/>
              <w:vertAlign w:val="superscript"/>
            </w:rPr>
            <w:t>29,30</w:t>
          </w:r>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r w:rsidR="006E7FBF" w:rsidRPr="006E7FBF">
            <w:rPr>
              <w:color w:val="000000"/>
              <w:vertAlign w:val="superscript"/>
            </w:rPr>
            <w:t>29</w:t>
          </w:r>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r w:rsidR="006E7FBF" w:rsidRPr="006E7FBF">
            <w:rPr>
              <w:color w:val="000000"/>
              <w:vertAlign w:val="superscript"/>
            </w:rPr>
            <w:t>26,31,32</w:t>
          </w:r>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r w:rsidR="006E7FBF" w:rsidRPr="006E7FBF">
            <w:rPr>
              <w:color w:val="000000"/>
              <w:vertAlign w:val="superscript"/>
            </w:rPr>
            <w:t>33</w:t>
          </w:r>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5" w:name="Xc6bc8b4481aab6d6a043225d0031576527fca21"/>
      <w:r>
        <w:t xml:space="preserve">The frequency of most </w:t>
      </w:r>
      <w:r>
        <w:rPr>
          <w:i/>
        </w:rPr>
        <w:t>KRAS</w:t>
      </w:r>
      <w:r>
        <w:t xml:space="preserve"> alleles cannot be solely attributed to the</w:t>
      </w:r>
      <w:r w:rsidR="009B0B8C">
        <w:t xml:space="preserve"> </w:t>
      </w:r>
      <w:r>
        <w:t>prevalence of detected mutagens.</w:t>
      </w:r>
      <w:bookmarkEnd w:id="5"/>
    </w:p>
    <w:p w14:paraId="2B4AF5BA" w14:textId="6BD45A86"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w:t>
      </w:r>
      <w:r>
        <w:lastRenderedPageBreak/>
        <w:t xml:space="preserve">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r w:rsidR="00941CD2">
        <w:t xml:space="preserve"> </w:t>
      </w:r>
      <w:r w:rsidR="00045C63">
        <w:t>Data</w:t>
      </w:r>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r w:rsidR="00045C63">
        <w:t>Data</w:t>
      </w:r>
      <w:r w:rsidR="0091198C">
        <w:t xml:space="preserve"> 6)</w:t>
      </w:r>
      <w:r>
        <w:t xml:space="preserve">. </w:t>
      </w:r>
    </w:p>
    <w:p w14:paraId="007A1EC2" w14:textId="4CA1B1E7"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r w:rsidR="00DB7A43" w:rsidRPr="006932C5">
        <w:rPr>
          <w:i/>
          <w:iCs/>
        </w:rPr>
        <w:t>χ</w:t>
      </w:r>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r w:rsidR="00DB7A43">
        <w:t xml:space="preserve">Pearson </w:t>
      </w:r>
      <w:r>
        <w:t xml:space="preserve">correlations between the observed and 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08131BD6" w:rsidR="0074108C" w:rsidRDefault="00A6436D" w:rsidP="0062388D">
      <w:pPr>
        <w:pStyle w:val="BodyText"/>
      </w:pPr>
      <w:r>
        <w:lastRenderedPageBreak/>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r w:rsidR="00045C63">
        <w:t>Data</w:t>
      </w:r>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r w:rsidR="0022220F">
        <w:rPr>
          <w:iCs/>
        </w:rPr>
        <w:t xml:space="preserve">of </w:t>
      </w:r>
      <w:r w:rsidR="0022220F">
        <w:rPr>
          <w:i/>
        </w:rPr>
        <w:t xml:space="preserve">KRAS </w:t>
      </w:r>
      <w:r w:rsidR="0022220F">
        <w:rPr>
          <w:iCs/>
        </w:rPr>
        <w:t xml:space="preserve">mutations in PAAD </w:t>
      </w:r>
      <w:r>
        <w:rPr>
          <w:iCs/>
        </w:rPr>
        <w:t xml:space="preserve">but </w:t>
      </w:r>
      <w:r w:rsidR="00FD56C1">
        <w:t xml:space="preserve">is exceedingly rare in </w:t>
      </w:r>
      <w:r w:rsidR="0022220F">
        <w:t>this cancer</w:t>
      </w:r>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r w:rsidR="006E7FBF" w:rsidRPr="006E7FBF">
            <w:rPr>
              <w:color w:val="000000"/>
              <w:vertAlign w:val="superscript"/>
            </w:rPr>
            <w:t>4</w:t>
          </w:r>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04876206" w:rsidR="00E0297D" w:rsidRPr="00C01861" w:rsidRDefault="00C01861" w:rsidP="0062388D">
      <w:pPr>
        <w:pStyle w:val="BodyText"/>
      </w:pPr>
      <w:r>
        <w:lastRenderedPageBreak/>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6" w:name="X670d48590497755420eb7ade7f0d07d38957bb7"/>
      <w:r>
        <w:t xml:space="preserve">The </w:t>
      </w:r>
      <w:r>
        <w:rPr>
          <w:i/>
        </w:rPr>
        <w:t>KRAS</w:t>
      </w:r>
      <w:r>
        <w:t xml:space="preserve"> alleles have distinct comutation networks.</w:t>
      </w:r>
      <w:bookmarkEnd w:id="6"/>
    </w:p>
    <w:p w14:paraId="32562779" w14:textId="0E0FBECF"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 xml:space="preserve">-induced hyperactivation of the </w:t>
      </w:r>
      <w:proofErr w:type="spellStart"/>
      <w:r>
        <w:t>Wnt</w:t>
      </w:r>
      <w:proofErr w:type="spellEnd"/>
      <w:r>
        <w:t xml:space="preserve">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r w:rsidR="006E7FBF" w:rsidRPr="006E7FBF">
            <w:rPr>
              <w:color w:val="000000"/>
              <w:vertAlign w:val="superscript"/>
            </w:rPr>
            <w:t>34</w:t>
          </w:r>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r w:rsidR="006E7FBF" w:rsidRPr="006E7FBF">
            <w:rPr>
              <w:color w:val="000000"/>
              <w:vertAlign w:val="superscript"/>
            </w:rPr>
            <w:t>35,36</w:t>
          </w:r>
        </w:sdtContent>
      </w:sdt>
      <w:r>
        <w:t>.</w:t>
      </w:r>
    </w:p>
    <w:p w14:paraId="2E350920" w14:textId="3A938946"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comutation and a test for mutual exclusivity proposed by </w:t>
      </w:r>
      <w:proofErr w:type="spellStart"/>
      <w:r>
        <w:t>Leiserson</w:t>
      </w:r>
      <w:proofErr w:type="spellEnd"/>
      <w:r>
        <w:t xml:space="preserve">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r w:rsidR="006E7FBF" w:rsidRPr="006E7FBF">
            <w:rPr>
              <w:color w:val="000000"/>
              <w:vertAlign w:val="superscript"/>
            </w:rPr>
            <w:t>37</w:t>
          </w:r>
        </w:sdtContent>
      </w:sdt>
      <w:r>
        <w:t xml:space="preserve"> to identify reduced rates of comutation (Supplementary </w:t>
      </w:r>
      <w:r w:rsidR="00045C63">
        <w:t>Data</w:t>
      </w:r>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w:t>
      </w:r>
      <w:r>
        <w:lastRenderedPageBreak/>
        <w:t xml:space="preserve">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472E4B72"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r w:rsidR="006E7FBF" w:rsidRPr="006E7FBF">
            <w:rPr>
              <w:color w:val="000000"/>
              <w:vertAlign w:val="superscript"/>
            </w:rPr>
            <w:t>16</w:t>
          </w:r>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r w:rsidR="006E7FBF" w:rsidRPr="006E7FBF">
            <w:rPr>
              <w:color w:val="000000"/>
              <w:vertAlign w:val="superscript"/>
            </w:rPr>
            <w:t>38</w:t>
          </w:r>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r w:rsidR="006E7FBF" w:rsidRPr="006E7FBF">
            <w:rPr>
              <w:color w:val="000000"/>
              <w:vertAlign w:val="superscript"/>
            </w:rPr>
            <w:t>39</w:t>
          </w:r>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r w:rsidR="006E7FBF" w:rsidRPr="006E7FBF">
            <w:rPr>
              <w:color w:val="000000"/>
              <w:vertAlign w:val="superscript"/>
            </w:rPr>
            <w:t>34,40–49</w:t>
          </w:r>
        </w:sdtContent>
      </w:sdt>
      <w:r>
        <w:t xml:space="preserve">. </w:t>
      </w:r>
      <w:r w:rsidR="00ED53B9">
        <w:t xml:space="preserve">Similar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762B0ABB"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t>
      </w:r>
      <w:proofErr w:type="spellStart"/>
      <w:r w:rsidR="005630E7">
        <w:t>Wnt</w:t>
      </w:r>
      <w:proofErr w:type="spellEnd"/>
      <w:r w:rsidR="005630E7">
        <w:t xml:space="preserve">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r w:rsidR="006E7FBF" w:rsidRPr="006E7FBF">
            <w:rPr>
              <w:color w:val="000000"/>
              <w:vertAlign w:val="superscript"/>
            </w:rPr>
            <w:t>49–51</w:t>
          </w:r>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6932C5">
        <w:rPr>
          <w:iCs/>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r w:rsidR="006E7FBF" w:rsidRPr="006E7FBF">
            <w:rPr>
              <w:color w:val="000000"/>
              <w:vertAlign w:val="superscript"/>
            </w:rPr>
            <w:t>52</w:t>
          </w:r>
        </w:sdtContent>
      </w:sdt>
      <w:r>
        <w:t xml:space="preserve">. Also, genes involved in the Hippo and </w:t>
      </w:r>
      <w:proofErr w:type="spellStart"/>
      <w:r>
        <w:t>Wnt</w:t>
      </w:r>
      <w:proofErr w:type="spellEnd"/>
      <w:r>
        <w:t xml:space="preserve"> signaling, key pathways in COAD, were enriched in the comutation networks of </w:t>
      </w:r>
      <w:r>
        <w:rPr>
          <w:i/>
        </w:rPr>
        <w:lastRenderedPageBreak/>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xml:space="preserve">, a negative regulator of </w:t>
      </w:r>
      <w:proofErr w:type="spellStart"/>
      <w:r>
        <w:t>Wnt</w:t>
      </w:r>
      <w:proofErr w:type="spellEnd"/>
      <w:r>
        <w:t xml:space="preserve">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r w:rsidR="006E7FBF" w:rsidRPr="006E7FBF">
            <w:rPr>
              <w:color w:val="000000"/>
              <w:vertAlign w:val="superscript"/>
            </w:rPr>
            <w:t>53,54</w:t>
          </w:r>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w:t>
      </w:r>
      <w:proofErr w:type="spellStart"/>
      <w:r>
        <w:t>Myc</w:t>
      </w:r>
      <w:proofErr w:type="spellEnd"/>
      <w:r>
        <w:t xml:space="preserve"> (</w:t>
      </w:r>
      <w:r w:rsidR="00114488">
        <w:t>“</w:t>
      </w:r>
      <w:r>
        <w:t>PPI of MYC (TF)</w:t>
      </w:r>
      <w:r w:rsidR="00114488">
        <w:t>”</w:t>
      </w:r>
      <w:r>
        <w:t>), and the G12D comutation network was enriched with interactions with focal adhesion genes.</w:t>
      </w:r>
    </w:p>
    <w:p w14:paraId="339E4D4A" w14:textId="3E57A319"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r w:rsidR="006E7FBF" w:rsidRPr="006E7FBF">
            <w:rPr>
              <w:color w:val="000000"/>
              <w:vertAlign w:val="superscript"/>
            </w:rPr>
            <w:t>55,56</w:t>
          </w:r>
        </w:sdtContent>
      </w:sdt>
      <w:r>
        <w:t>. As such, some detectable comutation events were mutations acquired by distinct populations in a single patient, potentially obfuscating true comutation interactions. Due to this caveat, limiting the analysis to genes known to be recurrently mutated in 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r w:rsidR="006E7FBF" w:rsidRPr="006E7FBF">
            <w:rPr>
              <w:color w:val="000000"/>
              <w:vertAlign w:val="superscript"/>
            </w:rPr>
            <w:t>55</w:t>
          </w:r>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w:t>
      </w:r>
      <w:r w:rsidR="00316500">
        <w:lastRenderedPageBreak/>
        <w:t xml:space="preserve">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r w:rsidR="006E7FBF" w:rsidRPr="006E7FBF">
            <w:rPr>
              <w:color w:val="000000"/>
              <w:vertAlign w:val="superscript"/>
            </w:rPr>
            <w:t>57,58</w:t>
          </w:r>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49724986"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r w:rsidR="006E7FBF" w:rsidRPr="006E7FBF">
            <w:rPr>
              <w:color w:val="000000"/>
              <w:vertAlign w:val="superscript"/>
            </w:rPr>
            <w:t>16,38</w:t>
          </w:r>
        </w:sdtContent>
      </w:sdt>
      <w:r w:rsidR="00FE358F">
        <w:rPr>
          <w:color w:val="000000"/>
          <w:vertAlign w:val="superscript"/>
        </w:rPr>
        <w:t xml:space="preserve"> </w:t>
      </w:r>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r w:rsidR="006E7FBF" w:rsidRPr="006E7FBF">
            <w:rPr>
              <w:color w:val="000000"/>
              <w:vertAlign w:val="superscript"/>
            </w:rPr>
            <w:t>39</w:t>
          </w:r>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r w:rsidR="006E7FBF" w:rsidRPr="006E7FBF">
            <w:rPr>
              <w:color w:val="000000"/>
              <w:vertAlign w:val="superscript"/>
            </w:rPr>
            <w:t>59–61</w:t>
          </w:r>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r w:rsidR="006E7FBF" w:rsidRPr="006E7FBF">
            <w:rPr>
              <w:color w:val="000000"/>
              <w:vertAlign w:val="superscript"/>
            </w:rPr>
            <w:t>61</w:t>
          </w:r>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r w:rsidR="00045C63">
        <w:t xml:space="preserve"> (Supplementary Data 9)</w:t>
      </w:r>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w:t>
      </w:r>
      <w:r w:rsidRPr="000423B1">
        <w:lastRenderedPageBreak/>
        <w:t xml:space="preserve">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7" w:name="X400ec1c23a6fa0b0e699c585c29e4103e7448c4"/>
      <w:r>
        <w:rPr>
          <w:i/>
        </w:rPr>
        <w:t>KRAS</w:t>
      </w:r>
      <w:r>
        <w:t xml:space="preserve"> allele-specific genetic dependencies reveal potential synthetic lethal vulnerabilities.</w:t>
      </w:r>
      <w:bookmarkEnd w:id="7"/>
    </w:p>
    <w:p w14:paraId="326C5501" w14:textId="3D442E50"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r w:rsidR="006E7FBF" w:rsidRPr="006E7FBF">
            <w:rPr>
              <w:color w:val="000000"/>
              <w:vertAlign w:val="superscript"/>
            </w:rPr>
            <w:t>62,63</w:t>
          </w:r>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r w:rsidR="006E7FBF" w:rsidRPr="006E7FBF">
            <w:rPr>
              <w:color w:val="000000"/>
              <w:vertAlign w:val="superscript"/>
            </w:rPr>
            <w:t>64,65</w:t>
          </w:r>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r w:rsidR="00884AA3">
        <w:t xml:space="preserve"> </w:t>
      </w: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r w:rsidR="006E7FBF" w:rsidRPr="006E7FBF">
            <w:rPr>
              <w:color w:val="000000"/>
              <w:vertAlign w:val="superscript"/>
            </w:rPr>
            <w:t>66</w:t>
          </w:r>
        </w:sdtContent>
      </w:sdt>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r>
        <w:rPr>
          <w:i/>
        </w:rPr>
        <w:t>t</w:t>
      </w:r>
      <w:r>
        <w:t>-tests</w:t>
      </w:r>
      <w:r w:rsidR="002038EB">
        <w:t xml:space="preserve"> (FDR-adjusted p-value &lt;</w:t>
      </w:r>
      <w:r w:rsidR="00FF2648">
        <w:t xml:space="preserve"> </w:t>
      </w:r>
      <w:r w:rsidR="002038EB">
        <w:t>0.05)</w:t>
      </w:r>
      <w:r>
        <w:t>.</w:t>
      </w:r>
    </w:p>
    <w:p w14:paraId="0105D298" w14:textId="04048FFE" w:rsidR="00E0297D" w:rsidRDefault="00FD56C1" w:rsidP="0062388D">
      <w:pPr>
        <w:pStyle w:val="BodyText"/>
      </w:pPr>
      <w:r>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w:t>
      </w:r>
      <w:r>
        <w:lastRenderedPageBreak/>
        <w:t>genes were hierarchically clustered into 4 groups by their dependency scores (Fig</w:t>
      </w:r>
      <w:r w:rsidR="00D07981">
        <w:t>.</w:t>
      </w:r>
      <w:r>
        <w:t xml:space="preserve"> </w:t>
      </w:r>
      <w:r w:rsidR="007116CF" w:rsidRPr="007116CF">
        <w:t>4</w:t>
      </w:r>
      <w:r>
        <w:t xml:space="preserve">d; Supplementary </w:t>
      </w:r>
      <w:r w:rsidR="00045C63">
        <w:t>Data</w:t>
      </w:r>
      <w:r>
        <w:t xml:space="preserve"> </w:t>
      </w:r>
      <w:r w:rsidR="00045C63">
        <w:t>10</w:t>
      </w:r>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r w:rsidR="006E7FBF" w:rsidRPr="006E7FBF">
            <w:rPr>
              <w:color w:val="000000"/>
              <w:vertAlign w:val="superscript"/>
            </w:rPr>
            <w:t>67</w:t>
          </w:r>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r w:rsidR="00DC3787">
        <w:t xml:space="preserve"> </w:t>
      </w: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r w:rsidR="006E7FBF" w:rsidRPr="006E7FBF">
            <w:rPr>
              <w:color w:val="000000"/>
              <w:vertAlign w:val="superscript"/>
            </w:rPr>
            <w:t>68</w:t>
          </w:r>
        </w:sdtContent>
      </w:sdt>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r w:rsidR="006E7FBF" w:rsidRPr="006E7FBF">
            <w:rPr>
              <w:color w:val="000000"/>
              <w:vertAlign w:val="superscript"/>
            </w:rPr>
            <w:t>69</w:t>
          </w:r>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r w:rsidR="006E7FBF" w:rsidRPr="006E7FBF">
            <w:rPr>
              <w:color w:val="000000"/>
              <w:vertAlign w:val="superscript"/>
            </w:rPr>
            <w:t>70,71</w:t>
          </w:r>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57B94B2F"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For instance, the G12D cell lines demonstrated a reduced dependency 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w:t>
      </w:r>
      <w:r>
        <w:lastRenderedPageBreak/>
        <w:t>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r w:rsidR="00045C63">
        <w:t>Data</w:t>
      </w:r>
      <w:r>
        <w:t xml:space="preserve"> 1</w:t>
      </w:r>
      <w:r w:rsidR="00045C63">
        <w:t>1</w:t>
      </w:r>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r w:rsidR="006E7FBF" w:rsidRPr="006E7FBF">
            <w:rPr>
              <w:color w:val="000000"/>
              <w:vertAlign w:val="superscript"/>
            </w:rPr>
            <w:t>72</w:t>
          </w:r>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r w:rsidR="006E7FBF" w:rsidRPr="006E7FBF">
            <w:rPr>
              <w:color w:val="000000"/>
              <w:vertAlign w:val="superscript"/>
            </w:rPr>
            <w:t>73</w:t>
          </w:r>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r w:rsidR="006E7FBF" w:rsidRPr="006E7FBF">
            <w:rPr>
              <w:color w:val="000000"/>
              <w:vertAlign w:val="superscript"/>
            </w:rPr>
            <w:t>74</w:t>
          </w:r>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8" w:name="X6c9044a8dd2648af4f8387e66b0af32494c57ce"/>
      <w:r>
        <w:t>An integrated analysis of allele-specific comutation and genetic dependencies.</w:t>
      </w:r>
      <w:bookmarkEnd w:id="8"/>
    </w:p>
    <w:p w14:paraId="7DF63589" w14:textId="51702964"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r w:rsidR="006E7FBF" w:rsidRPr="006E7FBF">
            <w:rPr>
              <w:color w:val="000000"/>
              <w:vertAlign w:val="superscript"/>
            </w:rPr>
            <w:t>75</w:t>
          </w:r>
        </w:sdtContent>
      </w:sdt>
      <w:r>
        <w:t>.</w:t>
      </w:r>
    </w:p>
    <w:p w14:paraId="6970D568" w14:textId="4ED78182" w:rsidR="00E0297D" w:rsidRDefault="00FD56C1" w:rsidP="0062388D">
      <w:pPr>
        <w:pStyle w:val="BodyText"/>
      </w:pPr>
      <w:r>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r w:rsidR="006E7FBF" w:rsidRPr="006E7FBF">
            <w:rPr>
              <w:color w:val="000000"/>
              <w:vertAlign w:val="superscript"/>
            </w:rPr>
            <w:t>76,77</w:t>
          </w:r>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r w:rsidR="006E7FBF" w:rsidRPr="006E7FBF">
            <w:rPr>
              <w:color w:val="000000"/>
              <w:vertAlign w:val="superscript"/>
            </w:rPr>
            <w:t>61</w:t>
          </w:r>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w:t>
      </w:r>
      <w:r>
        <w:lastRenderedPageBreak/>
        <w:t xml:space="preserve">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9" w:name="discussion"/>
      <w:r>
        <w:t>Discussion</w:t>
      </w:r>
      <w:bookmarkEnd w:id="9"/>
    </w:p>
    <w:p w14:paraId="3434B719" w14:textId="5760FA80"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r w:rsidR="006E7FBF" w:rsidRPr="006E7FBF">
            <w:rPr>
              <w:color w:val="000000"/>
              <w:vertAlign w:val="superscript"/>
            </w:rPr>
            <w:t>4,78,79</w:t>
          </w:r>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w:t>
      </w:r>
      <w:r>
        <w:lastRenderedPageBreak/>
        <w:t xml:space="preserve">model in which the various oncogenic </w:t>
      </w:r>
      <w:r>
        <w:rPr>
          <w:i/>
        </w:rPr>
        <w:t>KRAS</w:t>
      </w:r>
      <w:r>
        <w:t xml:space="preserve"> mutations are not biologically redundant, but instead have distinct properties that are reflected in their genetic interactions.</w:t>
      </w:r>
    </w:p>
    <w:p w14:paraId="6259ABA7" w14:textId="60BEE1BD"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r w:rsidR="006E7FBF" w:rsidRPr="006E7FBF">
            <w:rPr>
              <w:color w:val="000000"/>
              <w:vertAlign w:val="superscript"/>
            </w:rPr>
            <w:t>78</w:t>
          </w:r>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w:t>
      </w:r>
      <w:r w:rsidR="00681113">
        <w:lastRenderedPageBreak/>
        <w:t xml:space="preserve">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0FA29CA2"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r w:rsidR="006E7FBF" w:rsidRPr="006E7FBF">
            <w:rPr>
              <w:color w:val="000000"/>
              <w:vertAlign w:val="superscript"/>
            </w:rPr>
            <w:t>80,81</w:t>
          </w:r>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r w:rsidR="006E7FBF" w:rsidRPr="006E7FBF">
            <w:rPr>
              <w:color w:val="000000"/>
              <w:vertAlign w:val="superscript"/>
            </w:rPr>
            <w:t>82,83</w:t>
          </w:r>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r w:rsidR="006E7FBF" w:rsidRPr="006E7FBF">
            <w:rPr>
              <w:color w:val="000000"/>
              <w:vertAlign w:val="superscript"/>
            </w:rPr>
            <w:t>84</w:t>
          </w:r>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0" w:name="methods"/>
      <w:r w:rsidR="005A665F">
        <w:br w:type="page"/>
      </w:r>
    </w:p>
    <w:p w14:paraId="0858D51D" w14:textId="01AD5983" w:rsidR="00E0297D" w:rsidRDefault="00FD56C1">
      <w:pPr>
        <w:pStyle w:val="Heading1"/>
      </w:pPr>
      <w:r>
        <w:lastRenderedPageBreak/>
        <w:t>Methods</w:t>
      </w:r>
      <w:bookmarkEnd w:id="10"/>
    </w:p>
    <w:p w14:paraId="52F46238" w14:textId="77777777" w:rsidR="00E0297D" w:rsidRDefault="00FD56C1" w:rsidP="007C292B">
      <w:pPr>
        <w:pStyle w:val="Heading2"/>
      </w:pPr>
      <w:bookmarkStart w:id="11" w:name="X2458b0999cae66e17f72dce2dca9af0e64013e6"/>
      <w:r>
        <w:t>Cancer sample data sources and acquisition</w:t>
      </w:r>
      <w:bookmarkEnd w:id="11"/>
    </w:p>
    <w:p w14:paraId="0468F063" w14:textId="2C54EA14"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r w:rsidR="006E7FBF" w:rsidRPr="006E7FBF">
            <w:rPr>
              <w:color w:val="000000"/>
              <w:vertAlign w:val="superscript"/>
            </w:rPr>
            <w:t>85,86</w:t>
          </w:r>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r w:rsidR="006E7FBF" w:rsidRPr="006E7FBF">
            <w:rPr>
              <w:color w:val="000000"/>
              <w:vertAlign w:val="superscript"/>
            </w:rPr>
            <w:t>49,87,88</w:t>
          </w:r>
        </w:sdtContent>
      </w:sdt>
      <w:r>
        <w:t xml:space="preserve"> and other smaller studies. Additional data were acquired from the International Cancer Genome Consortium (ICGC) for pancreatic cancer and colorectal cancer</w:t>
      </w:r>
      <w:r w:rsidR="004A0365">
        <w:t xml:space="preserve"> </w:t>
      </w: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r w:rsidR="006E7FBF" w:rsidRPr="006E7FBF">
            <w:rPr>
              <w:color w:val="000000"/>
              <w:vertAlign w:val="superscript"/>
            </w:rPr>
            <w:t>89</w:t>
          </w:r>
        </w:sdtContent>
      </w:sdt>
      <w:r>
        <w:t>. MM WES data were gathered from the Multiple Myeloma Research Foundation (MMRF)-</w:t>
      </w:r>
      <w:proofErr w:type="spellStart"/>
      <w:r>
        <w:t>CoMMpass</w:t>
      </w:r>
      <w:proofErr w:type="spellEnd"/>
      <w:r>
        <w:t xml:space="preserve">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r w:rsidR="006E7FBF" w:rsidRPr="006E7FBF">
            <w:rPr>
              <w:color w:val="000000"/>
              <w:vertAlign w:val="superscript"/>
            </w:rPr>
            <w:t>90</w:t>
          </w:r>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r w:rsidR="006E7FBF" w:rsidRPr="006E7FBF">
            <w:rPr>
              <w:color w:val="000000"/>
              <w:vertAlign w:val="superscript"/>
            </w:rPr>
            <w:t>91</w:t>
          </w:r>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r w:rsidR="00045C63">
        <w:t>Data</w:t>
      </w:r>
      <w:r>
        <w:t xml:space="preserve"> 1 and 2</w:t>
      </w:r>
      <w:r w:rsidR="00BA6755">
        <w:t xml:space="preserve"> and links to access the data are provided in the Data Availability section of the Methods</w:t>
      </w:r>
      <w:r>
        <w:t>.</w:t>
      </w:r>
    </w:p>
    <w:p w14:paraId="48DACAF9" w14:textId="489371E3" w:rsidR="00E0297D" w:rsidRDefault="00FD56C1" w:rsidP="007C292B">
      <w:pPr>
        <w:pStyle w:val="Heading2"/>
      </w:pPr>
      <w:bookmarkStart w:id="12" w:name="hypermutated-sample-cutoff"/>
      <w:r>
        <w:t>Hypermutated sample cutoff</w:t>
      </w:r>
      <w:bookmarkEnd w:id="12"/>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13" w:name="tissue-gene-expression-filter"/>
      <w:r>
        <w:lastRenderedPageBreak/>
        <w:t>Tissue gene expression filter</w:t>
      </w:r>
      <w:bookmarkEnd w:id="13"/>
    </w:p>
    <w:p w14:paraId="4B377241" w14:textId="0015B9FB" w:rsidR="00E0297D" w:rsidRDefault="00FD56C1" w:rsidP="0062388D">
      <w:pPr>
        <w:pStyle w:val="BodyText"/>
      </w:pPr>
      <w:r>
        <w:t xml:space="preserve">A conservative filter for tissue-specific gene expression was used to remove genes not expressed in the tissues of study. Normal tissue gene expression data was gathered from the </w:t>
      </w:r>
      <w:proofErr w:type="spellStart"/>
      <w:r>
        <w:t>GTEx</w:t>
      </w:r>
      <w:proofErr w:type="spellEnd"/>
      <w:r>
        <w:t xml:space="preserve">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r w:rsidR="006E7FBF" w:rsidRPr="006E7FBF">
            <w:rPr>
              <w:color w:val="000000"/>
              <w:vertAlign w:val="superscript"/>
            </w:rPr>
            <w:t>92</w:t>
          </w:r>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r w:rsidR="006E7FBF" w:rsidRPr="006E7FBF">
            <w:rPr>
              <w:color w:val="000000"/>
              <w:vertAlign w:val="superscript"/>
            </w:rPr>
            <w:t>93</w:t>
          </w:r>
        </w:sdtContent>
      </w:sdt>
      <w:r>
        <w:t>, and tumor expression data was collected from MMRF-</w:t>
      </w:r>
      <w:proofErr w:type="spellStart"/>
      <w:r>
        <w:t>CoMMpass</w:t>
      </w:r>
      <w:proofErr w:type="spellEnd"/>
      <w:r>
        <w:t xml:space="preserve">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r w:rsidR="006E7FBF" w:rsidRPr="006E7FBF">
            <w:rPr>
              <w:color w:val="000000"/>
              <w:vertAlign w:val="superscript"/>
            </w:rPr>
            <w:t>49,87,88,90</w:t>
          </w:r>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w:t>
      </w:r>
      <w:proofErr w:type="spellStart"/>
      <w:r>
        <w:t>GTEx</w:t>
      </w:r>
      <w:proofErr w:type="spellEnd"/>
      <w:r>
        <w:t xml:space="preserve">, 2) indicated as expressed at </w:t>
      </w:r>
      <w:proofErr w:type="spellStart"/>
      <w:r>
        <w:t>at</w:t>
      </w:r>
      <w:proofErr w:type="spellEnd"/>
      <w:r>
        <w:t xml:space="preserve">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14" w:name="Xdb2b988ba2f6f8338a7e3864787a7671dd51eb8"/>
      <w:r>
        <w:t>Calculating overall distribution of hotspot mutations</w:t>
      </w:r>
      <w:bookmarkEnd w:id="14"/>
    </w:p>
    <w:p w14:paraId="594FC6B9" w14:textId="6ED84E26"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r w:rsidR="006E7FBF" w:rsidRPr="006E7FBF">
            <w:rPr>
              <w:color w:val="000000"/>
              <w:vertAlign w:val="superscript"/>
            </w:rPr>
            <w:t>94</w:t>
          </w:r>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r w:rsidR="006E7FBF" w:rsidRPr="006E7FBF">
            <w:rPr>
              <w:color w:val="000000"/>
              <w:vertAlign w:val="superscript"/>
            </w:rPr>
            <w:t>94,95</w:t>
          </w:r>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15" w:name="identifying-mutational-signatures"/>
      <w:r>
        <w:t>Identifying mutational signatures</w:t>
      </w:r>
      <w:bookmarkEnd w:id="15"/>
    </w:p>
    <w:p w14:paraId="1B89E01A" w14:textId="7FE98F9F"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r w:rsidR="006E7FBF" w:rsidRPr="006E7FBF">
            <w:rPr>
              <w:color w:val="000000"/>
              <w:vertAlign w:val="superscript"/>
            </w:rPr>
            <w:t>26</w:t>
          </w:r>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r w:rsidR="006E7FBF" w:rsidRPr="006E7FBF">
            <w:rPr>
              <w:color w:val="000000"/>
              <w:vertAlign w:val="superscript"/>
            </w:rPr>
            <w:t>26</w:t>
          </w:r>
        </w:sdtContent>
      </w:sdt>
      <w:r w:rsidR="00F71151">
        <w:t xml:space="preserve">, </w:t>
      </w:r>
      <w:r>
        <w:t xml:space="preserve">was used to discover the underlying mutational patterns that are common across tumors. Mutational signatures were discovered separately for each tumor type and the optimal number of signatures was determined based on silhouette width and </w:t>
      </w:r>
      <w:proofErr w:type="spellStart"/>
      <w:r>
        <w:t>Frobenius</w:t>
      </w:r>
      <w:proofErr w:type="spellEnd"/>
      <w:r>
        <w:t xml:space="preserve"> error</w:t>
      </w:r>
      <w:sdt>
        <w:sdtPr>
          <w:rPr>
            <w:color w:val="000000"/>
            <w:vertAlign w:val="superscript"/>
          </w:rPr>
          <w:tag w:val="MENDELEY_CITATION_2c429198-d2ec-400a-9ea1-b3c8996ba365"/>
          <w:id w:val="2020725817"/>
          <w:placeholder>
            <w:docPart w:val="DefaultPlaceholder_-1854013440"/>
          </w:placeholder>
        </w:sdtPr>
        <w:sdtEndPr/>
        <w:sdtContent>
          <w:r w:rsidR="006E7FBF" w:rsidRPr="006E7FBF">
            <w:rPr>
              <w:color w:val="000000"/>
              <w:vertAlign w:val="superscript"/>
            </w:rPr>
            <w:t>96</w:t>
          </w:r>
        </w:sdtContent>
      </w:sdt>
      <w:r w:rsidR="00F71151">
        <w:t>.</w:t>
      </w:r>
    </w:p>
    <w:p w14:paraId="1366F8A0" w14:textId="5B2432AA"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r w:rsidR="006E7FBF" w:rsidRPr="006E7FBF">
            <w:rPr>
              <w:color w:val="000000"/>
              <w:vertAlign w:val="superscript"/>
            </w:rPr>
            <w:t>61</w:t>
          </w:r>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w:t>
      </w:r>
      <w:proofErr w:type="spellStart"/>
      <w:r w:rsidR="00F71151">
        <w:t>Alexandrov</w:t>
      </w:r>
      <w:proofErr w:type="spellEnd"/>
      <w:r w:rsidR="00F71151">
        <w:t xml:space="preserve">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r w:rsidR="006E7FBF" w:rsidRPr="006E7FBF">
            <w:rPr>
              <w:color w:val="000000"/>
              <w:vertAlign w:val="superscript"/>
            </w:rPr>
            <w:t>27,97</w:t>
          </w:r>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r w:rsidR="006E7FBF" w:rsidRPr="006E7FBF">
            <w:rPr>
              <w:color w:val="000000"/>
              <w:vertAlign w:val="superscript"/>
            </w:rPr>
            <w:t>27</w:t>
          </w:r>
        </w:sdtContent>
      </w:sdt>
      <w:r>
        <w:t xml:space="preserve">. Three versions of the signature associated to POLE mutations, signature 10, were discovered (previously reported </w:t>
      </w:r>
      <w:r w:rsidR="001A0BCD">
        <w:t xml:space="preserve">by </w:t>
      </w:r>
      <w:proofErr w:type="spellStart"/>
      <w:r w:rsidR="001A0BCD">
        <w:t>Alexandrov</w:t>
      </w:r>
      <w:proofErr w:type="spellEnd"/>
      <w:r w:rsidR="001A0BCD">
        <w:t xml:space="preserve">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r w:rsidR="006E7FBF" w:rsidRPr="006E7FBF">
            <w:rPr>
              <w:color w:val="000000"/>
              <w:vertAlign w:val="superscript"/>
            </w:rPr>
            <w:t>27</w:t>
          </w:r>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r w:rsidR="006E7FBF" w:rsidRPr="006E7FBF">
            <w:rPr>
              <w:color w:val="000000"/>
              <w:vertAlign w:val="superscript"/>
            </w:rPr>
            <w:t>27</w:t>
          </w:r>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r w:rsidR="006E7FBF" w:rsidRPr="006E7FBF">
            <w:rPr>
              <w:color w:val="000000"/>
              <w:vertAlign w:val="superscript"/>
            </w:rPr>
            <w:t>98</w:t>
          </w:r>
        </w:sdtContent>
      </w:sdt>
      <w:r w:rsidR="00E0333C">
        <w:t xml:space="preserve"> </w:t>
      </w:r>
      <w:r>
        <w:t xml:space="preserve">and signatures 34 and 41 </w:t>
      </w:r>
      <w:r w:rsidR="00E0333C">
        <w:t xml:space="preserve">reported by </w:t>
      </w:r>
      <w:proofErr w:type="spellStart"/>
      <w:r w:rsidR="00E0333C">
        <w:t>Alexandrov</w:t>
      </w:r>
      <w:proofErr w:type="spellEnd"/>
      <w:r w:rsidR="00E0333C">
        <w:t xml:space="preserve">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r w:rsidR="006E7FBF" w:rsidRPr="006E7FBF">
            <w:rPr>
              <w:color w:val="000000"/>
              <w:vertAlign w:val="superscript"/>
            </w:rPr>
            <w:t>27</w:t>
          </w:r>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Non-Negative </w:t>
      </w:r>
      <w:r>
        <w:lastRenderedPageBreak/>
        <w:t>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r w:rsidR="006E7FBF" w:rsidRPr="006E7FBF">
            <w:rPr>
              <w:color w:val="000000"/>
              <w:vertAlign w:val="superscript"/>
            </w:rPr>
            <w:t>99</w:t>
          </w:r>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16" w:name="Xa3a0f66be6a11d62d4e291edeecb72acd1b3398"/>
      <w:r>
        <w:t xml:space="preserve">Probability of </w:t>
      </w:r>
      <w:r>
        <w:rPr>
          <w:i/>
        </w:rPr>
        <w:t>KRAS</w:t>
      </w:r>
      <w:r>
        <w:t xml:space="preserve"> mutations from mutational signatures</w:t>
      </w:r>
      <w:bookmarkEnd w:id="16"/>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17" w:name="X7dafa6d99097747e66a939fa052e66c2c7d40a4"/>
      <w:r>
        <w:lastRenderedPageBreak/>
        <w:t xml:space="preserve">Calculating the probabilities of </w:t>
      </w:r>
      <w:r>
        <w:rPr>
          <w:i/>
        </w:rPr>
        <w:t>KRAS</w:t>
      </w:r>
      <w:r>
        <w:t xml:space="preserve"> alleles</w:t>
      </w:r>
    </w:p>
    <w:p w14:paraId="2A44EEBB" w14:textId="33E9BCDC"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r w:rsidR="006E7FBF" w:rsidRPr="006E7FBF">
            <w:rPr>
              <w:color w:val="000000"/>
              <w:vertAlign w:val="superscript"/>
            </w:rPr>
            <w:t>100,101</w:t>
          </w:r>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w:t>
      </w:r>
      <w:proofErr w:type="spellStart"/>
      <w:r w:rsidR="004E7E46">
        <w:t>Banjamini</w:t>
      </w:r>
      <w:proofErr w:type="spellEnd"/>
      <w:r w:rsidR="004E7E46">
        <w:t>-Hochberg FDR method.</w:t>
      </w:r>
    </w:p>
    <w:p w14:paraId="5B9315C1" w14:textId="25C8F6A6" w:rsidR="00E0297D" w:rsidRDefault="00FD56C1" w:rsidP="003B2DF3">
      <w:pPr>
        <w:pStyle w:val="Heading2"/>
      </w:pPr>
      <w:r>
        <w:t xml:space="preserve">Predicting </w:t>
      </w:r>
      <w:r>
        <w:rPr>
          <w:i/>
        </w:rPr>
        <w:t>KRAS</w:t>
      </w:r>
      <w:r>
        <w:t xml:space="preserve"> allele frequency</w:t>
      </w:r>
      <w:bookmarkEnd w:id="17"/>
    </w:p>
    <w:p w14:paraId="5AC98B46" w14:textId="51C8E893"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r w:rsidR="006E7FBF" w:rsidRPr="006E7FBF">
            <w:rPr>
              <w:color w:val="000000"/>
              <w:vertAlign w:val="superscript"/>
            </w:rPr>
            <w:t>100,101</w:t>
          </w:r>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Supplementary </w:t>
      </w:r>
      <w:r w:rsidR="00045C63">
        <w:t>Data</w:t>
      </w:r>
      <w:r w:rsidR="004E7E46" w:rsidRPr="006B75C7">
        <w:t xml:space="preserve"> </w:t>
      </w:r>
      <w:r w:rsidR="007020E5" w:rsidRPr="006B75C7">
        <w:t>6 and 7</w:t>
      </w:r>
      <w:r w:rsidR="00FD56C1" w:rsidRPr="006B75C7">
        <w:t>.</w:t>
      </w:r>
      <w:r w:rsidR="00FE496D" w:rsidRPr="006B75C7">
        <w:t xml:space="preserve"> A </w:t>
      </w:r>
      <w:r w:rsidR="00757BE5" w:rsidRPr="006932C5">
        <w:rPr>
          <w:i/>
          <w:iCs/>
        </w:rPr>
        <w:t>χ</w:t>
      </w:r>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for multiple hypothesis testing using the </w:t>
      </w:r>
      <w:proofErr w:type="spellStart"/>
      <w:r w:rsidR="000A6D50" w:rsidRPr="006B75C7">
        <w:t>Benjamini</w:t>
      </w:r>
      <w:proofErr w:type="spellEnd"/>
      <w:r w:rsidR="000A6D50" w:rsidRPr="006B75C7">
        <w:t>-Hochberg method</w:t>
      </w:r>
      <w:r w:rsidR="00933985">
        <w:t xml:space="preserve"> (referred to as FDR-adjusted p-values)</w:t>
      </w:r>
      <w:r w:rsidR="000A6D50" w:rsidRPr="006B75C7">
        <w:t>.</w:t>
      </w:r>
    </w:p>
    <w:p w14:paraId="54987050" w14:textId="733A1FD0" w:rsidR="00E0297D" w:rsidRDefault="00FD56C1" w:rsidP="007C292B">
      <w:pPr>
        <w:pStyle w:val="Heading2"/>
      </w:pPr>
      <w:bookmarkStart w:id="18" w:name="comutation-with-kras-alleles"/>
      <w:r>
        <w:lastRenderedPageBreak/>
        <w:t xml:space="preserve">Comutation with </w:t>
      </w:r>
      <w:r>
        <w:rPr>
          <w:i/>
        </w:rPr>
        <w:t>KRAS</w:t>
      </w:r>
      <w:r>
        <w:t xml:space="preserve"> alleles</w:t>
      </w:r>
      <w:bookmarkEnd w:id="18"/>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r w:rsidR="004A2E7C">
        <w:t>,</w:t>
      </w:r>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238F29C5"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r w:rsidR="006E7FBF" w:rsidRPr="006E7FBF">
            <w:rPr>
              <w:color w:val="000000"/>
              <w:vertAlign w:val="superscript"/>
            </w:rPr>
            <w:t>37</w:t>
          </w:r>
        </w:sdtContent>
      </w:sdt>
      <w:r w:rsidR="00105084">
        <w:t xml:space="preserve">. </w:t>
      </w:r>
      <w:r>
        <w:t xml:space="preserve">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w:t>
      </w:r>
      <w:proofErr w:type="spellStart"/>
      <w:r>
        <w:t>exonic</w:t>
      </w:r>
      <w:proofErr w:type="spellEnd"/>
      <w:r>
        <w:t xml:space="preserve">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 xml:space="preserve">sets of interactions were further filtered to fall below an FDR of 0.25 that is estimated using the </w:t>
      </w:r>
      <w:proofErr w:type="spellStart"/>
      <w:r w:rsidRPr="0004340B">
        <w:t>Benjamini</w:t>
      </w:r>
      <w:proofErr w:type="spellEnd"/>
      <w:r w:rsidRPr="0004340B">
        <w:t>-Hochberg method.</w:t>
      </w:r>
      <w:r>
        <w:t xml:space="preserve"> Only 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2C215F9F" w:rsidR="0004340B" w:rsidRDefault="00FD56C1" w:rsidP="0062388D">
      <w:pPr>
        <w:pStyle w:val="BodyText"/>
      </w:pPr>
      <w:r>
        <w:lastRenderedPageBreak/>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w:t>
      </w:r>
      <w:proofErr w:type="spellStart"/>
      <w:r>
        <w:t>Leiserson</w:t>
      </w:r>
      <w:proofErr w:type="spellEnd"/>
      <w:r>
        <w:t xml:space="preserve">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r w:rsidR="006E7FBF" w:rsidRPr="006E7FBF">
            <w:rPr>
              <w:color w:val="000000"/>
              <w:vertAlign w:val="superscript"/>
            </w:rPr>
            <w:t>37</w:t>
          </w:r>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19" w:name="functional-enrichment"/>
      <w:r>
        <w:t>Functional enrichment</w:t>
      </w:r>
      <w:bookmarkEnd w:id="19"/>
    </w:p>
    <w:p w14:paraId="04ABEB6D" w14:textId="1A397A47" w:rsidR="00E0297D" w:rsidRDefault="00FD56C1" w:rsidP="0062388D">
      <w:pPr>
        <w:pStyle w:val="BodyText"/>
      </w:pPr>
      <w:r>
        <w:t xml:space="preserve">The R interface to the online </w:t>
      </w:r>
      <w:proofErr w:type="spellStart"/>
      <w:r>
        <w:rPr>
          <w:i/>
        </w:rPr>
        <w:t>Enrichr</w:t>
      </w:r>
      <w:proofErr w:type="spellEnd"/>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r w:rsidR="006E7FBF" w:rsidRPr="006E7FBF">
            <w:rPr>
              <w:color w:val="000000"/>
              <w:vertAlign w:val="superscript"/>
            </w:rPr>
            <w:t>102,103</w:t>
          </w:r>
        </w:sdtContent>
      </w:sdt>
      <w:r w:rsidR="00105084">
        <w:t xml:space="preserve">. </w:t>
      </w:r>
      <w:r>
        <w:t xml:space="preserve">The online API was last accessed on April 9, 2020. Gene sets from the following sources provided by </w:t>
      </w:r>
      <w:proofErr w:type="spellStart"/>
      <w:r>
        <w:t>Enrichr</w:t>
      </w:r>
      <w:proofErr w:type="spellEnd"/>
      <w:r>
        <w:t xml:space="preserve"> were used: </w:t>
      </w:r>
      <w:proofErr w:type="spellStart"/>
      <w:r>
        <w:t>BioCarta</w:t>
      </w:r>
      <w:proofErr w:type="spellEnd"/>
      <w:r>
        <w:t xml:space="preserve"> (2016), GO Biological Process (2018), KEA (2015), KEGG (2019), Panther (2016), PPI Hub Proteins, </w:t>
      </w:r>
      <w:proofErr w:type="spellStart"/>
      <w:r>
        <w:t>Reactome</w:t>
      </w:r>
      <w:proofErr w:type="spellEnd"/>
      <w:r>
        <w:t xml:space="preserve"> (2016), Transcription Factor PPIs, and </w:t>
      </w:r>
      <w:proofErr w:type="spellStart"/>
      <w:r>
        <w:t>WikiPathways</w:t>
      </w:r>
      <w:proofErr w:type="spellEnd"/>
      <w:r>
        <w:t xml:space="preserve"> (2019).</w:t>
      </w:r>
      <w:r w:rsidR="00BE1885">
        <w:t xml:space="preserve"> Only enrichments with a FDR-adjusted p-value &lt; 0.2 were considered statistically significant.</w:t>
      </w:r>
    </w:p>
    <w:p w14:paraId="527363E0" w14:textId="5CA8C89A" w:rsidR="00E0297D" w:rsidRDefault="00FD56C1" w:rsidP="007C292B">
      <w:pPr>
        <w:pStyle w:val="Heading2"/>
      </w:pPr>
      <w:bookmarkStart w:id="20" w:name="Xdb71face557a85867e32c776e14108c10f843cb"/>
      <w:r>
        <w:t>Modeling of cancer cell line genetic dependencies</w:t>
      </w:r>
      <w:bookmarkEnd w:id="20"/>
    </w:p>
    <w:p w14:paraId="2FCB79D1" w14:textId="6405D534"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r w:rsidR="006E7FBF" w:rsidRPr="006E7FBF">
            <w:rPr>
              <w:color w:val="000000"/>
              <w:vertAlign w:val="superscript"/>
            </w:rPr>
            <w:t>64</w:t>
          </w:r>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r w:rsidR="006E7FBF" w:rsidRPr="006E7FBF">
            <w:rPr>
              <w:color w:val="000000"/>
              <w:vertAlign w:val="superscript"/>
            </w:rPr>
            <w:t>65</w:t>
          </w:r>
        </w:sdtContent>
      </w:sdt>
      <w:r>
        <w:t xml:space="preserve"> were used for all 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2729275D" w:rsidR="00E0297D" w:rsidRDefault="00FD56C1" w:rsidP="0062388D">
      <w:pPr>
        <w:pStyle w:val="BodyText"/>
      </w:pPr>
      <w:r>
        <w:lastRenderedPageBreak/>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Student’s </w:t>
      </w:r>
      <w:r>
        <w:rPr>
          <w:i/>
        </w:rPr>
        <w:t>t</w:t>
      </w:r>
      <w:r>
        <w:t>-tests were used to compare the dependency scores of each group of cell lines against the others (</w:t>
      </w:r>
      <w:proofErr w:type="spellStart"/>
      <w:r>
        <w:t>Benjamini</w:t>
      </w:r>
      <w:proofErr w:type="spellEnd"/>
      <w:r>
        <w:t>-Hochberg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r w:rsidR="004A1032">
        <w:t xml:space="preserve">the </w:t>
      </w:r>
      <w:r>
        <w:t>FDR</w:t>
      </w:r>
      <w:r w:rsidR="006B26CF">
        <w:t>-</w:t>
      </w:r>
      <w:r>
        <w:t>adjusted p-value</w:t>
      </w:r>
      <w:r w:rsidR="00722A26">
        <w:t xml:space="preserve">s from the </w:t>
      </w:r>
      <w:r w:rsidR="00722A26">
        <w:rPr>
          <w:i/>
          <w:iCs/>
        </w:rPr>
        <w:t>t</w:t>
      </w:r>
      <w:r w:rsidR="00722A26">
        <w:t>-tests</w:t>
      </w:r>
      <w:r>
        <w:t>.</w:t>
      </w:r>
    </w:p>
    <w:p w14:paraId="0EB4909F" w14:textId="70F9F6DD" w:rsidR="00E0297D" w:rsidRDefault="00FD56C1" w:rsidP="007C292B">
      <w:pPr>
        <w:pStyle w:val="Heading2"/>
      </w:pPr>
      <w:bookmarkStart w:id="21" w:name="Xc3bf1c3d800ef32128f9eb89736137486275050"/>
      <w:r>
        <w:t>Gene Set Enrichment Analysis (GSEA) of genetic dependency</w:t>
      </w:r>
      <w:bookmarkEnd w:id="21"/>
    </w:p>
    <w:p w14:paraId="401CCE8C" w14:textId="70D7E2A4"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r w:rsidR="006E7FBF" w:rsidRPr="006E7FBF">
            <w:rPr>
              <w:color w:val="000000"/>
              <w:vertAlign w:val="superscript"/>
            </w:rPr>
            <w:t>66</w:t>
          </w:r>
        </w:sdtContent>
      </w:sdt>
      <w:r>
        <w:t xml:space="preserve"> tool (version 3.0) was acquired from the online GSEA portal (https://www.gsea-msigdb.org/gsea/index.jsp). Gene sets were acquired through </w:t>
      </w:r>
      <w:proofErr w:type="spellStart"/>
      <w:r>
        <w:t>MSigDB</w:t>
      </w:r>
      <w:proofErr w:type="spellEnd"/>
      <w:r>
        <w:t xml:space="preserve">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2" w:name="X1f22b44f319e7894af8260b2e250a070ca87c6f"/>
      <w:r>
        <w:t>Modelling the effect of comutation events on genetic dependency</w:t>
      </w:r>
      <w:bookmarkEnd w:id="22"/>
    </w:p>
    <w:p w14:paraId="46FC9974" w14:textId="7868D3FC"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w:t>
      </w:r>
      <w:proofErr w:type="spellStart"/>
      <w:r>
        <w:t>comutates</w:t>
      </w:r>
      <w:proofErr w:type="spellEnd"/>
      <w:r>
        <w:t xml:space="preserve"> with the specific </w:t>
      </w:r>
      <w:r>
        <w:rPr>
          <w:i/>
        </w:rPr>
        <w:lastRenderedPageBreak/>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r w:rsidR="006E7FBF" w:rsidRPr="006E7FBF">
            <w:rPr>
              <w:color w:val="000000"/>
              <w:vertAlign w:val="superscript"/>
            </w:rPr>
            <w:t>75,104</w:t>
          </w:r>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3" w:name="code-availability"/>
      <w:r>
        <w:t>Code availability</w:t>
      </w:r>
      <w:bookmarkEnd w:id="23"/>
    </w:p>
    <w:p w14:paraId="4FB7FBB2" w14:textId="607FAB70" w:rsidR="00E0297D" w:rsidRDefault="00FD56C1" w:rsidP="0062388D">
      <w:pPr>
        <w:pStyle w:val="BodyText"/>
      </w:pPr>
      <w:r>
        <w:t xml:space="preserve">All code is available at </w:t>
      </w:r>
      <w:r w:rsidR="00A07402" w:rsidRPr="00A07402">
        <w:t>https://github.com/Kevin-Haigis-Lab/kras-allele-genetic-interactions</w:t>
      </w:r>
      <w:r w:rsidR="00EE49CC">
        <w:t xml:space="preserve"> (</w:t>
      </w:r>
      <w:commentRangeStart w:id="24"/>
      <w:r w:rsidR="00EE49CC">
        <w:t>DOI: ########)</w:t>
      </w:r>
      <w:r>
        <w:t xml:space="preserve">. </w:t>
      </w:r>
      <w:commentRangeEnd w:id="24"/>
      <w:r w:rsidR="00EE49CC">
        <w:rPr>
          <w:rStyle w:val="CommentReference"/>
          <w:rFonts w:asciiTheme="minorHAnsi" w:eastAsia="MS Mincho" w:hAnsiTheme="minorHAnsi"/>
          <w:color w:val="auto"/>
        </w:rPr>
        <w:commentReference w:id="24"/>
      </w:r>
      <w:r>
        <w:t>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r w:rsidR="006E7FBF" w:rsidRPr="006E7FBF">
            <w:rPr>
              <w:color w:val="000000"/>
              <w:vertAlign w:val="superscript"/>
            </w:rPr>
            <w:t>105</w:t>
          </w:r>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r w:rsidR="006E7FBF" w:rsidRPr="006E7FBF">
            <w:rPr>
              <w:color w:val="000000"/>
              <w:vertAlign w:val="superscript"/>
            </w:rPr>
            <w:t>106</w:t>
          </w:r>
        </w:sdtContent>
      </w:sdt>
      <w:r>
        <w:t xml:space="preserve"> were used for most of the analyses.</w:t>
      </w:r>
    </w:p>
    <w:p w14:paraId="23DBC66F" w14:textId="5A1549B4" w:rsidR="0072473D" w:rsidRDefault="0072473D" w:rsidP="003B2DF3">
      <w:pPr>
        <w:pStyle w:val="Heading2"/>
      </w:pPr>
      <w:r>
        <w:t xml:space="preserve">Data </w:t>
      </w:r>
      <w:r w:rsidRPr="003B2DF3">
        <w:t>Availability</w:t>
      </w:r>
    </w:p>
    <w:p w14:paraId="77D512CF" w14:textId="3A23FC54" w:rsidR="00F109D0" w:rsidRDefault="0072473D" w:rsidP="0062388D">
      <w:pPr>
        <w:pStyle w:val="BodyText"/>
      </w:pPr>
      <w:r>
        <w:t>All data that support the findings of this study are publicly available from the cited sources. The compiled data is available upon request.</w:t>
      </w:r>
      <w:r w:rsidR="00F65654">
        <w:t xml:space="preserve"> The WGS</w:t>
      </w:r>
      <w:r w:rsidR="00B92346">
        <w:t>,</w:t>
      </w:r>
      <w:r w:rsidR="00F65654">
        <w:t xml:space="preserve"> WES</w:t>
      </w:r>
      <w:r w:rsidR="00B92346">
        <w:t xml:space="preserve">, and RNA expression data </w:t>
      </w:r>
      <w:r w:rsidR="00F65654">
        <w:t xml:space="preserve">of COAD, LUAD, and PAAD tumor samples are available on </w:t>
      </w:r>
      <w:proofErr w:type="spellStart"/>
      <w:r w:rsidR="00F65654">
        <w:t>cBioPortal</w:t>
      </w:r>
      <w:proofErr w:type="spellEnd"/>
      <w:r w:rsidR="00F65654">
        <w:t xml:space="preserve"> (</w:t>
      </w:r>
      <w:r w:rsidR="00F65654" w:rsidRPr="00F65654">
        <w:t>http://www.cbioportal.org</w:t>
      </w:r>
      <w:r w:rsidR="00B92346">
        <w:t>). The WGS, WES, and RNA expression data of MM tumor samples are available on the Multiple Myeloma Research Foundation’s Research Gateway (</w:t>
      </w:r>
      <w:hyperlink r:id="rId11" w:history="1">
        <w:r w:rsidR="00B92346" w:rsidRPr="000E497E">
          <w:rPr>
            <w:rStyle w:val="Hyperlink"/>
          </w:rPr>
          <w:t>https://research.themmrf.org</w:t>
        </w:r>
      </w:hyperlink>
      <w:r w:rsidR="00B92346">
        <w:t xml:space="preserve">). </w:t>
      </w:r>
      <w:r w:rsidR="00BA6755">
        <w:t xml:space="preserve">Additional WGS and WES of PAAD tumor samples generated by the ICGC were downloaded from ICGC </w:t>
      </w:r>
      <w:r w:rsidR="00BA6755">
        <w:lastRenderedPageBreak/>
        <w:t>data portal (</w:t>
      </w:r>
      <w:r w:rsidR="00BA6755" w:rsidRPr="00BA6755">
        <w:t>https://dcc.icgc.org</w:t>
      </w:r>
      <w:r w:rsidR="00BA6755">
        <w:t xml:space="preserve">). </w:t>
      </w:r>
      <w:r w:rsidR="00B92346">
        <w:t xml:space="preserve">The panel sequencing data of tumor samples are available through the dedicated GENIE instance of </w:t>
      </w:r>
      <w:proofErr w:type="spellStart"/>
      <w:r w:rsidR="00B92346">
        <w:t>cBioPortal</w:t>
      </w:r>
      <w:proofErr w:type="spellEnd"/>
      <w:r w:rsidR="00B92346">
        <w:t xml:space="preserve"> (</w:t>
      </w:r>
      <w:hyperlink r:id="rId12" w:history="1">
        <w:r w:rsidR="00AF08F6" w:rsidRPr="000E497E">
          <w:rPr>
            <w:rStyle w:val="Hyperlink"/>
          </w:rPr>
          <w:t>https://www.cbioportal.org/genie/</w:t>
        </w:r>
      </w:hyperlink>
      <w:r w:rsidR="00AF08F6">
        <w:t>). All users must register and agree the AACR’s terms of use before accessing the data. The Cancer Gene Census data was downloaded from the COSMIC website (</w:t>
      </w:r>
      <w:hyperlink r:id="rId13" w:history="1">
        <w:r w:rsidR="00667269" w:rsidRPr="000E497E">
          <w:rPr>
            <w:rStyle w:val="Hyperlink"/>
          </w:rPr>
          <w:t>https://cancer.sanger.ac.uk/census</w:t>
        </w:r>
      </w:hyperlink>
      <w:r w:rsidR="00AF08F6">
        <w:t xml:space="preserve">). The genetic dependency data (2020Q1) and cell line WGS and RNA expression data </w:t>
      </w:r>
      <w:r w:rsidR="00667269">
        <w:t xml:space="preserve">(generated by the CCLE) </w:t>
      </w:r>
      <w:r w:rsidR="00AF08F6">
        <w:t xml:space="preserve">were downloaded from the </w:t>
      </w:r>
      <w:proofErr w:type="spellStart"/>
      <w:r w:rsidR="00AF08F6">
        <w:t>DepMap</w:t>
      </w:r>
      <w:proofErr w:type="spellEnd"/>
      <w:r w:rsidR="00AF08F6">
        <w:t xml:space="preserve"> </w:t>
      </w:r>
      <w:r w:rsidR="00667269">
        <w:t xml:space="preserve">web </w:t>
      </w:r>
      <w:r w:rsidR="00AF08F6">
        <w:t>portal (</w:t>
      </w:r>
      <w:hyperlink r:id="rId14" w:history="1">
        <w:r w:rsidR="00AF08F6" w:rsidRPr="000E497E">
          <w:rPr>
            <w:rStyle w:val="Hyperlink"/>
          </w:rPr>
          <w:t>https://depmap.org/portal/</w:t>
        </w:r>
      </w:hyperlink>
      <w:r w:rsidR="00AF08F6">
        <w:t xml:space="preserve">). Normal gene expression data was downloaded from the </w:t>
      </w:r>
      <w:proofErr w:type="spellStart"/>
      <w:r w:rsidR="00AF08F6">
        <w:t>GTEx</w:t>
      </w:r>
      <w:proofErr w:type="spellEnd"/>
      <w:r w:rsidR="00AF08F6">
        <w:t xml:space="preserve"> </w:t>
      </w:r>
      <w:r w:rsidR="00667269">
        <w:t xml:space="preserve">web </w:t>
      </w:r>
      <w:r w:rsidR="00AF08F6">
        <w:t xml:space="preserve">portal </w:t>
      </w:r>
      <w:r w:rsidR="00667269">
        <w:t>(</w:t>
      </w:r>
      <w:hyperlink r:id="rId15" w:history="1">
        <w:r w:rsidR="00667269" w:rsidRPr="000E497E">
          <w:rPr>
            <w:rStyle w:val="Hyperlink"/>
          </w:rPr>
          <w:t>https://www.gtexportal.org</w:t>
        </w:r>
      </w:hyperlink>
      <w:r w:rsidR="00667269">
        <w:t>). Normal protein expression data was downloaded from the Human Protein Atlas web portal (</w:t>
      </w:r>
      <w:hyperlink r:id="rId16" w:history="1">
        <w:r w:rsidR="000813C0" w:rsidRPr="000E497E">
          <w:rPr>
            <w:rStyle w:val="Hyperlink"/>
          </w:rPr>
          <w:t>https://www.proteinatlas.org</w:t>
        </w:r>
      </w:hyperlink>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p>
    <w:p w14:paraId="603FB354" w14:textId="637BD46A" w:rsidR="00E0297D" w:rsidRDefault="00FD56C1" w:rsidP="006932C5">
      <w:pPr>
        <w:pStyle w:val="Heading2"/>
      </w:pPr>
      <w:bookmarkStart w:id="25" w:name="acknowledgements"/>
      <w:r>
        <w:t>Acknowledgements</w:t>
      </w:r>
      <w:bookmarkEnd w:id="25"/>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r w:rsidR="00B92346">
        <w:t xml:space="preserve"> </w:t>
      </w:r>
      <w:r w:rsidR="00B92346" w:rsidRPr="00B92346">
        <w:t>The authors would like to acknowledge the American Association for Cancer Research and its financial and material support in the development of the AACR Project GENIE registry, as well as members of the consortium for their commitment to data sharing. Interpretations are the responsibility of study authors.</w:t>
      </w:r>
    </w:p>
    <w:p w14:paraId="631F4D54" w14:textId="00B34323" w:rsidR="00E0297D" w:rsidRDefault="00FD56C1" w:rsidP="006932C5">
      <w:pPr>
        <w:pStyle w:val="Heading2"/>
      </w:pPr>
      <w:bookmarkStart w:id="26" w:name="author-contributions"/>
      <w:r>
        <w:t>Author contributions</w:t>
      </w:r>
      <w:bookmarkEnd w:id="26"/>
    </w:p>
    <w:p w14:paraId="42E6793D" w14:textId="77777777" w:rsidR="00E0297D" w:rsidRDefault="00FD56C1" w:rsidP="0062388D">
      <w:pPr>
        <w:pStyle w:val="BodyText"/>
      </w:pPr>
      <w:r>
        <w:t>J.H.C., G.E.M.M., P.J.P., and K.M.H. devised the research strategy. J.H.C., G.E.M.M., and D.C.G. performed the analyses. J.H.C., G.E.M.M., P.J.P., and K.M.H. wrote the manuscript. J.H.C., G.E.M.M., P.J.P., and K.M.H. helped to interpret results. All authors reviewed and approved the final manuscript.</w:t>
      </w:r>
    </w:p>
    <w:p w14:paraId="1EC5FE51" w14:textId="7E66EB02" w:rsidR="00E0297D" w:rsidRDefault="00FD56C1" w:rsidP="006932C5">
      <w:pPr>
        <w:pStyle w:val="Heading2"/>
      </w:pPr>
      <w:bookmarkStart w:id="27" w:name="competing-interests"/>
      <w:r>
        <w:lastRenderedPageBreak/>
        <w:t>Competing interests</w:t>
      </w:r>
      <w:bookmarkEnd w:id="27"/>
    </w:p>
    <w:p w14:paraId="705F0E59" w14:textId="75F67331" w:rsidR="00F019D5" w:rsidRDefault="00FD56C1" w:rsidP="006E7FBF">
      <w:pPr>
        <w:pStyle w:val="BodyText"/>
      </w:pPr>
      <w:r>
        <w:t>The authors declare that they have no competing interests.</w:t>
      </w:r>
      <w:bookmarkStart w:id="28" w:name="fig:mutational-signatures-main"/>
      <w:r w:rsidR="00F019D5">
        <w:br w:type="page"/>
      </w:r>
    </w:p>
    <w:p w14:paraId="7C2FCD5C" w14:textId="500BD108" w:rsidR="00E0297D" w:rsidRDefault="00FD56C1">
      <w:pPr>
        <w:pStyle w:val="CaptionedFigure"/>
      </w:pPr>
      <w:r>
        <w:rPr>
          <w:noProof/>
        </w:rPr>
        <w:lastRenderedPageBreak/>
        <w:drawing>
          <wp:inline distT="0" distB="0" distL="0" distR="0" wp14:anchorId="5E9CE0ED" wp14:editId="7D4AAF59">
            <wp:extent cx="5943598" cy="4288714"/>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598" cy="4288714"/>
                    </a:xfrm>
                    <a:prstGeom prst="rect">
                      <a:avLst/>
                    </a:prstGeom>
                    <a:noFill/>
                    <a:ln w="9525">
                      <a:noFill/>
                      <a:headEnd/>
                      <a:tailEnd/>
                    </a:ln>
                  </pic:spPr>
                </pic:pic>
              </a:graphicData>
            </a:graphic>
          </wp:inline>
        </w:drawing>
      </w:r>
      <w:bookmarkEnd w:id="28"/>
    </w:p>
    <w:p w14:paraId="2D93BA7E" w14:textId="4C7968DC"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29" w:name="fig:obs-vs-pred-main"/>
      <w:r w:rsidR="005C0007">
        <w:t xml:space="preserve"> </w:t>
      </w:r>
      <w:r w:rsidR="005C0007" w:rsidRPr="005C0007">
        <w:rPr>
          <w:lang w:val="en-GB"/>
        </w:rPr>
        <w:t xml:space="preserve">Source data </w:t>
      </w:r>
      <w:r w:rsidR="004A2E7C">
        <w:rPr>
          <w:lang w:val="en-GB"/>
        </w:rPr>
        <w:t xml:space="preserve">for Fig. 1-5 </w:t>
      </w:r>
      <w:r w:rsidR="005C0007" w:rsidRPr="005C0007">
        <w:rPr>
          <w:lang w:val="en-GB"/>
        </w:rPr>
        <w:t xml:space="preserve">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3292FB20">
            <wp:extent cx="5943595" cy="3298113"/>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595" cy="3298113"/>
                    </a:xfrm>
                    <a:prstGeom prst="rect">
                      <a:avLst/>
                    </a:prstGeom>
                    <a:noFill/>
                    <a:ln w="9525">
                      <a:noFill/>
                      <a:headEnd/>
                      <a:tailEnd/>
                    </a:ln>
                  </pic:spPr>
                </pic:pic>
              </a:graphicData>
            </a:graphic>
          </wp:inline>
        </w:drawing>
      </w:r>
      <w:bookmarkEnd w:id="29"/>
    </w:p>
    <w:p w14:paraId="491B8476" w14:textId="542D45C6"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r w:rsidR="00A669E9">
        <w:t xml:space="preserve">Triangles </w:t>
      </w:r>
      <w:r w:rsidR="00FD56C1">
        <w:t>indicate rejection of the null hypothesis that the observed and predicted frequencies are the same (</w:t>
      </w:r>
      <w:r w:rsidR="00A669E9" w:rsidRPr="006932C5">
        <w:rPr>
          <w:i/>
          <w:iCs/>
        </w:rPr>
        <w:t>χ</w:t>
      </w:r>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r w:rsidR="00A669E9">
        <w:t>Circles</w:t>
      </w:r>
      <w:r w:rsidR="00EB32E0">
        <w:t xml:space="preserve"> </w:t>
      </w:r>
      <w:r w:rsidR="00FD56C1">
        <w:t>indicate the failure to reject the null hypothesis (</w:t>
      </w:r>
      <w:r w:rsidR="00A669E9" w:rsidRPr="006932C5">
        <w:rPr>
          <w:i/>
          <w:iCs/>
        </w:rPr>
        <w:t>χ</w:t>
      </w:r>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r w:rsidR="00452A2D">
        <w:rPr>
          <w:color w:val="002060"/>
        </w:rPr>
        <w:t>closed circle</w:t>
      </w:r>
      <w:r w:rsidR="00304DE5">
        <w:t xml:space="preserve">), tumors samples with a different </w:t>
      </w:r>
      <w:r w:rsidR="00304DE5">
        <w:rPr>
          <w:i/>
          <w:iCs/>
        </w:rPr>
        <w:t>KRAS</w:t>
      </w:r>
      <w:r w:rsidR="00304DE5">
        <w:t xml:space="preserve"> mutation (</w:t>
      </w:r>
      <w:r w:rsidR="00452A2D">
        <w:t>open circle</w:t>
      </w:r>
      <w:r w:rsidR="00304DE5">
        <w:t>), and tumor samples with</w:t>
      </w:r>
      <w:r w:rsidR="00CF3009">
        <w:t xml:space="preserve"> WT</w:t>
      </w:r>
      <w:r w:rsidR="00304DE5">
        <w:t xml:space="preserve"> </w:t>
      </w:r>
      <w:r w:rsidR="00304DE5">
        <w:rPr>
          <w:i/>
          <w:iCs/>
        </w:rPr>
        <w:t>KRAS</w:t>
      </w:r>
      <w:r w:rsidR="00715935" w:rsidRPr="00FF60F5">
        <w:rPr>
          <w:rFonts w:cs="Arial"/>
        </w:rPr>
        <w:t xml:space="preserve"> (</w:t>
      </w:r>
      <w:r w:rsidR="00452A2D" w:rsidRPr="00C32512">
        <w:t>upside-down triangle</w:t>
      </w:r>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(p-values were adjusted using the </w:t>
      </w:r>
      <w:proofErr w:type="spellStart"/>
      <w:r w:rsidR="0080561A">
        <w:t>Benjamini</w:t>
      </w:r>
      <w:proofErr w:type="spellEnd"/>
      <w:r w:rsidR="0080561A">
        <w:t>-Hochberg FDR correction method</w:t>
      </w:r>
      <w:r w:rsidR="00D919B3">
        <w:t>, hereon referred to as FDR-adjusted p-values</w:t>
      </w:r>
      <w:r w:rsidR="0080561A">
        <w:t>)</w:t>
      </w:r>
      <w:r w:rsidR="00715935">
        <w:t>.</w:t>
      </w:r>
    </w:p>
    <w:p w14:paraId="3FB56BFF" w14:textId="6C6A9436" w:rsidR="00E0297D" w:rsidRDefault="00FD56C1" w:rsidP="00063C5F">
      <w:pPr>
        <w:pStyle w:val="CaptionedFigure"/>
        <w:keepNext w:val="0"/>
        <w:widowControl w:val="0"/>
      </w:pPr>
      <w:bookmarkStart w:id="30" w:name="fig:comutation-main"/>
      <w:r>
        <w:rPr>
          <w:noProof/>
        </w:rPr>
        <w:lastRenderedPageBreak/>
        <w:drawing>
          <wp:inline distT="0" distB="0" distL="0" distR="0" wp14:anchorId="036E459B" wp14:editId="46728555">
            <wp:extent cx="5738854"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8854" cy="7179193"/>
                    </a:xfrm>
                    <a:prstGeom prst="rect">
                      <a:avLst/>
                    </a:prstGeom>
                    <a:noFill/>
                    <a:ln w="9525">
                      <a:noFill/>
                      <a:headEnd/>
                      <a:tailEnd/>
                    </a:ln>
                  </pic:spPr>
                </pic:pic>
              </a:graphicData>
            </a:graphic>
          </wp:inline>
        </w:drawing>
      </w:r>
      <w:bookmarkEnd w:id="30"/>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67DAA05C"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disambiguate them from where edges intersect. </w:t>
      </w:r>
      <w:r w:rsidRPr="00740BEB">
        <w:rPr>
          <w:b/>
        </w:rPr>
        <w:t>b.</w:t>
      </w:r>
      <w:r w:rsidRPr="00BC4F4E">
        <w:t xml:space="preserve"> A subset of the network shown in panel </w:t>
      </w:r>
      <w:r w:rsidRPr="006932C5">
        <w:rPr>
          <w:b/>
          <w:bCs w:val="0"/>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1" w:name="fig:coad-dependency-main"/>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778F03A7">
            <wp:extent cx="5943598"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598" cy="5279313"/>
                    </a:xfrm>
                    <a:prstGeom prst="rect">
                      <a:avLst/>
                    </a:prstGeom>
                    <a:noFill/>
                    <a:ln w="9525">
                      <a:noFill/>
                      <a:headEnd/>
                      <a:tailEnd/>
                    </a:ln>
                  </pic:spPr>
                </pic:pic>
              </a:graphicData>
            </a:graphic>
          </wp:inline>
        </w:drawing>
      </w:r>
      <w:bookmarkEnd w:id="31"/>
    </w:p>
    <w:p w14:paraId="28D4E37B" w14:textId="45F5835A"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r w:rsidR="00A669E9">
        <w:t>s</w:t>
      </w:r>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r w:rsidR="00E679B1">
        <w:t xml:space="preserve"> (“dep.”)</w:t>
      </w:r>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w:t>
      </w:r>
      <w:proofErr w:type="spellStart"/>
      <w:r w:rsidR="00FD56C1">
        <w:t>DepMap</w:t>
      </w:r>
      <w:proofErr w:type="spellEnd"/>
      <w:r w:rsidR="00FD56C1">
        <w:t xml:space="preserve">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(t-tests; </w:t>
      </w:r>
      <w:r w:rsidR="00CB2776">
        <w:t xml:space="preserve">FDR-adjusted </w:t>
      </w:r>
      <w:r w:rsidR="00FD56C1">
        <w:t>p-values).</w:t>
      </w:r>
      <w:r w:rsidR="002950F8">
        <w:t xml:space="preserve"> </w:t>
      </w:r>
      <w:r w:rsidR="004A2E7C">
        <w:t xml:space="preserve">For all </w:t>
      </w:r>
      <w:r w:rsidR="002950F8">
        <w:t xml:space="preserve">box </w:t>
      </w:r>
      <w:r w:rsidR="004A2E7C">
        <w:t xml:space="preserve">plots here and in other figures, box </w:t>
      </w:r>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 and the whiskers extend from the box to the largest and smallest data points at most 1.5 times the inter-quartile range away</w:t>
      </w:r>
      <w:r w:rsidR="008C32BD">
        <w:t xml:space="preserve"> from the median</w:t>
      </w:r>
      <w:r w:rsidR="002950F8">
        <w:t>.</w:t>
      </w:r>
    </w:p>
    <w:p w14:paraId="0A27A168" w14:textId="0FB701C8" w:rsidR="00E0297D" w:rsidRDefault="00FD56C1" w:rsidP="00063C5F">
      <w:pPr>
        <w:pStyle w:val="CaptionedFigure"/>
        <w:keepNext w:val="0"/>
        <w:widowControl w:val="0"/>
      </w:pPr>
      <w:bookmarkStart w:id="32" w:name="fig:dep-map-comut-masking"/>
      <w:r>
        <w:rPr>
          <w:noProof/>
        </w:rPr>
        <w:lastRenderedPageBreak/>
        <w:drawing>
          <wp:inline distT="0" distB="0" distL="0" distR="0" wp14:anchorId="317D1469" wp14:editId="31A4CC37">
            <wp:extent cx="5943599"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599" cy="3298114"/>
                    </a:xfrm>
                    <a:prstGeom prst="rect">
                      <a:avLst/>
                    </a:prstGeom>
                    <a:noFill/>
                    <a:ln w="9525">
                      <a:noFill/>
                      <a:headEnd/>
                      <a:tailEnd/>
                    </a:ln>
                  </pic:spPr>
                </pic:pic>
              </a:graphicData>
            </a:graphic>
          </wp:inline>
        </w:drawing>
      </w:r>
      <w:bookmarkEnd w:id="32"/>
    </w:p>
    <w:p w14:paraId="0404C060" w14:textId="67BCA6B7" w:rsidR="006932C5" w:rsidRPr="006932C5" w:rsidRDefault="00761EF9" w:rsidP="006932C5">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r w:rsidR="006932C5">
        <w:br w:type="page"/>
      </w:r>
    </w:p>
    <w:p w14:paraId="3DE07252" w14:textId="77777777" w:rsidR="00E0297D" w:rsidRDefault="00E0297D" w:rsidP="00B67851">
      <w:pPr>
        <w:pStyle w:val="ImageCaption"/>
      </w:pPr>
    </w:p>
    <w:bookmarkStart w:id="33" w:name="refs" w:displacedByCustomXml="next"/>
    <w:bookmarkStart w:id="34" w:name="ref-Simanshu2017" w:displacedByCustomXml="next"/>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1.         </w:t>
          </w:r>
          <w:proofErr w:type="spellStart"/>
          <w:r>
            <w:rPr>
              <w:rFonts w:eastAsia="Times New Roman"/>
            </w:rPr>
            <w:t>Simanshu</w:t>
          </w:r>
          <w:proofErr w:type="spellEnd"/>
          <w:r>
            <w:rPr>
              <w:rFonts w:eastAsia="Times New Roman"/>
            </w:rPr>
            <w:t xml:space="preserve">, D. K., </w:t>
          </w:r>
          <w:proofErr w:type="spellStart"/>
          <w:r>
            <w:rPr>
              <w:rFonts w:eastAsia="Times New Roman"/>
            </w:rPr>
            <w:t>Nissley</w:t>
          </w:r>
          <w:proofErr w:type="spellEnd"/>
          <w:r>
            <w:rPr>
              <w:rFonts w:eastAsia="Times New Roman"/>
            </w:rPr>
            <w:t xml:space="preserve">,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7.         </w:t>
          </w:r>
          <w:proofErr w:type="spellStart"/>
          <w:r>
            <w:rPr>
              <w:rFonts w:eastAsia="Times New Roman"/>
            </w:rPr>
            <w:t>Barbacid</w:t>
          </w:r>
          <w:proofErr w:type="spellEnd"/>
          <w:r>
            <w:rPr>
              <w:rFonts w:eastAsia="Times New Roman"/>
            </w:rPr>
            <w:t xml:space="preserve">, M. </w:t>
          </w:r>
          <w:proofErr w:type="spellStart"/>
          <w:r>
            <w:rPr>
              <w:rFonts w:eastAsia="Times New Roman"/>
            </w:rPr>
            <w:t>ras</w:t>
          </w:r>
          <w:proofErr w:type="spellEnd"/>
          <w:r>
            <w:rPr>
              <w:rFonts w:eastAsia="Times New Roman"/>
            </w:rPr>
            <w:t xml:space="preserve">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w:t>
          </w:r>
          <w:proofErr w:type="spellStart"/>
          <w:r>
            <w:rPr>
              <w:rFonts w:eastAsia="Times New Roman"/>
            </w:rPr>
            <w:t>Ikura</w:t>
          </w:r>
          <w:proofErr w:type="spellEnd"/>
          <w:r>
            <w:rPr>
              <w:rFonts w:eastAsia="Times New Roman"/>
            </w:rPr>
            <w:t xml:space="preserve">, M. NMR-based functional profiling of </w:t>
          </w:r>
          <w:proofErr w:type="spellStart"/>
          <w:r>
            <w:rPr>
              <w:rFonts w:eastAsia="Times New Roman"/>
            </w:rPr>
            <w:t>RASopathies</w:t>
          </w:r>
          <w:proofErr w:type="spellEnd"/>
          <w:r>
            <w:rPr>
              <w:rFonts w:eastAsia="Times New Roman"/>
            </w:rPr>
            <w:t xml:space="preserve">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w:t>
          </w:r>
          <w:proofErr w:type="spellStart"/>
          <w:r>
            <w:rPr>
              <w:rFonts w:eastAsia="Times New Roman"/>
            </w:rPr>
            <w:t>ras</w:t>
          </w:r>
          <w:proofErr w:type="spellEnd"/>
          <w:r>
            <w:rPr>
              <w:rFonts w:eastAsia="Times New Roman"/>
            </w:rPr>
            <w:t xml:space="preserve">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11.        </w:t>
          </w:r>
          <w:proofErr w:type="spellStart"/>
          <w:r>
            <w:rPr>
              <w:rFonts w:eastAsia="Times New Roman"/>
            </w:rPr>
            <w:t>Edkins</w:t>
          </w:r>
          <w:proofErr w:type="spellEnd"/>
          <w:r>
            <w:rPr>
              <w:rFonts w:eastAsia="Times New Roman"/>
            </w:rPr>
            <w:t xml:space="preserve">,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12.        </w:t>
          </w:r>
          <w:proofErr w:type="spellStart"/>
          <w:r>
            <w:rPr>
              <w:rFonts w:eastAsia="Times New Roman"/>
            </w:rPr>
            <w:t>Janakiraman</w:t>
          </w:r>
          <w:proofErr w:type="spellEnd"/>
          <w:r>
            <w:rPr>
              <w:rFonts w:eastAsia="Times New Roman"/>
            </w:rPr>
            <w:t xml:space="preserve">,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w:t>
          </w:r>
          <w:proofErr w:type="spellStart"/>
          <w:r>
            <w:rPr>
              <w:rFonts w:eastAsia="Times New Roman"/>
            </w:rPr>
            <w:t>Kras</w:t>
          </w:r>
          <w:proofErr w:type="spellEnd"/>
          <w:r>
            <w:rPr>
              <w:rFonts w:eastAsia="Times New Roman"/>
            </w:rPr>
            <w:t xml:space="preserve">-driven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w:t>
          </w:r>
          <w:proofErr w:type="spellStart"/>
          <w:r>
            <w:rPr>
              <w:rFonts w:eastAsia="Times New Roman"/>
            </w:rPr>
            <w:t>Macropinocytosis</w:t>
          </w:r>
          <w:proofErr w:type="spellEnd"/>
          <w:r>
            <w:rPr>
              <w:rFonts w:eastAsia="Times New Roman"/>
            </w:rPr>
            <w:t xml:space="preserve">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16.        </w:t>
          </w:r>
          <w:proofErr w:type="spellStart"/>
          <w:r>
            <w:rPr>
              <w:rFonts w:eastAsia="Times New Roman"/>
            </w:rPr>
            <w:t>Kovalski</w:t>
          </w:r>
          <w:proofErr w:type="spellEnd"/>
          <w:r>
            <w:rPr>
              <w:rFonts w:eastAsia="Times New Roman"/>
            </w:rPr>
            <w:t xml:space="preserve">,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17.        </w:t>
          </w:r>
          <w:proofErr w:type="spellStart"/>
          <w:r>
            <w:rPr>
              <w:rFonts w:eastAsia="Times New Roman"/>
            </w:rPr>
            <w:t>Ihle</w:t>
          </w:r>
          <w:proofErr w:type="spellEnd"/>
          <w:r>
            <w:rPr>
              <w:rFonts w:eastAsia="Times New Roman"/>
            </w:rPr>
            <w:t xml:space="preserv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18.        </w:t>
          </w:r>
          <w:proofErr w:type="spellStart"/>
          <w:r>
            <w:rPr>
              <w:rFonts w:eastAsia="Times New Roman"/>
            </w:rPr>
            <w:t>Spoerner</w:t>
          </w:r>
          <w:proofErr w:type="spellEnd"/>
          <w:r>
            <w:rPr>
              <w:rFonts w:eastAsia="Times New Roman"/>
            </w:rPr>
            <w:t xml:space="preserve">, M., </w:t>
          </w:r>
          <w:proofErr w:type="spellStart"/>
          <w:r>
            <w:rPr>
              <w:rFonts w:eastAsia="Times New Roman"/>
            </w:rPr>
            <w:t>Wittinghofer</w:t>
          </w:r>
          <w:proofErr w:type="spellEnd"/>
          <w:r>
            <w:rPr>
              <w:rFonts w:eastAsia="Times New Roman"/>
            </w:rPr>
            <w:t xml:space="preserve">, A. &amp; </w:t>
          </w:r>
          <w:proofErr w:type="spellStart"/>
          <w:r>
            <w:rPr>
              <w:rFonts w:eastAsia="Times New Roman"/>
            </w:rPr>
            <w:t>Kalbitzer</w:t>
          </w:r>
          <w:proofErr w:type="spellEnd"/>
          <w:r>
            <w:rPr>
              <w:rFonts w:eastAsia="Times New Roman"/>
            </w:rPr>
            <w:t xml:space="preserve">,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w:t>
          </w:r>
          <w:proofErr w:type="spellStart"/>
          <w:r>
            <w:rPr>
              <w:rFonts w:eastAsia="Times New Roman"/>
            </w:rPr>
            <w:t>Ikura</w:t>
          </w:r>
          <w:proofErr w:type="spellEnd"/>
          <w:r>
            <w:rPr>
              <w:rFonts w:eastAsia="Times New Roman"/>
            </w:rPr>
            <w:t xml:space="preserve">,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20.        </w:t>
          </w:r>
          <w:proofErr w:type="spellStart"/>
          <w:r>
            <w:rPr>
              <w:rFonts w:eastAsia="Times New Roman"/>
            </w:rPr>
            <w:t>Pantsar</w:t>
          </w:r>
          <w:proofErr w:type="spellEnd"/>
          <w:r>
            <w:rPr>
              <w:rFonts w:eastAsia="Times New Roman"/>
            </w:rPr>
            <w:t xml:space="preserve">,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w:t>
          </w:r>
          <w:proofErr w:type="spellStart"/>
          <w:r>
            <w:rPr>
              <w:rFonts w:eastAsia="Times New Roman"/>
            </w:rPr>
            <w:t>Roock</w:t>
          </w:r>
          <w:proofErr w:type="spellEnd"/>
          <w:r>
            <w:rPr>
              <w:rFonts w:eastAsia="Times New Roman"/>
            </w:rPr>
            <w:t xml:space="preserve">,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23.        </w:t>
          </w:r>
          <w:proofErr w:type="spellStart"/>
          <w:r>
            <w:rPr>
              <w:rFonts w:eastAsia="Times New Roman"/>
            </w:rPr>
            <w:t>Rabara</w:t>
          </w:r>
          <w:proofErr w:type="spellEnd"/>
          <w:r>
            <w:rPr>
              <w:rFonts w:eastAsia="Times New Roman"/>
            </w:rPr>
            <w:t xml:space="preserve">,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24.        </w:t>
          </w:r>
          <w:proofErr w:type="spellStart"/>
          <w:r>
            <w:rPr>
              <w:rFonts w:eastAsia="Times New Roman"/>
            </w:rPr>
            <w:t>Zafra</w:t>
          </w:r>
          <w:proofErr w:type="spellEnd"/>
          <w:r>
            <w:rPr>
              <w:rFonts w:eastAsia="Times New Roman"/>
            </w:rPr>
            <w:t xml:space="preserve">,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25.        </w:t>
          </w:r>
          <w:proofErr w:type="spellStart"/>
          <w:r>
            <w:rPr>
              <w:rFonts w:eastAsia="Times New Roman"/>
            </w:rPr>
            <w:t>Bournet</w:t>
          </w:r>
          <w:proofErr w:type="spellEnd"/>
          <w:r>
            <w:rPr>
              <w:rFonts w:eastAsia="Times New Roman"/>
            </w:rPr>
            <w:t xml:space="preserve">,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26.        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27.        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28.        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29.        </w:t>
          </w:r>
          <w:proofErr w:type="spellStart"/>
          <w:r>
            <w:rPr>
              <w:rFonts w:eastAsia="Times New Roman"/>
            </w:rPr>
            <w:t>Viel</w:t>
          </w:r>
          <w:proofErr w:type="spellEnd"/>
          <w:r>
            <w:rPr>
              <w:rFonts w:eastAsia="Times New Roman"/>
            </w:rPr>
            <w:t xml:space="preserve">, A. </w:t>
          </w:r>
          <w:r>
            <w:rPr>
              <w:rFonts w:eastAsia="Times New Roman"/>
              <w:i/>
              <w:iCs/>
            </w:rPr>
            <w:t>et al.</w:t>
          </w:r>
          <w:r>
            <w:rPr>
              <w:rFonts w:eastAsia="Times New Roman"/>
            </w:rPr>
            <w:t xml:space="preserve"> A Specific Mutational Signature Associated with DNA 8-Oxoguanine Persistence in MUTYH-defective Colorectal Cancer. </w:t>
          </w:r>
          <w:proofErr w:type="spellStart"/>
          <w:r>
            <w:rPr>
              <w:rFonts w:eastAsia="Times New Roman"/>
              <w:i/>
              <w:iCs/>
            </w:rPr>
            <w:t>EBioMedicine</w:t>
          </w:r>
          <w:proofErr w:type="spellEnd"/>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30.        </w:t>
          </w:r>
          <w:proofErr w:type="spellStart"/>
          <w:r>
            <w:rPr>
              <w:rFonts w:eastAsia="Times New Roman"/>
            </w:rPr>
            <w:t>Pilati</w:t>
          </w:r>
          <w:proofErr w:type="spellEnd"/>
          <w:r>
            <w:rPr>
              <w:rFonts w:eastAsia="Times New Roman"/>
            </w:rPr>
            <w:t xml:space="preserve">,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32.        </w:t>
          </w:r>
          <w:proofErr w:type="spellStart"/>
          <w:r>
            <w:rPr>
              <w:rFonts w:eastAsia="Times New Roman"/>
            </w:rPr>
            <w:t>Petljak</w:t>
          </w:r>
          <w:proofErr w:type="spellEnd"/>
          <w:r>
            <w:rPr>
              <w:rFonts w:eastAsia="Times New Roman"/>
            </w:rPr>
            <w:t xml:space="preserve">, M. &amp; </w:t>
          </w:r>
          <w:proofErr w:type="spellStart"/>
          <w:r>
            <w:rPr>
              <w:rFonts w:eastAsia="Times New Roman"/>
            </w:rPr>
            <w:t>Alexandrov</w:t>
          </w:r>
          <w:proofErr w:type="spellEnd"/>
          <w:r>
            <w:rPr>
              <w:rFonts w:eastAsia="Times New Roman"/>
            </w:rPr>
            <w:t xml:space="preserve">,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33.        </w:t>
          </w:r>
          <w:proofErr w:type="spellStart"/>
          <w:r>
            <w:rPr>
              <w:rFonts w:eastAsia="Times New Roman"/>
            </w:rPr>
            <w:t>Tomkova</w:t>
          </w:r>
          <w:proofErr w:type="spellEnd"/>
          <w:r>
            <w:rPr>
              <w:rFonts w:eastAsia="Times New Roman"/>
            </w:rPr>
            <w:t xml:space="preserve">, M., Tomek, J., </w:t>
          </w:r>
          <w:proofErr w:type="spellStart"/>
          <w:r>
            <w:rPr>
              <w:rFonts w:eastAsia="Times New Roman"/>
            </w:rPr>
            <w:t>Kriaucionis</w:t>
          </w:r>
          <w:proofErr w:type="spellEnd"/>
          <w:r>
            <w:rPr>
              <w:rFonts w:eastAsia="Times New Roman"/>
            </w:rPr>
            <w:t>, S. &amp; Schuster-</w:t>
          </w:r>
          <w:proofErr w:type="spellStart"/>
          <w:r>
            <w:rPr>
              <w:rFonts w:eastAsia="Times New Roman"/>
            </w:rPr>
            <w:t>Böckler</w:t>
          </w:r>
          <w:proofErr w:type="spellEnd"/>
          <w:r>
            <w:rPr>
              <w:rFonts w:eastAsia="Times New Roman"/>
            </w:rPr>
            <w:t xml:space="preserve">,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t>
          </w:r>
          <w:proofErr w:type="spellStart"/>
          <w:r>
            <w:rPr>
              <w:rFonts w:eastAsia="Times New Roman"/>
            </w:rPr>
            <w:t>Wnt</w:t>
          </w:r>
          <w:proofErr w:type="spellEnd"/>
          <w:r>
            <w:rPr>
              <w:rFonts w:eastAsia="Times New Roman"/>
            </w:rPr>
            <w:t xml:space="preserve">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35.        </w:t>
          </w:r>
          <w:proofErr w:type="spellStart"/>
          <w:r>
            <w:rPr>
              <w:rFonts w:eastAsia="Times New Roman"/>
            </w:rPr>
            <w:t>Unni</w:t>
          </w:r>
          <w:proofErr w:type="spellEnd"/>
          <w:r>
            <w:rPr>
              <w:rFonts w:eastAsia="Times New Roman"/>
            </w:rPr>
            <w:t xml:space="preserve">, A. M., Lockwood, W. W., </w:t>
          </w:r>
          <w:proofErr w:type="spellStart"/>
          <w:r>
            <w:rPr>
              <w:rFonts w:eastAsia="Times New Roman"/>
            </w:rPr>
            <w:t>Zejnullahu</w:t>
          </w:r>
          <w:proofErr w:type="spellEnd"/>
          <w:r>
            <w:rPr>
              <w:rFonts w:eastAsia="Times New Roman"/>
            </w:rPr>
            <w:t xml:space="preserve">, K., Lee-Lin, S.-Q. &amp; Varmus, H. Evidence that synthetic lethality underlies the mutual exclusivity of oncogenic KRAS and EGFR mutations in lung adenocarcinoma. </w:t>
          </w:r>
          <w:proofErr w:type="spellStart"/>
          <w:r>
            <w:rPr>
              <w:rFonts w:eastAsia="Times New Roman"/>
              <w:i/>
              <w:iCs/>
            </w:rPr>
            <w:t>eLife</w:t>
          </w:r>
          <w:proofErr w:type="spellEnd"/>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36.        </w:t>
          </w:r>
          <w:proofErr w:type="spellStart"/>
          <w:r>
            <w:rPr>
              <w:rFonts w:eastAsia="Times New Roman"/>
            </w:rPr>
            <w:t>Ambrogio</w:t>
          </w:r>
          <w:proofErr w:type="spellEnd"/>
          <w:r>
            <w:rPr>
              <w:rFonts w:eastAsia="Times New Roman"/>
            </w:rPr>
            <w:t xml:space="preserve">, C., </w:t>
          </w:r>
          <w:proofErr w:type="spellStart"/>
          <w:r>
            <w:rPr>
              <w:rFonts w:eastAsia="Times New Roman"/>
            </w:rPr>
            <w:t>Barbacid</w:t>
          </w:r>
          <w:proofErr w:type="spellEnd"/>
          <w:r>
            <w:rPr>
              <w:rFonts w:eastAsia="Times New Roman"/>
            </w:rPr>
            <w:t xml:space="preserve">, M. &amp; </w:t>
          </w:r>
          <w:proofErr w:type="spellStart"/>
          <w:r>
            <w:rPr>
              <w:rFonts w:eastAsia="Times New Roman"/>
            </w:rPr>
            <w:t>Santamaría</w:t>
          </w:r>
          <w:proofErr w:type="spellEnd"/>
          <w:r>
            <w:rPr>
              <w:rFonts w:eastAsia="Times New Roman"/>
            </w:rPr>
            <w:t xml:space="preserve">,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37.        </w:t>
          </w:r>
          <w:proofErr w:type="spellStart"/>
          <w:r>
            <w:rPr>
              <w:rFonts w:eastAsia="Times New Roman"/>
            </w:rPr>
            <w:t>Leiserson</w:t>
          </w:r>
          <w:proofErr w:type="spellEnd"/>
          <w:r>
            <w:rPr>
              <w:rFonts w:eastAsia="Times New Roman"/>
            </w:rPr>
            <w:t xml:space="preserve">,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38.        </w:t>
          </w:r>
          <w:proofErr w:type="spellStart"/>
          <w:r>
            <w:rPr>
              <w:rFonts w:eastAsia="Times New Roman"/>
            </w:rPr>
            <w:t>Kanehisa</w:t>
          </w:r>
          <w:proofErr w:type="spellEnd"/>
          <w:r>
            <w:rPr>
              <w:rFonts w:eastAsia="Times New Roman"/>
            </w:rPr>
            <w:t xml:space="preserve">, M., </w:t>
          </w:r>
          <w:proofErr w:type="spellStart"/>
          <w:r>
            <w:rPr>
              <w:rFonts w:eastAsia="Times New Roman"/>
            </w:rPr>
            <w:t>Furumichi</w:t>
          </w:r>
          <w:proofErr w:type="spellEnd"/>
          <w:r>
            <w:rPr>
              <w:rFonts w:eastAsia="Times New Roman"/>
            </w:rPr>
            <w:t xml:space="preserve">, M., Tanabe, M., Sato, Y. &amp; </w:t>
          </w:r>
          <w:proofErr w:type="spellStart"/>
          <w:r>
            <w:rPr>
              <w:rFonts w:eastAsia="Times New Roman"/>
            </w:rPr>
            <w:t>Morishima</w:t>
          </w:r>
          <w:proofErr w:type="spellEnd"/>
          <w:r>
            <w:rPr>
              <w:rFonts w:eastAsia="Times New Roman"/>
            </w:rPr>
            <w:t xml:space="preserve">,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39.        </w:t>
          </w:r>
          <w:proofErr w:type="spellStart"/>
          <w:r>
            <w:rPr>
              <w:rFonts w:eastAsia="Times New Roman"/>
            </w:rPr>
            <w:t>Sondka</w:t>
          </w:r>
          <w:proofErr w:type="spellEnd"/>
          <w:r>
            <w:rPr>
              <w:rFonts w:eastAsia="Times New Roman"/>
            </w:rPr>
            <w:t xml:space="preserve">,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w:t>
          </w:r>
          <w:proofErr w:type="spellStart"/>
          <w:r>
            <w:rPr>
              <w:rFonts w:eastAsia="Times New Roman"/>
            </w:rPr>
            <w:t>Apc</w:t>
          </w:r>
          <w:proofErr w:type="spellEnd"/>
          <w:r>
            <w:rPr>
              <w:rFonts w:eastAsia="Times New Roman"/>
            </w:rPr>
            <w:t xml:space="preserve">, </w:t>
          </w:r>
          <w:proofErr w:type="spellStart"/>
          <w:r>
            <w:rPr>
              <w:rFonts w:eastAsia="Times New Roman"/>
            </w:rPr>
            <w:t>Kras</w:t>
          </w:r>
          <w:proofErr w:type="spellEnd"/>
          <w:r>
            <w:rPr>
              <w:rFonts w:eastAsia="Times New Roman"/>
            </w:rPr>
            <w:t xml:space="preserve">,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41.        </w:t>
          </w:r>
          <w:proofErr w:type="spellStart"/>
          <w:r>
            <w:rPr>
              <w:rFonts w:eastAsia="Times New Roman"/>
            </w:rPr>
            <w:t>Jauhri</w:t>
          </w:r>
          <w:proofErr w:type="spellEnd"/>
          <w:r>
            <w:rPr>
              <w:rFonts w:eastAsia="Times New Roman"/>
            </w:rPr>
            <w:t xml:space="preserve">,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proofErr w:type="spellStart"/>
          <w:r>
            <w:rPr>
              <w:rFonts w:eastAsia="Times New Roman"/>
              <w:i/>
              <w:iCs/>
            </w:rPr>
            <w:t>Tumour</w:t>
          </w:r>
          <w:proofErr w:type="spellEnd"/>
          <w:r>
            <w:rPr>
              <w:rFonts w:eastAsia="Times New Roman"/>
              <w:i/>
              <w:iCs/>
            </w:rPr>
            <w:t xml:space="preserve"> biology : the journal of the International Society for </w:t>
          </w:r>
          <w:proofErr w:type="spellStart"/>
          <w:r>
            <w:rPr>
              <w:rFonts w:eastAsia="Times New Roman"/>
              <w:i/>
              <w:iCs/>
            </w:rPr>
            <w:t>Oncodevelopmental</w:t>
          </w:r>
          <w:proofErr w:type="spellEnd"/>
          <w:r>
            <w:rPr>
              <w:rFonts w:eastAsia="Times New Roman"/>
              <w:i/>
              <w:iCs/>
            </w:rPr>
            <w:t xml:space="preserve">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w:t>
          </w:r>
          <w:proofErr w:type="spellStart"/>
          <w:r>
            <w:rPr>
              <w:rFonts w:eastAsia="Times New Roman"/>
            </w:rPr>
            <w:t>signalling</w:t>
          </w:r>
          <w:proofErr w:type="spellEnd"/>
          <w:r>
            <w:rPr>
              <w:rFonts w:eastAsia="Times New Roman"/>
            </w:rPr>
            <w:t xml:space="preserve">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44.        </w:t>
          </w:r>
          <w:proofErr w:type="spellStart"/>
          <w:r>
            <w:rPr>
              <w:rFonts w:eastAsia="Times New Roman"/>
            </w:rPr>
            <w:t>Cisowski</w:t>
          </w:r>
          <w:proofErr w:type="spellEnd"/>
          <w:r>
            <w:rPr>
              <w:rFonts w:eastAsia="Times New Roman"/>
            </w:rPr>
            <w:t xml:space="preserve">, J., </w:t>
          </w:r>
          <w:proofErr w:type="spellStart"/>
          <w:r>
            <w:rPr>
              <w:rFonts w:eastAsia="Times New Roman"/>
            </w:rPr>
            <w:t>Sayin</w:t>
          </w:r>
          <w:proofErr w:type="spellEnd"/>
          <w:r>
            <w:rPr>
              <w:rFonts w:eastAsia="Times New Roman"/>
            </w:rPr>
            <w:t xml:space="preserve">, V. I., Liu, M., Karlsson, C. &amp; </w:t>
          </w:r>
          <w:proofErr w:type="spellStart"/>
          <w:r>
            <w:rPr>
              <w:rFonts w:eastAsia="Times New Roman"/>
            </w:rPr>
            <w:t>Bergo</w:t>
          </w:r>
          <w:proofErr w:type="spellEnd"/>
          <w:r>
            <w:rPr>
              <w:rFonts w:eastAsia="Times New Roman"/>
            </w:rPr>
            <w:t xml:space="preserve">,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48.        </w:t>
          </w:r>
          <w:proofErr w:type="spellStart"/>
          <w:r>
            <w:rPr>
              <w:rFonts w:eastAsia="Times New Roman"/>
            </w:rPr>
            <w:t>Yeang</w:t>
          </w:r>
          <w:proofErr w:type="spellEnd"/>
          <w:r>
            <w:rPr>
              <w:rFonts w:eastAsia="Times New Roman"/>
            </w:rPr>
            <w:t xml:space="preserve">,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50.        </w:t>
          </w:r>
          <w:proofErr w:type="spellStart"/>
          <w:r>
            <w:rPr>
              <w:rFonts w:eastAsia="Times New Roman"/>
            </w:rPr>
            <w:t>Roose</w:t>
          </w:r>
          <w:proofErr w:type="spellEnd"/>
          <w:r>
            <w:rPr>
              <w:rFonts w:eastAsia="Times New Roman"/>
            </w:rPr>
            <w:t xml:space="preserve">, J. &amp; </w:t>
          </w:r>
          <w:proofErr w:type="spellStart"/>
          <w:r>
            <w:rPr>
              <w:rFonts w:eastAsia="Times New Roman"/>
            </w:rPr>
            <w:t>Clevers</w:t>
          </w:r>
          <w:proofErr w:type="spellEnd"/>
          <w:r>
            <w:rPr>
              <w:rFonts w:eastAsia="Times New Roman"/>
            </w:rPr>
            <w:t xml:space="preserve">, H. TCF transcription factors: molecular switches in carcinogenesis.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t>
          </w:r>
          <w:proofErr w:type="spellStart"/>
          <w:r>
            <w:rPr>
              <w:rFonts w:eastAsia="Times New Roman"/>
            </w:rPr>
            <w:t>Wetering</w:t>
          </w:r>
          <w:proofErr w:type="spellEnd"/>
          <w:r>
            <w:rPr>
              <w:rFonts w:eastAsia="Times New Roman"/>
            </w:rPr>
            <w:t xml:space="preserve">,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53.        </w:t>
          </w:r>
          <w:proofErr w:type="spellStart"/>
          <w:r>
            <w:rPr>
              <w:rFonts w:eastAsia="Times New Roman"/>
            </w:rPr>
            <w:t>Grohmann</w:t>
          </w:r>
          <w:proofErr w:type="spellEnd"/>
          <w:r>
            <w:rPr>
              <w:rFonts w:eastAsia="Times New Roman"/>
            </w:rPr>
            <w:t xml:space="preserve">, A., </w:t>
          </w:r>
          <w:proofErr w:type="spellStart"/>
          <w:r>
            <w:rPr>
              <w:rFonts w:eastAsia="Times New Roman"/>
            </w:rPr>
            <w:t>Tanneberger</w:t>
          </w:r>
          <w:proofErr w:type="spellEnd"/>
          <w:r>
            <w:rPr>
              <w:rFonts w:eastAsia="Times New Roman"/>
            </w:rPr>
            <w:t xml:space="preserve">, K., Alzner, A., </w:t>
          </w:r>
          <w:proofErr w:type="spellStart"/>
          <w:r>
            <w:rPr>
              <w:rFonts w:eastAsia="Times New Roman"/>
            </w:rPr>
            <w:t>Schneikert</w:t>
          </w:r>
          <w:proofErr w:type="spellEnd"/>
          <w:r>
            <w:rPr>
              <w:rFonts w:eastAsia="Times New Roman"/>
            </w:rPr>
            <w:t xml:space="preserve">,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54.        </w:t>
          </w:r>
          <w:proofErr w:type="spellStart"/>
          <w:r>
            <w:rPr>
              <w:rFonts w:eastAsia="Times New Roman"/>
            </w:rPr>
            <w:t>Tanneberger</w:t>
          </w:r>
          <w:proofErr w:type="spellEnd"/>
          <w:r>
            <w:rPr>
              <w:rFonts w:eastAsia="Times New Roman"/>
            </w:rPr>
            <w:t xml:space="preserve">, K. </w:t>
          </w:r>
          <w:r>
            <w:rPr>
              <w:rFonts w:eastAsia="Times New Roman"/>
              <w:i/>
              <w:iCs/>
            </w:rPr>
            <w:t>et al.</w:t>
          </w:r>
          <w:r>
            <w:rPr>
              <w:rFonts w:eastAsia="Times New Roman"/>
            </w:rPr>
            <w:t xml:space="preserve"> Structural and functional characterization of the </w:t>
          </w:r>
          <w:proofErr w:type="spellStart"/>
          <w:r>
            <w:rPr>
              <w:rFonts w:eastAsia="Times New Roman"/>
            </w:rPr>
            <w:t>Wnt</w:t>
          </w:r>
          <w:proofErr w:type="spellEnd"/>
          <w:r>
            <w:rPr>
              <w:rFonts w:eastAsia="Times New Roman"/>
            </w:rPr>
            <w:t xml:space="preserve">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55.        </w:t>
          </w:r>
          <w:proofErr w:type="spellStart"/>
          <w:r>
            <w:rPr>
              <w:rFonts w:eastAsia="Times New Roman"/>
            </w:rPr>
            <w:t>Lohr</w:t>
          </w:r>
          <w:proofErr w:type="spellEnd"/>
          <w:r>
            <w:rPr>
              <w:rFonts w:eastAsia="Times New Roman"/>
            </w:rPr>
            <w:t xml:space="preserve">,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56.        </w:t>
          </w:r>
          <w:proofErr w:type="spellStart"/>
          <w:r>
            <w:rPr>
              <w:rFonts w:eastAsia="Times New Roman"/>
            </w:rPr>
            <w:t>Bolli</w:t>
          </w:r>
          <w:proofErr w:type="spellEnd"/>
          <w:r>
            <w:rPr>
              <w:rFonts w:eastAsia="Times New Roman"/>
            </w:rPr>
            <w:t xml:space="preserve">,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59.        </w:t>
          </w:r>
          <w:proofErr w:type="spellStart"/>
          <w:r>
            <w:rPr>
              <w:rFonts w:eastAsia="Times New Roman"/>
            </w:rPr>
            <w:t>Giacomelli</w:t>
          </w:r>
          <w:proofErr w:type="spellEnd"/>
          <w:r>
            <w:rPr>
              <w:rFonts w:eastAsia="Times New Roman"/>
            </w:rPr>
            <w:t xml:space="preserve">,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60.        </w:t>
          </w:r>
          <w:proofErr w:type="spellStart"/>
          <w:r>
            <w:rPr>
              <w:rFonts w:eastAsia="Times New Roman"/>
            </w:rPr>
            <w:t>Bouaoun</w:t>
          </w:r>
          <w:proofErr w:type="spellEnd"/>
          <w:r>
            <w:rPr>
              <w:rFonts w:eastAsia="Times New Roman"/>
            </w:rPr>
            <w:t xml:space="preserve">,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w:t>
          </w:r>
          <w:proofErr w:type="spellStart"/>
          <w:r>
            <w:rPr>
              <w:rFonts w:eastAsia="Times New Roman"/>
            </w:rPr>
            <w:t>edmond</w:t>
          </w:r>
          <w:proofErr w:type="spellEnd"/>
          <w:r>
            <w:rPr>
              <w:rFonts w:eastAsia="Times New Roman"/>
            </w:rPr>
            <w:t xml:space="preserve">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64.        </w:t>
          </w:r>
          <w:proofErr w:type="spellStart"/>
          <w:r>
            <w:rPr>
              <w:rFonts w:eastAsia="Times New Roman"/>
            </w:rPr>
            <w:t>Tsherniak</w:t>
          </w:r>
          <w:proofErr w:type="spellEnd"/>
          <w:r>
            <w:rPr>
              <w:rFonts w:eastAsia="Times New Roman"/>
            </w:rPr>
            <w:t xml:space="preserve">,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67.        </w:t>
          </w:r>
          <w:proofErr w:type="spellStart"/>
          <w:r>
            <w:rPr>
              <w:rFonts w:eastAsia="Times New Roman"/>
            </w:rPr>
            <w:t>Monastyrskaya</w:t>
          </w:r>
          <w:proofErr w:type="spellEnd"/>
          <w:r>
            <w:rPr>
              <w:rFonts w:eastAsia="Times New Roman"/>
            </w:rPr>
            <w:t xml:space="preserve">,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68.        </w:t>
          </w:r>
          <w:proofErr w:type="spellStart"/>
          <w:r>
            <w:rPr>
              <w:rFonts w:eastAsia="Times New Roman"/>
            </w:rPr>
            <w:t>Franchini</w:t>
          </w:r>
          <w:proofErr w:type="spellEnd"/>
          <w:r>
            <w:rPr>
              <w:rFonts w:eastAsia="Times New Roman"/>
            </w:rPr>
            <w:t xml:space="preserve">, C., Fontana, F., </w:t>
          </w:r>
          <w:proofErr w:type="spellStart"/>
          <w:r>
            <w:rPr>
              <w:rFonts w:eastAsia="Times New Roman"/>
            </w:rPr>
            <w:t>Minuzzo</w:t>
          </w:r>
          <w:proofErr w:type="spellEnd"/>
          <w:r>
            <w:rPr>
              <w:rFonts w:eastAsia="Times New Roman"/>
            </w:rPr>
            <w:t xml:space="preserve">, M., </w:t>
          </w:r>
          <w:proofErr w:type="spellStart"/>
          <w:r>
            <w:rPr>
              <w:rFonts w:eastAsia="Times New Roman"/>
            </w:rPr>
            <w:t>Babbio</w:t>
          </w:r>
          <w:proofErr w:type="spellEnd"/>
          <w:r>
            <w:rPr>
              <w:rFonts w:eastAsia="Times New Roman"/>
            </w:rPr>
            <w:t xml:space="preserve">, F. &amp; </w:t>
          </w:r>
          <w:proofErr w:type="spellStart"/>
          <w:r>
            <w:rPr>
              <w:rFonts w:eastAsia="Times New Roman"/>
            </w:rPr>
            <w:t>Privitera</w:t>
          </w:r>
          <w:proofErr w:type="spellEnd"/>
          <w:r>
            <w:rPr>
              <w:rFonts w:eastAsia="Times New Roman"/>
            </w:rPr>
            <w:t xml:space="preserve">,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72.        </w:t>
          </w:r>
          <w:proofErr w:type="spellStart"/>
          <w:r>
            <w:rPr>
              <w:rFonts w:eastAsia="Times New Roman"/>
            </w:rPr>
            <w:t>Barlat</w:t>
          </w:r>
          <w:proofErr w:type="spellEnd"/>
          <w:r>
            <w:rPr>
              <w:rFonts w:eastAsia="Times New Roman"/>
            </w:rPr>
            <w:t xml:space="preserve">,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w:t>
          </w:r>
          <w:proofErr w:type="spellStart"/>
          <w:r>
            <w:rPr>
              <w:rFonts w:eastAsia="Times New Roman"/>
            </w:rPr>
            <w:t>Kaelin</w:t>
          </w:r>
          <w:proofErr w:type="spellEnd"/>
          <w:r>
            <w:rPr>
              <w:rFonts w:eastAsia="Times New Roman"/>
            </w:rPr>
            <w:t xml:space="preserve">,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76.        </w:t>
          </w:r>
          <w:proofErr w:type="spellStart"/>
          <w:r>
            <w:rPr>
              <w:rFonts w:eastAsia="Times New Roman"/>
            </w:rPr>
            <w:t>Vaser</w:t>
          </w:r>
          <w:proofErr w:type="spellEnd"/>
          <w:r>
            <w:rPr>
              <w:rFonts w:eastAsia="Times New Roman"/>
            </w:rPr>
            <w:t xml:space="preserve">, R., </w:t>
          </w:r>
          <w:proofErr w:type="spellStart"/>
          <w:r>
            <w:rPr>
              <w:rFonts w:eastAsia="Times New Roman"/>
            </w:rPr>
            <w:t>Adusumalli</w:t>
          </w:r>
          <w:proofErr w:type="spellEnd"/>
          <w:r>
            <w:rPr>
              <w:rFonts w:eastAsia="Times New Roman"/>
            </w:rPr>
            <w:t xml:space="preserve">, S., </w:t>
          </w:r>
          <w:proofErr w:type="spellStart"/>
          <w:r>
            <w:rPr>
              <w:rFonts w:eastAsia="Times New Roman"/>
            </w:rPr>
            <w:t>Leng</w:t>
          </w:r>
          <w:proofErr w:type="spellEnd"/>
          <w:r>
            <w:rPr>
              <w:rFonts w:eastAsia="Times New Roman"/>
            </w:rPr>
            <w:t xml:space="preserve">, S. N., </w:t>
          </w:r>
          <w:proofErr w:type="spellStart"/>
          <w:r>
            <w:rPr>
              <w:rFonts w:eastAsia="Times New Roman"/>
            </w:rPr>
            <w:t>Sikic</w:t>
          </w:r>
          <w:proofErr w:type="spellEnd"/>
          <w:r>
            <w:rPr>
              <w:rFonts w:eastAsia="Times New Roman"/>
            </w:rPr>
            <w:t xml:space="preserve">,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77.        </w:t>
          </w:r>
          <w:proofErr w:type="spellStart"/>
          <w:r>
            <w:rPr>
              <w:rFonts w:eastAsia="Times New Roman"/>
            </w:rPr>
            <w:t>Adzhubei</w:t>
          </w:r>
          <w:proofErr w:type="spellEnd"/>
          <w:r>
            <w:rPr>
              <w:rFonts w:eastAsia="Times New Roman"/>
            </w:rPr>
            <w:t xml:space="preserve">,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w:t>
          </w:r>
          <w:proofErr w:type="spellStart"/>
          <w:r>
            <w:rPr>
              <w:rFonts w:eastAsia="Times New Roman"/>
            </w:rPr>
            <w:t>Tumours</w:t>
          </w:r>
          <w:proofErr w:type="spellEnd"/>
          <w:r>
            <w:rPr>
              <w:rFonts w:eastAsia="Times New Roman"/>
            </w:rPr>
            <w:t xml:space="preserve">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82.        </w:t>
          </w:r>
          <w:proofErr w:type="spellStart"/>
          <w:r>
            <w:rPr>
              <w:rFonts w:eastAsia="Times New Roman"/>
            </w:rPr>
            <w:t>Dagogo</w:t>
          </w:r>
          <w:proofErr w:type="spellEnd"/>
          <w:r>
            <w:rPr>
              <w:rFonts w:eastAsia="Times New Roman"/>
            </w:rPr>
            <w:t xml:space="preserve">-Jack,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w:t>
          </w:r>
          <w:proofErr w:type="spellStart"/>
          <w:r>
            <w:rPr>
              <w:rFonts w:eastAsia="Times New Roman"/>
            </w:rPr>
            <w:t>cBioPortal</w:t>
          </w:r>
          <w:proofErr w:type="spellEnd"/>
          <w:r>
            <w:rPr>
              <w:rFonts w:eastAsia="Times New Roman"/>
            </w:rPr>
            <w:t xml:space="preserve">.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86.        </w:t>
          </w:r>
          <w:proofErr w:type="spellStart"/>
          <w:r>
            <w:rPr>
              <w:rFonts w:eastAsia="Times New Roman"/>
            </w:rPr>
            <w:t>Cerami</w:t>
          </w:r>
          <w:proofErr w:type="spellEnd"/>
          <w:r>
            <w:rPr>
              <w:rFonts w:eastAsia="Times New Roman"/>
            </w:rPr>
            <w:t xml:space="preserve">, E. </w:t>
          </w:r>
          <w:r>
            <w:rPr>
              <w:rFonts w:eastAsia="Times New Roman"/>
              <w:i/>
              <w:iCs/>
            </w:rPr>
            <w:t>et al.</w:t>
          </w:r>
          <w:r>
            <w:rPr>
              <w:rFonts w:eastAsia="Times New Roman"/>
            </w:rPr>
            <w:t xml:space="preserve"> The </w:t>
          </w:r>
          <w:proofErr w:type="spellStart"/>
          <w:r>
            <w:rPr>
              <w:rFonts w:eastAsia="Times New Roman"/>
            </w:rPr>
            <w:t>cBio</w:t>
          </w:r>
          <w:proofErr w:type="spellEnd"/>
          <w:r>
            <w:rPr>
              <w:rFonts w:eastAsia="Times New Roman"/>
            </w:rPr>
            <w:t xml:space="preserve">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92.        </w:t>
          </w:r>
          <w:proofErr w:type="spellStart"/>
          <w:r>
            <w:rPr>
              <w:rFonts w:eastAsia="Times New Roman"/>
            </w:rPr>
            <w:t>GTEx</w:t>
          </w:r>
          <w:proofErr w:type="spellEnd"/>
          <w:r>
            <w:rPr>
              <w:rFonts w:eastAsia="Times New Roman"/>
            </w:rPr>
            <w:t xml:space="preserve">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93.        </w:t>
          </w:r>
          <w:proofErr w:type="spellStart"/>
          <w:r>
            <w:rPr>
              <w:rFonts w:eastAsia="Times New Roman"/>
            </w:rPr>
            <w:t>Uhlén</w:t>
          </w:r>
          <w:proofErr w:type="spellEnd"/>
          <w:r>
            <w:rPr>
              <w:rFonts w:eastAsia="Times New Roman"/>
            </w:rPr>
            <w:t xml:space="preserve">,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w:t>
          </w:r>
          <w:proofErr w:type="spellStart"/>
          <w:r>
            <w:rPr>
              <w:rFonts w:eastAsia="Times New Roman"/>
            </w:rPr>
            <w:t>Meernik</w:t>
          </w:r>
          <w:proofErr w:type="spellEnd"/>
          <w:r>
            <w:rPr>
              <w:rFonts w:eastAsia="Times New Roman"/>
            </w:rPr>
            <w:t xml:space="preserve">, C., Jeon, J. &amp; Cote, M. L. Lung cancer incidence trends by gender, race and histology in the United States, 1973-2010.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96.        </w:t>
          </w:r>
          <w:proofErr w:type="spellStart"/>
          <w:r>
            <w:rPr>
              <w:rFonts w:eastAsia="Times New Roman"/>
            </w:rPr>
            <w:t>Alexandrov</w:t>
          </w:r>
          <w:proofErr w:type="spellEnd"/>
          <w:r>
            <w:rPr>
              <w:rFonts w:eastAsia="Times New Roman"/>
            </w:rPr>
            <w:t xml:space="preserve">,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99.        </w:t>
          </w:r>
          <w:proofErr w:type="spellStart"/>
          <w:r>
            <w:rPr>
              <w:rFonts w:eastAsia="Times New Roman"/>
            </w:rPr>
            <w:t>Gulhan</w:t>
          </w:r>
          <w:proofErr w:type="spellEnd"/>
          <w:r>
            <w:rPr>
              <w:rFonts w:eastAsia="Times New Roman"/>
            </w:rPr>
            <w:t xml:space="preserve">, D. C., Lee, J. J.-K., </w:t>
          </w:r>
          <w:proofErr w:type="spellStart"/>
          <w:r>
            <w:rPr>
              <w:rFonts w:eastAsia="Times New Roman"/>
            </w:rPr>
            <w:t>Melloni</w:t>
          </w:r>
          <w:proofErr w:type="spellEnd"/>
          <w:r>
            <w:rPr>
              <w:rFonts w:eastAsia="Times New Roman"/>
            </w:rPr>
            <w:t>, G. E. M., Cortés-</w:t>
          </w:r>
          <w:proofErr w:type="spellStart"/>
          <w:r>
            <w:rPr>
              <w:rFonts w:eastAsia="Times New Roman"/>
            </w:rPr>
            <w:t>Ciriano</w:t>
          </w:r>
          <w:proofErr w:type="spellEnd"/>
          <w:r>
            <w:rPr>
              <w:rFonts w:eastAsia="Times New Roman"/>
            </w:rPr>
            <w:t xml:space="preserve">,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w:t>
          </w:r>
          <w:proofErr w:type="spellStart"/>
          <w:r>
            <w:rPr>
              <w:rFonts w:eastAsia="Times New Roman"/>
            </w:rPr>
            <w:t>Jawaid</w:t>
          </w:r>
          <w:proofErr w:type="spellEnd"/>
          <w:r>
            <w:rPr>
              <w:rFonts w:eastAsia="Times New Roman"/>
            </w:rPr>
            <w:t xml:space="preserve">, W. </w:t>
          </w:r>
          <w:proofErr w:type="spellStart"/>
          <w:r>
            <w:rPr>
              <w:rFonts w:eastAsia="Times New Roman"/>
            </w:rPr>
            <w:t>enrichR</w:t>
          </w:r>
          <w:proofErr w:type="spellEnd"/>
          <w:r>
            <w:rPr>
              <w:rFonts w:eastAsia="Times New Roman"/>
            </w:rPr>
            <w:t>: Provides an R Interface to “</w:t>
          </w:r>
          <w:proofErr w:type="spellStart"/>
          <w:r>
            <w:rPr>
              <w:rFonts w:eastAsia="Times New Roman"/>
            </w:rPr>
            <w:t>Enrichr</w:t>
          </w:r>
          <w:proofErr w:type="spellEnd"/>
          <w:r>
            <w:rPr>
              <w:rFonts w:eastAsia="Times New Roman"/>
            </w:rPr>
            <w:t>.”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w:t>
          </w:r>
          <w:proofErr w:type="spellStart"/>
          <w:r>
            <w:rPr>
              <w:rFonts w:eastAsia="Times New Roman"/>
            </w:rPr>
            <w:t>Enrichr</w:t>
          </w:r>
          <w:proofErr w:type="spellEnd"/>
          <w:r>
            <w:rPr>
              <w:rFonts w:eastAsia="Times New Roman"/>
            </w:rPr>
            <w:t xml:space="preserve">: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xml:space="preserve">. (Centrum </w:t>
          </w:r>
          <w:proofErr w:type="spellStart"/>
          <w:r>
            <w:rPr>
              <w:rFonts w:eastAsia="Times New Roman"/>
            </w:rPr>
            <w:t>voor</w:t>
          </w:r>
          <w:proofErr w:type="spellEnd"/>
          <w:r>
            <w:rPr>
              <w:rFonts w:eastAsia="Times New Roman"/>
            </w:rPr>
            <w:t xml:space="preserve"> </w:t>
          </w:r>
          <w:proofErr w:type="spellStart"/>
          <w:r>
            <w:rPr>
              <w:rFonts w:eastAsia="Times New Roman"/>
            </w:rPr>
            <w:t>Wiskunde</w:t>
          </w:r>
          <w:proofErr w:type="spellEnd"/>
          <w:r>
            <w:rPr>
              <w:rFonts w:eastAsia="Times New Roman"/>
            </w:rPr>
            <w:t xml:space="preserve"> </w:t>
          </w:r>
          <w:proofErr w:type="spellStart"/>
          <w:r>
            <w:rPr>
              <w:rFonts w:eastAsia="Times New Roman"/>
            </w:rPr>
            <w:t>en</w:t>
          </w:r>
          <w:proofErr w:type="spellEnd"/>
          <w:r>
            <w:rPr>
              <w:rFonts w:eastAsia="Times New Roman"/>
            </w:rPr>
            <w:t xml:space="preserve">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4"/>
    <w:bookmarkEnd w:id="33"/>
    <w:p w14:paraId="7455A429" w14:textId="26FC6027" w:rsidR="00E0297D" w:rsidRPr="0065030E" w:rsidRDefault="00E0297D" w:rsidP="0065030E">
      <w:pPr>
        <w:rPr>
          <w:rFonts w:ascii="Arial" w:hAnsi="Arial"/>
          <w:sz w:val="20"/>
        </w:rPr>
      </w:pPr>
    </w:p>
    <w:sectPr w:rsidR="00E0297D" w:rsidRPr="0065030E" w:rsidSect="008E76E8">
      <w:footerReference w:type="even" r:id="rId22"/>
      <w:footerReference w:type="default" r:id="rId23"/>
      <w:pgSz w:w="12240" w:h="15840"/>
      <w:pgMar w:top="1440" w:right="1440" w:bottom="1440" w:left="1440" w:header="720" w:footer="720"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Author" w:initials="A">
    <w:p w14:paraId="6014AB9D" w14:textId="5BDD72FC" w:rsidR="004B278D" w:rsidRDefault="004B278D">
      <w:pPr>
        <w:pStyle w:val="CommentText"/>
      </w:pPr>
      <w:r>
        <w:rPr>
          <w:rStyle w:val="CommentReference"/>
        </w:rPr>
        <w:annotationRef/>
      </w:r>
      <w:r>
        <w:t>Insert DOI after release</w:t>
      </w:r>
      <w:r w:rsidR="00D82D8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14AB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14AB9D" w16cid:durableId="23CD0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B8C6D" w14:textId="77777777" w:rsidR="008E368E" w:rsidRDefault="008E368E">
      <w:pPr>
        <w:spacing w:after="0"/>
      </w:pPr>
      <w:r>
        <w:separator/>
      </w:r>
    </w:p>
  </w:endnote>
  <w:endnote w:type="continuationSeparator" w:id="0">
    <w:p w14:paraId="6409CC39" w14:textId="77777777" w:rsidR="008E368E" w:rsidRDefault="008E36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4B278D" w:rsidRDefault="004B278D"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4B278D" w:rsidRDefault="004B278D"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72048" w14:textId="77777777" w:rsidR="008E368E" w:rsidRDefault="008E368E">
      <w:r>
        <w:separator/>
      </w:r>
    </w:p>
  </w:footnote>
  <w:footnote w:type="continuationSeparator" w:id="0">
    <w:p w14:paraId="5DE5466C" w14:textId="77777777" w:rsidR="008E368E" w:rsidRDefault="008E3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11C8B"/>
    <w:rsid w:val="00012DAD"/>
    <w:rsid w:val="00015C7A"/>
    <w:rsid w:val="00024730"/>
    <w:rsid w:val="00033A6A"/>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549C"/>
    <w:rsid w:val="0021059E"/>
    <w:rsid w:val="00215530"/>
    <w:rsid w:val="00217A48"/>
    <w:rsid w:val="0022220F"/>
    <w:rsid w:val="00224164"/>
    <w:rsid w:val="00235C71"/>
    <w:rsid w:val="0024040E"/>
    <w:rsid w:val="00240DAF"/>
    <w:rsid w:val="00241A26"/>
    <w:rsid w:val="0024336F"/>
    <w:rsid w:val="00260CA6"/>
    <w:rsid w:val="00260D85"/>
    <w:rsid w:val="00264FA4"/>
    <w:rsid w:val="0026728C"/>
    <w:rsid w:val="00270638"/>
    <w:rsid w:val="00276AF8"/>
    <w:rsid w:val="00276B9F"/>
    <w:rsid w:val="002878F3"/>
    <w:rsid w:val="00293464"/>
    <w:rsid w:val="0029389C"/>
    <w:rsid w:val="00295089"/>
    <w:rsid w:val="002950F8"/>
    <w:rsid w:val="002A16C3"/>
    <w:rsid w:val="002A22E4"/>
    <w:rsid w:val="002B1889"/>
    <w:rsid w:val="002C6836"/>
    <w:rsid w:val="002D39B6"/>
    <w:rsid w:val="002E7B22"/>
    <w:rsid w:val="00304DE5"/>
    <w:rsid w:val="003115A1"/>
    <w:rsid w:val="00316500"/>
    <w:rsid w:val="00317C17"/>
    <w:rsid w:val="00331EC4"/>
    <w:rsid w:val="003359C3"/>
    <w:rsid w:val="00347365"/>
    <w:rsid w:val="0035217B"/>
    <w:rsid w:val="003523EB"/>
    <w:rsid w:val="00352E81"/>
    <w:rsid w:val="003627F9"/>
    <w:rsid w:val="00363F7C"/>
    <w:rsid w:val="00380BD6"/>
    <w:rsid w:val="00381585"/>
    <w:rsid w:val="0038679B"/>
    <w:rsid w:val="0039522F"/>
    <w:rsid w:val="003A2E6F"/>
    <w:rsid w:val="003B0104"/>
    <w:rsid w:val="003B2DF3"/>
    <w:rsid w:val="003B7904"/>
    <w:rsid w:val="003C1D20"/>
    <w:rsid w:val="003C66C1"/>
    <w:rsid w:val="003D2B0D"/>
    <w:rsid w:val="003D6366"/>
    <w:rsid w:val="003E35BF"/>
    <w:rsid w:val="003F4BAE"/>
    <w:rsid w:val="00401950"/>
    <w:rsid w:val="004154A3"/>
    <w:rsid w:val="00426746"/>
    <w:rsid w:val="0043131B"/>
    <w:rsid w:val="00452A2D"/>
    <w:rsid w:val="00464E85"/>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6185"/>
    <w:rsid w:val="00516E1B"/>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4160"/>
    <w:rsid w:val="006017A6"/>
    <w:rsid w:val="00605029"/>
    <w:rsid w:val="006227FD"/>
    <w:rsid w:val="0062388D"/>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2C5"/>
    <w:rsid w:val="00693E84"/>
    <w:rsid w:val="006946AB"/>
    <w:rsid w:val="00696BC8"/>
    <w:rsid w:val="006A1AAC"/>
    <w:rsid w:val="006B26CF"/>
    <w:rsid w:val="006B75C7"/>
    <w:rsid w:val="006C4325"/>
    <w:rsid w:val="006C5B57"/>
    <w:rsid w:val="006D23AE"/>
    <w:rsid w:val="006D350E"/>
    <w:rsid w:val="006D62F5"/>
    <w:rsid w:val="006E240C"/>
    <w:rsid w:val="006E4271"/>
    <w:rsid w:val="006E7FBF"/>
    <w:rsid w:val="006F4DD3"/>
    <w:rsid w:val="006F6477"/>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5CC7"/>
    <w:rsid w:val="0083259D"/>
    <w:rsid w:val="00833879"/>
    <w:rsid w:val="00840640"/>
    <w:rsid w:val="00857FB7"/>
    <w:rsid w:val="00884AA3"/>
    <w:rsid w:val="008B6610"/>
    <w:rsid w:val="008C32BD"/>
    <w:rsid w:val="008C5C17"/>
    <w:rsid w:val="008C680F"/>
    <w:rsid w:val="008C714E"/>
    <w:rsid w:val="008C7753"/>
    <w:rsid w:val="008D6863"/>
    <w:rsid w:val="008E3226"/>
    <w:rsid w:val="008E33BA"/>
    <w:rsid w:val="008E368E"/>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402"/>
    <w:rsid w:val="00A147C9"/>
    <w:rsid w:val="00A200DB"/>
    <w:rsid w:val="00A2476E"/>
    <w:rsid w:val="00A27B5F"/>
    <w:rsid w:val="00A32C46"/>
    <w:rsid w:val="00A347F7"/>
    <w:rsid w:val="00A50381"/>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D0D6A"/>
    <w:rsid w:val="00BD4DEA"/>
    <w:rsid w:val="00BE1885"/>
    <w:rsid w:val="00BF06BB"/>
    <w:rsid w:val="00BF286C"/>
    <w:rsid w:val="00C01861"/>
    <w:rsid w:val="00C06A0D"/>
    <w:rsid w:val="00C070A6"/>
    <w:rsid w:val="00C07320"/>
    <w:rsid w:val="00C14BC8"/>
    <w:rsid w:val="00C25916"/>
    <w:rsid w:val="00C32512"/>
    <w:rsid w:val="00C3567A"/>
    <w:rsid w:val="00C36279"/>
    <w:rsid w:val="00C464FC"/>
    <w:rsid w:val="00C6103A"/>
    <w:rsid w:val="00C62F4A"/>
    <w:rsid w:val="00C63FA1"/>
    <w:rsid w:val="00C72CB4"/>
    <w:rsid w:val="00C8049E"/>
    <w:rsid w:val="00CA02A3"/>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C2A"/>
    <w:rsid w:val="00D33ECF"/>
    <w:rsid w:val="00D4199E"/>
    <w:rsid w:val="00D43BE5"/>
    <w:rsid w:val="00D52D9A"/>
    <w:rsid w:val="00D55688"/>
    <w:rsid w:val="00D57ECC"/>
    <w:rsid w:val="00D71888"/>
    <w:rsid w:val="00D82D8E"/>
    <w:rsid w:val="00D90811"/>
    <w:rsid w:val="00D90A15"/>
    <w:rsid w:val="00D919B3"/>
    <w:rsid w:val="00D91EC0"/>
    <w:rsid w:val="00D92B5A"/>
    <w:rsid w:val="00DA3EF9"/>
    <w:rsid w:val="00DB583E"/>
    <w:rsid w:val="00DB75BF"/>
    <w:rsid w:val="00DB7A43"/>
    <w:rsid w:val="00DC3787"/>
    <w:rsid w:val="00DC55B1"/>
    <w:rsid w:val="00DD42B3"/>
    <w:rsid w:val="00DE544F"/>
    <w:rsid w:val="00DF3C8D"/>
    <w:rsid w:val="00E0297D"/>
    <w:rsid w:val="00E0333C"/>
    <w:rsid w:val="00E064F3"/>
    <w:rsid w:val="00E17696"/>
    <w:rsid w:val="00E30D3D"/>
    <w:rsid w:val="00E315A3"/>
    <w:rsid w:val="00E33757"/>
    <w:rsid w:val="00E34FC1"/>
    <w:rsid w:val="00E46CC0"/>
    <w:rsid w:val="00E472CB"/>
    <w:rsid w:val="00E508D9"/>
    <w:rsid w:val="00E56414"/>
    <w:rsid w:val="00E56937"/>
    <w:rsid w:val="00E57D4E"/>
    <w:rsid w:val="00E611FF"/>
    <w:rsid w:val="00E62E62"/>
    <w:rsid w:val="00E62FCF"/>
    <w:rsid w:val="00E679B1"/>
    <w:rsid w:val="00E722C1"/>
    <w:rsid w:val="00E83297"/>
    <w:rsid w:val="00EA2A22"/>
    <w:rsid w:val="00EA3D33"/>
    <w:rsid w:val="00EA66EF"/>
    <w:rsid w:val="00EB0553"/>
    <w:rsid w:val="00EB32E0"/>
    <w:rsid w:val="00ED3B25"/>
    <w:rsid w:val="00ED53B9"/>
    <w:rsid w:val="00ED5934"/>
    <w:rsid w:val="00EE49CC"/>
    <w:rsid w:val="00EE752E"/>
    <w:rsid w:val="00EF46A0"/>
    <w:rsid w:val="00EF4991"/>
    <w:rsid w:val="00F007CD"/>
    <w:rsid w:val="00F019D5"/>
    <w:rsid w:val="00F109D0"/>
    <w:rsid w:val="00F17F4D"/>
    <w:rsid w:val="00F35D24"/>
    <w:rsid w:val="00F54FDB"/>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ncer.sanger.ac.uk/census"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s://www.cbioportal.org/genie/" TargetMode="External"/><Relationship Id="rId17" Type="http://schemas.openxmlformats.org/officeDocument/2006/relationships/image" Target="media/image1.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proteinatla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themmrf.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texportal.org" TargetMode="Externa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epmap.org/porta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C1561"/>
    <w:rsid w:val="001E3974"/>
    <w:rsid w:val="00241CC9"/>
    <w:rsid w:val="00242344"/>
    <w:rsid w:val="0026096F"/>
    <w:rsid w:val="002F49E1"/>
    <w:rsid w:val="002F634A"/>
    <w:rsid w:val="003320CB"/>
    <w:rsid w:val="00345E44"/>
    <w:rsid w:val="00385962"/>
    <w:rsid w:val="003B73E8"/>
    <w:rsid w:val="003E0095"/>
    <w:rsid w:val="00434A33"/>
    <w:rsid w:val="00492FF4"/>
    <w:rsid w:val="004E4888"/>
    <w:rsid w:val="005228C3"/>
    <w:rsid w:val="00522914"/>
    <w:rsid w:val="005A0CAD"/>
    <w:rsid w:val="005B5F8A"/>
    <w:rsid w:val="005C0464"/>
    <w:rsid w:val="005E7E0B"/>
    <w:rsid w:val="00614DBC"/>
    <w:rsid w:val="006955CC"/>
    <w:rsid w:val="006C6A0B"/>
    <w:rsid w:val="006D3FE1"/>
    <w:rsid w:val="007112AB"/>
    <w:rsid w:val="007B6CFA"/>
    <w:rsid w:val="007C338D"/>
    <w:rsid w:val="007F5186"/>
    <w:rsid w:val="007F691A"/>
    <w:rsid w:val="008325F6"/>
    <w:rsid w:val="00835679"/>
    <w:rsid w:val="008C6E88"/>
    <w:rsid w:val="008F1C7F"/>
    <w:rsid w:val="0091480D"/>
    <w:rsid w:val="009648DA"/>
    <w:rsid w:val="009866CE"/>
    <w:rsid w:val="00992556"/>
    <w:rsid w:val="009F0FF7"/>
    <w:rsid w:val="00A01A1B"/>
    <w:rsid w:val="00A31A1B"/>
    <w:rsid w:val="00A70454"/>
    <w:rsid w:val="00A87DC7"/>
    <w:rsid w:val="00AF7740"/>
    <w:rsid w:val="00B14CA5"/>
    <w:rsid w:val="00B514F2"/>
    <w:rsid w:val="00B5338A"/>
    <w:rsid w:val="00C2673C"/>
    <w:rsid w:val="00C76B49"/>
    <w:rsid w:val="00C845F9"/>
    <w:rsid w:val="00CA2A9F"/>
    <w:rsid w:val="00CC6D80"/>
    <w:rsid w:val="00D81BC7"/>
    <w:rsid w:val="00D9723E"/>
    <w:rsid w:val="00DE39E6"/>
    <w:rsid w:val="00E11AA3"/>
    <w:rsid w:val="00E4338F"/>
    <w:rsid w:val="00E74B6D"/>
    <w:rsid w:val="00E93D03"/>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44</Pages>
  <Words>12238</Words>
  <Characters>69760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18</cp:revision>
  <dcterms:created xsi:type="dcterms:W3CDTF">2021-02-14T03:31:00Z</dcterms:created>
  <dcterms:modified xsi:type="dcterms:W3CDTF">2021-02-15T20:06:00Z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