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台灣車禍事故處理專家系統研究報告"/>
    <w:p>
      <w:pPr>
        <w:pStyle w:val="Heading1"/>
      </w:pPr>
      <w:r>
        <w:rPr>
          <w:rFonts w:hint="eastAsia"/>
        </w:rPr>
        <w:t xml:space="preserve">台灣車禍事故處理專家系統研究報告</w:t>
      </w:r>
    </w:p>
    <w:bookmarkStart w:id="24" w:name="執行摘要"/>
    <w:p>
      <w:pPr>
        <w:pStyle w:val="Heading2"/>
      </w:pPr>
      <w:r>
        <w:rPr>
          <w:rFonts w:hint="eastAsia"/>
        </w:rPr>
        <w:t xml:space="preserve">執行摘要</w:t>
      </w:r>
    </w:p>
    <w:p>
      <w:pPr>
        <w:pStyle w:val="FirstParagraph"/>
      </w:pPr>
      <w:r>
        <w:rPr>
          <w:rFonts w:hint="eastAsia"/>
        </w:rPr>
        <w:t xml:space="preserve">本報告提出一套「台灣車禍事故處理專家系統」的可執行產品與工程落地方案：以「法規驅動的流程導航</w:t>
      </w:r>
      <w:r>
        <w:t xml:space="preserve"> + </w:t>
      </w:r>
      <w:r>
        <w:rPr>
          <w:rFonts w:hint="eastAsia"/>
        </w:rPr>
        <w:t xml:space="preserve">證據與文件生成」為核心，避免把系統定位成「直接判責」或「提供最終法律意見」的高風險工具；相反地，系統應在事故全生命周期中協助使用者完成正確的安全處置、蒐證、資料申請、鑑定與調解/理賠流程，並可追溯地解釋每一步建議的法規依據與觸發條件。此定位更貼合台灣現行制度：事故當下有明確處置義務與禁止事項（例如設置警示、救護、不得任意移動車輛與痕跡證據，但在特定條件下可先標繪/攝影後移置），且有固定的資料申請節點（事故現場/7日/30日）與鑑定申請門檻（最關鍵為「距肇事日期逾六個月以上」原則不受理）等可程式化規則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系統四層架構建議採「規則引擎為主、LLM為輔」：第一層事故當下指揮官以安全與合規為優先；第二層分流引擎將案件分成A1/A2/A3與高風險路徑（傷亡、疑似肇逃、酒駕/毒駕、危險物品、已進入偵查/審判等）並強制人工升級；第三層文件與證據助理負責將零散資訊結構化、生成可用文件（保險報案摘要、調解陳述、證據清單等）；第四層程序導航器則以時程提醒與申請/鑑定/覆議節點自動化，確保不錯過「7日、30日、6個月、30日覆議、2年/10年請求權」等關鍵期限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本報告未獲指定的產品限制（例如平台、模型供應商、預算、是否上雲/地端），以下一律假設為「無特定限制」，並在MVP章節提供可替換的工程選項。法規與官方資訊來源以</w:t>
      </w:r>
      <w:r>
        <w:t xml:space="preserve"> </w:t>
      </w:r>
      <w:r>
        <w:rPr>
          <w:rFonts w:hint="eastAsia"/>
        </w:rPr>
        <w:t xml:space="preserve">全國法規資料庫</w:t>
      </w:r>
      <w:hyperlink r:id="rId22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、內政部警政署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政府資料開放平臺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為主，並納入地方政府與監理機關公開資訊作為流程補強。</w:t>
      </w:r>
      <w:hyperlink r:id="rId21">
        <w:r>
          <w:rPr>
            <w:rStyle w:val="Hyperlink"/>
          </w:rPr>
          <w:t xml:space="preserve">[6]</w:t>
        </w:r>
      </w:hyperlink>
    </w:p>
    <w:bookmarkEnd w:id="24"/>
    <w:bookmarkStart w:id="32" w:name="產品定位與商業模式"/>
    <w:p>
      <w:pPr>
        <w:pStyle w:val="Heading2"/>
      </w:pPr>
      <w:r>
        <w:rPr>
          <w:rFonts w:hint="eastAsia"/>
        </w:rPr>
        <w:t xml:space="preserve">產品定位與商業模式</w:t>
      </w:r>
    </w:p>
    <w:bookmarkStart w:id="25" w:name="產品定位"/>
    <w:p>
      <w:pPr>
        <w:pStyle w:val="Heading3"/>
      </w:pPr>
      <w:r>
        <w:rPr>
          <w:rFonts w:hint="eastAsia"/>
        </w:rPr>
        <w:t xml:space="preserve">產品定位</w:t>
      </w:r>
    </w:p>
    <w:p>
      <w:pPr>
        <w:pStyle w:val="FirstParagraph"/>
      </w:pPr>
      <w:r>
        <w:rPr>
          <w:rFonts w:hint="eastAsia"/>
        </w:rPr>
        <w:t xml:space="preserve">建議定位為「台灣在地化事故處理</w:t>
      </w:r>
      <w:r>
        <w:t xml:space="preserve"> SOP </w:t>
      </w:r>
      <w:r>
        <w:rPr>
          <w:rFonts w:hint="eastAsia"/>
        </w:rPr>
        <w:t xml:space="preserve">與文件/證據中台」，主張「保命與安全優先、證據可追溯、程序不漏步」，而不是「AI判責」。其原因是台灣制度下，事故處置義務（警示距離、救護、移車條件）、行政罰風險（未依規定處置/妨礙交通/肇逃）、警方資料申請節點（現場/7日/30日）、鑑定申請與覆議期限（6個月、30日一次為限）都具高度可規則化特性，最能形成穩定、可驗證的產品輸出。</w:t>
      </w:r>
      <w:hyperlink r:id="rId21">
        <w:r>
          <w:rPr>
            <w:rStyle w:val="Hyperlink"/>
          </w:rPr>
          <w:t xml:space="preserve">[7]</w:t>
        </w:r>
      </w:hyperlink>
    </w:p>
    <w:bookmarkEnd w:id="25"/>
    <w:bookmarkStart w:id="28" w:name="目標用戶與價值主張"/>
    <w:p>
      <w:pPr>
        <w:pStyle w:val="Heading3"/>
      </w:pPr>
      <w:r>
        <w:rPr>
          <w:rFonts w:hint="eastAsia"/>
        </w:rPr>
        <w:t xml:space="preserve">目標用戶與價值主張</w:t>
      </w:r>
    </w:p>
    <w:p>
      <w:pPr>
        <w:pStyle w:val="FirstParagraph"/>
      </w:pPr>
      <w:r>
        <w:rPr>
          <w:rFonts w:hint="eastAsia"/>
        </w:rPr>
        <w:t xml:space="preserve">B2C（一般駕駛/騎士/行人/乘客）最強痛點是「當下不知道怎麼做」與「事故後不知道何時申請什麼資料、如何整理文件」，尤其官方明確規定事故資料可在不同時間點申請：現場可申請登記聯單、事故7日後可申請現場圖/照片、30日後可申請初步分析研判表。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律師/法律服務（B2B）最有價值的功能是「案件前處理（intake）」：用結構化表單把事故事實、損害項目、證據版本、時程節點與風險旗標一次補齊，降低助理與律師在初期反覆追問的成本；同時以系統輸出「可解釋的流程建議」避免越界提供最終法律意見。此定位可與鄉鎮市調解制度自然銜接，因調解經法院核定後對民事具確定判決同一效力、對特定刑事調解亦可成為執行名義，具高度「終局解決」價值。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保險（B2B2C）最需求的是「資料齊備、報案摘要一致、理賠所需證明文件可追溯」，且強制險給付請求權時效具有「知有損害與保險人起算2年、事故起算10年」的硬期限特性，系統可提供時效提醒以降低爭議。</w:t>
      </w:r>
      <w:hyperlink r:id="rId26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車隊/物流/租賃（B2B）需要「公司內控版本」：事故現場SOP、駕駛行為記錄、證據與文件固定格式、稽核與權限控管；並可結合開放資料作為內訓與風險地圖（例如A2事故資料集含經緯度、事故類型、肇因研判欄位等），形成安全管理循環。</w:t>
      </w:r>
      <w:hyperlink r:id="rId27">
        <w:r>
          <w:rPr>
            <w:rStyle w:val="Hyperlink"/>
          </w:rPr>
          <w:t xml:space="preserve">[11]</w:t>
        </w:r>
      </w:hyperlink>
    </w:p>
    <w:bookmarkEnd w:id="28"/>
    <w:bookmarkStart w:id="31" w:name="商業模式比較表"/>
    <w:p>
      <w:pPr>
        <w:pStyle w:val="Heading3"/>
      </w:pPr>
      <w:r>
        <w:rPr>
          <w:rFonts w:hint="eastAsia"/>
        </w:rPr>
        <w:t xml:space="preserve">商業模式比較表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目標客群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主要產品型態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建議收費模型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主要營收驅動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風險緩解設計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B2C（駕駛/騎士/行人）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App/LINE官方帳號/網頁</w:t>
            </w:r>
          </w:p>
        </w:tc>
        <w:tc>
          <w:tcPr/>
          <w:p>
            <w:pPr>
              <w:pStyle w:val="Compact"/>
            </w:pPr>
            <w:r>
              <w:t xml:space="preserve">Freemium + </w:t>
            </w:r>
            <w:r>
              <w:rPr>
                <w:rFonts w:hint="eastAsia"/>
              </w:rPr>
              <w:t xml:space="preserve">單案加值（文件包、提醒、證據雲）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大量長尾案件、低CAC可擴張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法律建議越界、錯誤指示造成損害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嚴格分流：傷亡/肇逃/酒駕等強制停用一般建議並轉人工；輸出「依規則提示」而非結論；每步顯示法規來源與適用條件。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律師/法律顧問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Web後台</w:t>
            </w:r>
            <w:r>
              <w:t xml:space="preserve"> + </w:t>
            </w:r>
            <w:r>
              <w:rPr>
                <w:rFonts w:hint="eastAsia"/>
              </w:rPr>
              <w:t xml:space="preserve">案件中台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Seat（每席/月）+</w:t>
            </w:r>
            <w:r>
              <w:t xml:space="preserve"> </w:t>
            </w:r>
            <w:r>
              <w:rPr>
                <w:rFonts w:hint="eastAsia"/>
              </w:rPr>
              <w:t xml:space="preserve">案件數計費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以節省工時與提高結案量為ROI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專業責任歸屬、資料保護要求高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提供「可匯出、可追溯」資料夾與證據版本；權限/稽核日誌；預設不輸出判責，只輸出「爭點與待查」。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產險/保險經紀/保代</w:t>
            </w:r>
          </w:p>
        </w:tc>
        <w:tc>
          <w:tcPr/>
          <w:p>
            <w:pPr>
              <w:pStyle w:val="Compact"/>
            </w:pPr>
            <w:r>
              <w:t xml:space="preserve">API + </w:t>
            </w: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每件理賠/每件報案計費、或企業合約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大宗案件處理效率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個資/高敏資料（病歷、醫療）處理合規；與理賠判斷界線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依個資法對醫療等資料採取「書面同意/法定義務」與安全維護；資料最小化；可配置地端或私有雲。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車隊/物流/租車平台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企業版SOP</w:t>
            </w:r>
            <w:r>
              <w:t xml:space="preserve"> + </w:t>
            </w:r>
            <w:r>
              <w:rPr>
                <w:rFonts w:hint="eastAsia"/>
              </w:rPr>
              <w:t xml:space="preserve">事故管理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每車/每駕駛/月、或年度合約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風險降低、事故成本下降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駕駛行為監控的隱私與勞資風險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分層權限、用途限定、告知與同意、保存期限與刪除流程；只保留必要資料。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維修/拖吊/代步車（非核心但可合作）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轉介/合作入口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Lead分潤、名單計費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事故後服務鏈變現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詐騙/黃牛風險、用戶信任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僅提供「官方/合規合作方」名單；加入反詐提示（例如補償基金網站亦設防詐專區）。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建議的商業路徑是「B2C做入口</w:t>
      </w:r>
      <w:r>
        <w:t xml:space="preserve"> + </w:t>
      </w:r>
      <w:r>
        <w:rPr>
          <w:rFonts w:hint="eastAsia"/>
        </w:rPr>
        <w:t xml:space="preserve">B2B做ARPA擴張」：先用B2C建立事故資料結構化與文件生成能力（同時累積匿名化流程數據），再以「律師/車隊/保險工作台」提高客單價與續約率。若需更快營收，可先切入「律師/車隊」因其願意為工時節省與內控付費，且較能配合高風險人工介入機制。</w:t>
      </w:r>
      <w:hyperlink r:id="rId23">
        <w:r>
          <w:rPr>
            <w:rStyle w:val="Hyperlink"/>
          </w:rPr>
          <w:t xml:space="preserve">[15]</w:t>
        </w:r>
      </w:hyperlink>
    </w:p>
    <w:bookmarkEnd w:id="31"/>
    <w:bookmarkEnd w:id="32"/>
    <w:bookmarkStart w:id="44" w:name="功能藍圖與決策設計"/>
    <w:p>
      <w:pPr>
        <w:pStyle w:val="Heading2"/>
      </w:pPr>
      <w:r>
        <w:rPr>
          <w:rFonts w:hint="eastAsia"/>
        </w:rPr>
        <w:t xml:space="preserve">功能藍圖與決策設計</w:t>
      </w:r>
    </w:p>
    <w:bookmarkStart w:id="34" w:name="事故當下指揮官"/>
    <w:p>
      <w:pPr>
        <w:pStyle w:val="Heading3"/>
      </w:pPr>
      <w:r>
        <w:rPr>
          <w:rFonts w:hint="eastAsia"/>
        </w:rPr>
        <w:t xml:space="preserve">事故當下指揮官</w:t>
      </w:r>
    </w:p>
    <w:p>
      <w:pPr>
        <w:pStyle w:val="FirstParagraph"/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把使用者從「慌亂」帶到「安全、合規、可蒐證」狀態。此層輸出必須以法規可證明的義務與禁止事項為主，例如：先設警告設施；有人受傷需迅速救護並通知消防；原則不得任意移動肇事車輛與痕跡證據，但在「無人傷亡且車輛尚能行駛」或「有人受傷且當事人均同意移置」情況下，可先標繪/攝影後移置；並應通知警察機關（但無人傷亡且當場自行和解者例外）。</w:t>
      </w:r>
      <w:hyperlink r:id="rId21">
        <w:r>
          <w:rPr>
            <w:rStyle w:val="Hyperlink"/>
          </w:rPr>
          <w:t xml:space="preserve">[16]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風險控管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人工升級規則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安全分流（生命/交通風險）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是否傷亡、是否起火、道路類型（國道/快速/一般）、是否阻礙交通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任何「我剛發生事故」進入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立即操作清單：開雙黃燈、設置警示、遠離車道/二次事故防護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明確禁止危險行為；提示適當距離：國道100m、快速/速限&gt;60為80m、50~60為50m、≤50為30m、壅塞/低速≤10為5m；雨霧需增加距離。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任何「死亡/重傷疑慮」「危險物品」「多車重大事故」→</w:t>
            </w:r>
            <w:r>
              <w:t xml:space="preserve"> </w:t>
            </w:r>
            <w:r>
              <w:rPr>
                <w:rFonts w:hint="eastAsia"/>
              </w:rPr>
              <w:t xml:space="preserve">只提供安全與通報指引，不提供責任/和解建議。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救護與通報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傷者狀況、是否已叫救護、位置資訊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有受傷/死亡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指引先救護並儘速通知消防；同步建立報警要點（時地、傷亡、現場概況）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醫療優先、不得以「談責任」取代救護；提醒醫院不得拒絕救治（用戶安心）。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傷亡案件一律標記高風險；後續流程強制進入「刑民風險提示</w:t>
            </w:r>
            <w:r>
              <w:t xml:space="preserve"> + </w:t>
            </w:r>
            <w:r>
              <w:rPr>
                <w:rFonts w:hint="eastAsia"/>
              </w:rPr>
              <w:t xml:space="preserve">人工諮詢入口」。</w:t>
            </w: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是否可移車判斷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傷亡、車輛是否尚能行駛、雙方是否同意移置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車輛在車道/路肩且可能妨礙交通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給出「禁止/可移置但須先標繪/攝影」結論</w:t>
            </w:r>
            <w:r>
              <w:t xml:space="preserve"> + </w:t>
            </w:r>
            <w:r>
              <w:rPr>
                <w:rFonts w:hint="eastAsia"/>
              </w:rPr>
              <w:t xml:space="preserve">操作步驟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直接引用「不得任意移動」與例外條件；連動行政罰風險：無傷亡且車可行駛不儘速標繪移置致妨礙交通可罰；傷亡案件任意移動亦有罰鍰。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若使用者表示對方不同意移置、或有爭執</w:t>
            </w:r>
            <w:r>
              <w:t xml:space="preserve"> → </w:t>
            </w:r>
            <w:r>
              <w:rPr>
                <w:rFonts w:hint="eastAsia"/>
              </w:rPr>
              <w:t xml:space="preserve">系統禁止引導移車，僅提示保全現場、等待警方。</w:t>
            </w:r>
            <w:hyperlink r:id="rId33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蒐證拍攝清單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道路型態、號誌、車種（汽/機/行人）、是否有監視器/行車記錄器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事故已相對安全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逐步拍攝清單（全景含標線、碰撞點、掉落物、車牌、路口號誌秒數/位置、監視器位置、行車紀錄器保全）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禁止編造；要求「時間戳、原檔保存」；提醒若現場必須變動，警方也會做標繪攝影存證。</w:t>
            </w:r>
            <w:hyperlink r:id="rId21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若涉及「肇逃」「酒駕/毒駕疑慮」「危險物品」→</w:t>
            </w:r>
            <w:r>
              <w:t xml:space="preserve"> </w:t>
            </w:r>
            <w:r>
              <w:rPr>
                <w:rFonts w:hint="eastAsia"/>
              </w:rPr>
              <w:t xml:space="preserve">指示加強留存監視器位置與目擊者資料，並立即引導報警。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現場資訊交換與記錄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對方身分、車號、保險、聯絡方式、目擊者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產出「事故現場筆記」+</w:t>
            </w:r>
            <w:r>
              <w:t xml:space="preserve"> </w:t>
            </w:r>
            <w:r>
              <w:rPr>
                <w:rFonts w:hint="eastAsia"/>
              </w:rPr>
              <w:t xml:space="preserve">可複製文字（報警/報案用）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對敏感個資（身分證字號、住址）預設遮蔽與最小化收集；告知用途與保存期限。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若使用者嘗試輸入/上傳「他人病歷/犯罪前科」等高度敏感資料</w:t>
            </w:r>
            <w:r>
              <w:t xml:space="preserve"> → </w:t>
            </w:r>
            <w:r>
              <w:rPr>
                <w:rFonts w:hint="eastAsia"/>
              </w:rPr>
              <w:t xml:space="preserve">系統要求目的與同意確認，否則拒收或改為人工。</w:t>
            </w:r>
            <w:hyperlink r:id="rId29">
              <w:r>
                <w:rPr>
                  <w:rStyle w:val="Hyperlink"/>
                </w:rPr>
                <w:t xml:space="preserve">[22]</w:t>
              </w:r>
            </w:hyperlink>
          </w:p>
        </w:tc>
      </w:tr>
    </w:tbl>
    <w:bookmarkEnd w:id="34"/>
    <w:bookmarkStart w:id="39" w:name="法規驅動分流引擎"/>
    <w:p>
      <w:pPr>
        <w:pStyle w:val="Heading3"/>
      </w:pPr>
      <w:r>
        <w:rPr>
          <w:rFonts w:hint="eastAsia"/>
        </w:rPr>
        <w:t xml:space="preserve">法規驅動分流引擎</w:t>
      </w:r>
    </w:p>
    <w:p>
      <w:pPr>
        <w:pStyle w:val="FirstParagraph"/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：把案件導入正確「軌道」（警方資料申請、鑑定、保險、調解、訴訟前準備），避免錯過期限與踩到禁止事項。分流引擎的規則核心應至少涵蓋：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事故分類：A1/A2/A3（A1：當場或24小時內死亡；A2：受傷或超過24小時死亡；A3：僅車輛財物受損）。</w:t>
      </w:r>
      <w:hyperlink r:id="rId35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道路範圍判斷：是否屬「公路、街道、巷衖、廣場、騎樓、走廊或其他供公眾通行之地方」。此判斷會影響鑑定受理（非屬道路者不受理）。</w:t>
      </w:r>
      <w:hyperlink r:id="rId36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高風險旗標：傷亡、疑似肇逃、已進入偵查/審判、危險物品、重大道路交通事故等。</w:t>
      </w:r>
      <w:hyperlink r:id="rId21">
        <w:r>
          <w:rPr>
            <w:rStyle w:val="Hyperlink"/>
          </w:rPr>
          <w:t xml:space="preserve">[25]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風險控管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人工升級規則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A1/A2/A3分類與路徑選擇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傷亡狀態（含24小時內/後）、財損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案件建立時必跑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分流路徑：安全/警方資料/保險/鑑定/調解/訴訟準備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對於傷亡案件避免「私了導向」；對A3提供移置與快速處置，但保留報警選項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A1/A2一律提示刑民風險與人工入口；A3若涉及公務車/營業車/未成年亦升級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肇逃/逃逸風險偵測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對方是否離開現場、是否拒絕提供資料、是否有目擊者/監視器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任一方離開或聯絡中斷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立即行動：報警、保全監視器位置、記錄時間線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強調行政罰與更高層風險；避免使用者自行追車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肇逃旗標</w:t>
            </w:r>
            <w:r>
              <w:t xml:space="preserve"> → </w:t>
            </w:r>
            <w:r>
              <w:rPr>
                <w:rFonts w:hint="eastAsia"/>
              </w:rPr>
              <w:t xml:space="preserve">強制人工（律師/警方資源）並停止和解話術輸出。</w:t>
            </w:r>
            <w:hyperlink r:id="rId3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「已進入偵查/審判」判斷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是否已收到傳票/通知、是否已提告、檢警介入程度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申請鑑定/生成法律文件前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改走「司法程序協助」：準備檔案、時程提醒、不提供鑑定申請指示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因鑑定規則明定：進入偵查/審判程序中且非司法機關囑託者，不予受理鑑定。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一律人工（律師/法務）確認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警方資料申請路徑規則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事故日期、是否有傷亡、是否當場通知警方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事故後追蹤頁面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顯示可申請資料：現場登記聯單（現場）、7日後現場圖/照片、30日後初步分析研判表；並提示線上申請條件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若使用者未符合線上申請條件（需當場通知警方到場且有人員死傷），改提示向原受理單位洽詢。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若需要取得他造住所/居所作為法律主張（鑑定、調解、假扣押、訴訟），提供申請提示並建議人工協助文字撰寫。</w:t>
            </w:r>
            <w:hyperlink r:id="rId38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鑑定/覆議路徑規則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距事故時間、是否已鑑定、是否進司法、道路範圍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使用者點「我要鑑定」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檢核是否受理：須經警方處理、距肇事日期逾六個月原則不受理、非道路不受理、已鑑定不受理；並提示覆議30日一次為限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覆議期限與程序必須明確；鑑定完成期限（受理翌日起2個月、最多再延2個月）納入提醒。</w:t>
            </w:r>
            <w:hyperlink r:id="rId3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任何不確定道路屬性/司法程序狀態</w:t>
            </w:r>
            <w:r>
              <w:t xml:space="preserve"> → </w:t>
            </w:r>
            <w:r>
              <w:rPr>
                <w:rFonts w:hint="eastAsia"/>
              </w:rPr>
              <w:t xml:space="preserve">人工確認後再導流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強制險/補償基金導流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有無強制險、肇事車是否不明/未保險等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無法向保險人請求或疑似未保險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顯示強制險請求權時效（2年/10年）與特別補償基金適用情形（肇事車無法查究、未保險、失竊等）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避免提供理賠金額推估；僅提供「應準備資料清單」與時程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肇逃/未保險造成重大損害</w:t>
            </w:r>
            <w:r>
              <w:t xml:space="preserve"> → </w:t>
            </w:r>
            <w:r>
              <w:rPr>
                <w:rFonts w:hint="eastAsia"/>
              </w:rPr>
              <w:t xml:space="preserve">提供人工協助（理賠/法律）入口。</w:t>
            </w:r>
            <w:hyperlink r:id="rId26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bookmarkEnd w:id="39"/>
    <w:bookmarkStart w:id="41" w:name="文件與證據助理"/>
    <w:p>
      <w:pPr>
        <w:pStyle w:val="Heading3"/>
      </w:pPr>
      <w:r>
        <w:rPr>
          <w:rFonts w:hint="eastAsia"/>
        </w:rPr>
        <w:t xml:space="preserve">文件與證據助理</w:t>
      </w:r>
    </w:p>
    <w:p>
      <w:pPr>
        <w:pStyle w:val="FirstParagraph"/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把「可用於保險、鑑定、調解、訴訟」的資料一次整理好，並保留版本、來源與時間戳。警方可在事故處理中蒐證並製作紀錄（現場圖、攝影、筆錄），若當事人當場不能或不宜製作調查紀錄等資料，應於事故發生或原因消失後七日內聯繫處理單位補製，系統可把這個「七日補製」做成強提醒。</w:t>
      </w:r>
      <w:hyperlink r:id="rId21">
        <w:r>
          <w:rPr>
            <w:rStyle w:val="Hyperlink"/>
          </w:rPr>
          <w:t xml:space="preserve">[21]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風險控管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人工升級規則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證據上傳與版本控管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照片、影片、行車紀錄器檔、醫療單據、修車估價單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任一檔案上傳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自動產出：檔案雜湊、上傳時間、來源人、版本樹；可匯出證據清單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高敏資料（病歷/醫療）屬個資法第6條範圍，需目的與同意/法定義務檢核；權限分級。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上傳含大量第三人可識別資訊</w:t>
            </w:r>
            <w:r>
              <w:t xml:space="preserve"> → </w:t>
            </w:r>
            <w:r>
              <w:rPr>
                <w:rFonts w:hint="eastAsia"/>
              </w:rPr>
              <w:t xml:space="preserve">建議遮蔽/打碼或改走人工審核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事故摘要生成（保險/警方用）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事故時間地點、雙方敘述、照片關鍵點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完成基本表單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300~800字摘要</w:t>
            </w:r>
            <w:r>
              <w:t xml:space="preserve"> + </w:t>
            </w:r>
            <w:r>
              <w:rPr>
                <w:rFonts w:hint="eastAsia"/>
              </w:rPr>
              <w:t xml:space="preserve">可複製報案格式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LLM僅做「整理」不做判責；摘要附來源鏈接與缺漏清單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若涉及刑事風險字眼（肇逃、酒駕等）</w:t>
            </w:r>
            <w:r>
              <w:t xml:space="preserve"> → </w:t>
            </w:r>
            <w:r>
              <w:rPr>
                <w:rFonts w:hint="eastAsia"/>
              </w:rPr>
              <w:t xml:space="preserve">系統改為「事實時間線」並提示人工審閱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調解/和解文件初稿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損害項目、金額、付款方式、期限、撤告條件（如適用）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點「我要和解/調解」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調解陳述書範本、條款清單、附件清單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提醒：調解書送法院核定後效力重大；且內容若牴觸法令/不能強制執行可能不予核定；提供「條款風險提示」。</w:t>
            </w:r>
            <w:hyperlink r:id="rId23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有傷亡或疑似告訴乃論刑事事件處理</w:t>
            </w:r>
            <w:r>
              <w:t xml:space="preserve"> → </w:t>
            </w:r>
            <w:r>
              <w:rPr>
                <w:rFonts w:hint="eastAsia"/>
              </w:rPr>
              <w:t xml:space="preserve">強制人工（律師/調解委員）審閱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初判表/現場圖照片申請輔助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事故日期、受理單位、案件編號（如有）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事故後第7/30日起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申請步驟、所需身分文件、取件/下載提醒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線上申請條件：需當場通知警方到場且有人員死傷；送出後不可修改、可於3天內取消重申請等注意事項需提示。</w:t>
            </w:r>
            <w:hyperlink r:id="rId40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若使用者案件不符合線上申請條件</w:t>
            </w:r>
            <w:r>
              <w:t xml:space="preserve"> → </w:t>
            </w:r>
            <w:r>
              <w:rPr>
                <w:rFonts w:hint="eastAsia"/>
              </w:rPr>
              <w:t xml:space="preserve">導向原處理單位詢問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鑑定申請資料包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事故日期、處理單位、身分證明、行照/駕照影本等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點「我要申請鑑定」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生成「申請應備文件清單</w:t>
            </w:r>
            <w:r>
              <w:t xml:space="preserve"> + </w:t>
            </w:r>
            <w:r>
              <w:rPr>
                <w:rFonts w:hint="eastAsia"/>
              </w:rPr>
              <w:t xml:space="preserve">表格填寫輔助」；提醒規費與期限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官方申請表與注意事項明示：每案規費3000元、申請要件含「六個月以內」且有警方紀錄等。</w:t>
            </w:r>
            <w:hyperlink r:id="rId22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進入司法程序/超過6個月/非道路</w:t>
            </w:r>
            <w:r>
              <w:t xml:space="preserve"> → </w:t>
            </w:r>
            <w:r>
              <w:rPr>
                <w:rFonts w:hint="eastAsia"/>
              </w:rPr>
              <w:t xml:space="preserve">直接阻擋並改走人工諮詢</w:t>
            </w:r>
          </w:p>
        </w:tc>
      </w:tr>
    </w:tbl>
    <w:bookmarkEnd w:id="41"/>
    <w:bookmarkStart w:id="42" w:name="後續程序導航器"/>
    <w:p>
      <w:pPr>
        <w:pStyle w:val="Heading3"/>
      </w:pPr>
      <w:r>
        <w:rPr>
          <w:rFonts w:hint="eastAsia"/>
        </w:rPr>
        <w:t xml:space="preserve">後續程序導航器</w:t>
      </w:r>
    </w:p>
    <w:p>
      <w:pPr>
        <w:pStyle w:val="FirstParagraph"/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：用「案件狀態機</w:t>
      </w:r>
      <w:r>
        <w:t xml:space="preserve"> + </w:t>
      </w:r>
      <w:r>
        <w:rPr>
          <w:rFonts w:hint="eastAsia"/>
        </w:rPr>
        <w:t xml:space="preserve">法定節點提醒」確保使用者在事故後90~180天內走完最重要的資料申請、鑑定與和解/理賠動作。</w:t>
      </w:r>
    </w:p>
    <w:p>
      <w:pPr>
        <w:pStyle w:val="BodyText"/>
      </w:pPr>
      <w:r>
        <w:rPr>
          <w:rFonts w:hint="eastAsia"/>
        </w:rPr>
        <w:t xml:space="preserve">此層的核心自動化節點至少包含：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警方資料：現場登記聯單（現場）、現場圖/照片（事故7日後）、初步分析研判表（事故30日後）。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鑑定受理期限：距肇事日期逾六個月原則不予受理；鑑定應自受理翌日起2個月內完成、得延長一次最多2個月；覆議期限為收受鑑定意見書翌日起30日內，且一次為限。</w:t>
      </w:r>
      <w:hyperlink r:id="rId37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強制險/補償基金時效：知損害與保險人起算2年、事故起算10年（並有請求後不計入時效期間的規定）。</w:t>
      </w:r>
      <w:hyperlink r:id="rId26">
        <w:r>
          <w:rPr>
            <w:rStyle w:val="Hyperlink"/>
          </w:rPr>
          <w:t xml:space="preserve">[10]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3" w:name="常見事故情境決策樹"/>
    <w:p>
      <w:pPr>
        <w:pStyle w:val="Heading3"/>
      </w:pPr>
      <w:r>
        <w:rPr>
          <w:rFonts w:hint="eastAsia"/>
        </w:rPr>
        <w:t xml:space="preserve">常見事故情境決策樹</w:t>
      </w:r>
    </w:p>
    <w:p>
      <w:pPr>
        <w:pStyle w:val="FirstParagraph"/>
      </w:pPr>
      <w:r>
        <w:rPr>
          <w:rFonts w:hint="eastAsia"/>
        </w:rPr>
        <w:t xml:space="preserve">下表將常見事故情境整理成「關鍵判斷節點</w:t>
      </w:r>
      <w:r>
        <w:t xml:space="preserve"> → </w:t>
      </w:r>
      <w:r>
        <w:rPr>
          <w:rFonts w:hint="eastAsia"/>
        </w:rPr>
        <w:t xml:space="preserve">建議動作」的決策骨架（可直接轉成前端問答流程與規則引擎節點）。其中涉及「不得任意移動」「例外可先標繪後移置」「肇逃」「資料申請7/30日」「鑑定6個月/覆議30日」等部分，均可由法規直接支撐，便於做可解釋輸出。</w:t>
      </w:r>
      <w:hyperlink r:id="rId21">
        <w:r>
          <w:rPr>
            <w:rStyle w:val="Hyperlink"/>
          </w:rPr>
          <w:t xml:space="preserve">[34]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關鍵判斷節點（Decision</w:t>
            </w:r>
            <w:r>
              <w:t xml:space="preserve"> </w:t>
            </w:r>
            <w:r>
              <w:rPr>
                <w:rFonts w:hint="eastAsia"/>
              </w:rPr>
              <w:t xml:space="preserve">Nodes）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建議動作（Actions）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系統升級/限制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A3輕微擦撞、車能動、無人傷亡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是否在車道/路肩；車是否可行駛；是否影響交通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先設警示→拍攝/標繪→儘速移置路邊不妨礙交通；必要時通知警方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若使用者拒移置且妨礙交通</w:t>
            </w:r>
            <w:r>
              <w:t xml:space="preserve"> → </w:t>
            </w:r>
            <w:r>
              <w:rPr>
                <w:rFonts w:hint="eastAsia"/>
              </w:rPr>
              <w:t xml:space="preserve">提醒可能受罰（道交條例62）。</w:t>
            </w:r>
            <w:hyperlink r:id="rId3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A3但車不能動或散落物多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是否阻礙交通；是否需清理；是否有二次事故風險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設警示→避免站立車道→報警/求援；拍攝後等待警方/拖吊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若風險高（夜間高速路段）→</w:t>
            </w:r>
            <w:r>
              <w:t xml:space="preserve"> </w:t>
            </w:r>
            <w:r>
              <w:rPr>
                <w:rFonts w:hint="eastAsia"/>
              </w:rPr>
              <w:t xml:space="preserve">強制安全模式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A2有人受傷但雙方同意移車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有傷；是否「當事人均同意」；車道風險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先標繪/攝影車位與痕跡→移置不妨礙交通→救護與報警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若一方不同意</w:t>
            </w:r>
            <w:r>
              <w:t xml:space="preserve"> → </w:t>
            </w:r>
            <w:r>
              <w:rPr>
                <w:rFonts w:hint="eastAsia"/>
              </w:rPr>
              <w:t xml:space="preserve">禁止移車建議。</w:t>
            </w:r>
            <w:hyperlink r:id="rId3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A2有人受傷且責任爭執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有傷；爭執強烈；是否可能暴力/威脅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保持現場、等待警方；記錄目擊者/監視器位置；避免私了承諾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觸發人工（法律/調解）入口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國道事故（不論傷亡）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國道；車流高速；是否能安全下車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依規定距離設警示（100m且雨霧加距）→撤離至護欄外→報警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強制安全指引優先。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快速道路/速限&gt;60事故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道路型態；視線；是否壅塞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依80m/加距規則設警示；完成拍攝再依規定移置或等待警方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強制安全優先。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追撞（後車撞前車）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是否有人傷；是否可移車；是否有行車紀錄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先安全→保全行車紀錄器原檔→拍攝標線與車距→依傷亡決定移置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若有人傷</w:t>
            </w:r>
            <w:r>
              <w:t xml:space="preserve"> → </w:t>
            </w:r>
            <w:r>
              <w:rPr>
                <w:rFonts w:hint="eastAsia"/>
              </w:rPr>
              <w:t xml:space="preserve">高風險流程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變換車道擦撞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是否有側向痕跡；是否有盲點爭議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拍攝輪胎痕、車道線、碰撞高度；保存行車紀錄；收集目擊者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可建議後續鑑定（6個月內）</w:t>
            </w: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路口碰撞（含號誌）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是否有號誌/監視器；是否需調閱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記錄監視器位置與店家；拍攝號誌與停止線；建立時間線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若監視器可能被覆蓋</w:t>
            </w:r>
            <w:r>
              <w:t xml:space="preserve"> → </w:t>
            </w:r>
            <w:r>
              <w:rPr>
                <w:rFonts w:hint="eastAsia"/>
              </w:rPr>
              <w:t xml:space="preserve">立即提醒「盡快保全」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機車與汽車事故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是否機車受傷；是否兩段式轉彎爭議（僅提示待查）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蒐證重點：車道/停止線/轉彎軌跡；傷勢與醫療單據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若涉及重傷</w:t>
            </w:r>
            <w:r>
              <w:t xml:space="preserve"> → </w:t>
            </w:r>
            <w:r>
              <w:rPr>
                <w:rFonts w:hint="eastAsia"/>
              </w:rPr>
              <w:t xml:space="preserve">人工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行人事故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行人是否倒地；是否需要立即救護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先救護並通知消防；保全行穿線/路口影像；尋找目擊者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一律高風險（A2/A1）</w:t>
            </w:r>
            <w:hyperlink r:id="rId21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自行車/微型載具事故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是否屬道路範圍；是否有人傷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依道路事故流程處理；拍攝路面狀況與碰撞點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道路屬性不明</w:t>
            </w:r>
            <w:r>
              <w:t xml:space="preserve"> → </w:t>
            </w:r>
            <w:r>
              <w:rPr>
                <w:rFonts w:hint="eastAsia"/>
              </w:rPr>
              <w:t xml:space="preserve">人工確認。</w:t>
            </w:r>
            <w:hyperlink r:id="rId36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開車門「開門事故」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是否有路邊停車狀態；是否造成後車摔倒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拍攝車門開啟角度、車道線、倒地位置；保全行車紀錄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若無直接碰撞但有人摔倒，仍可能構成事故（走事實記錄）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停車場/私有地事故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是否「供公眾通行」；是否有警方處理紀錄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先依安全與蒐證處理；再判斷道路屬性；若非道路，鑑定可能不受理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道路屬性爭議大</w:t>
            </w:r>
            <w:r>
              <w:t xml:space="preserve"> → </w:t>
            </w:r>
            <w:r>
              <w:rPr>
                <w:rFonts w:hint="eastAsia"/>
              </w:rPr>
              <w:t xml:space="preserve">建議人工。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多車連環事故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車輛數&gt;3；是否有人傷亡；是否重大事故條件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安全撤離→保全各車位置→等待警方指揮；不自行協調責任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若符合重大事故要件</w:t>
            </w:r>
            <w:r>
              <w:t xml:space="preserve"> → </w:t>
            </w:r>
            <w:r>
              <w:rPr>
                <w:rFonts w:hint="eastAsia"/>
              </w:rPr>
              <w:t xml:space="preserve">高風險與通報流程。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危險物品車事故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是否運送危險物品；是否洩漏/燃燒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遠離現場→通知消防→配合警方管制與通報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強制安全模式；停止一般建議。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疑似酒駕/毒駕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對方/自己是否疑似酒駕；是否拒測跡象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立即報警；保全影像與目擊者；避免私下放行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高風險：只提供安全與蒐證。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疑似肇逃（對方離開）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對方是否離開；是否掌握車號/特徵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立即報警；記錄時間線；保全監視器位置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強制人工入口；避免追車。</w:t>
            </w:r>
            <w:hyperlink r:id="rId3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事故後要申請警方資料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距事故日是否達7/30；是否有人死傷且警方到場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顯示可申請清單與期限；提供線上申請/臨櫃指引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若不符合線上申請條件</w:t>
            </w:r>
            <w:r>
              <w:t xml:space="preserve"> → </w:t>
            </w:r>
            <w:r>
              <w:rPr>
                <w:rFonts w:hint="eastAsia"/>
              </w:rPr>
              <w:t xml:space="preserve">指向原受理單位。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事故後要申請鑑定/覆議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距事故日是否≤6個月；是否進司法；是否道路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檢核受理→整理申請資料包→提醒鑑定規費與覆議30日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不符合受理或進司法</w:t>
            </w:r>
            <w:r>
              <w:t xml:space="preserve"> → </w:t>
            </w:r>
            <w:r>
              <w:rPr>
                <w:rFonts w:hint="eastAsia"/>
              </w:rPr>
              <w:t xml:space="preserve">改走人工。</w:t>
            </w:r>
            <w:hyperlink r:id="rId37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bookmarkEnd w:id="43"/>
    <w:bookmarkEnd w:id="44"/>
    <w:bookmarkStart w:id="53" w:name="台灣法規規則庫與官方資料來源"/>
    <w:p>
      <w:pPr>
        <w:pStyle w:val="Heading2"/>
      </w:pPr>
      <w:r>
        <w:rPr>
          <w:rFonts w:hint="eastAsia"/>
        </w:rPr>
        <w:t xml:space="preserve">台灣法規規則庫與官方資料來源</w:t>
      </w:r>
    </w:p>
    <w:bookmarkStart w:id="48" w:name="法規規則庫清單與優先順序"/>
    <w:p>
      <w:pPr>
        <w:pStyle w:val="Heading3"/>
      </w:pPr>
      <w:r>
        <w:rPr>
          <w:rFonts w:hint="eastAsia"/>
        </w:rPr>
        <w:t xml:space="preserve">法規規則庫清單與優先順序</w:t>
      </w:r>
    </w:p>
    <w:p>
      <w:pPr>
        <w:pStyle w:val="FirstParagraph"/>
      </w:pPr>
      <w:r>
        <w:rPr>
          <w:rFonts w:hint="eastAsia"/>
        </w:rPr>
        <w:t xml:space="preserve">下表為建議的「規則庫（Rules</w:t>
      </w:r>
      <w:r>
        <w:t xml:space="preserve"> </w:t>
      </w:r>
      <w:r>
        <w:rPr>
          <w:rFonts w:hint="eastAsia"/>
        </w:rPr>
        <w:t xml:space="preserve">Library）」最小集合，涵蓋事故當下義務、行政罰風險、警方資料申請節點、鑑定/覆議期限、保險時效、調解效力與個資合規。優先順序以P0（MVP必備）→P1（擴充）→P2（進階）標示。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法規/規範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條號（建議規則化）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要點（可轉成規則）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主要用於系統哪一層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道路交通事故處理辦法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第3條、第4條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駕駛/肇事人事故處置：設警示；有傷救護並通知消防；不得任意移動車與痕跡，但「無人傷亡且車能行駛」或「有人受傷且均同意移置」可先標繪/攝影後移置；通知警察；警示距離（國道100m等）。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事故當下指揮官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道路交通事故處理辦法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第10條、第12條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警方勘察蒐證事項、事故資料製作；當事人不能/不宜製作調查紀錄者，7日內聯繫補製；證據可暫時扣留，期間不得超過3個月。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文件/證據助理、導航器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道路交通事故處理辦法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警方資料申請節點：現場登記聯單；7日後現場圖/照片；30日後初判表；閱覽限制與費用負擔。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程序導航器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道路交通管理處罰條例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第62條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無傷亡未依規定處置罰鍰；車能行駛不儘速標繪移置致妨礙交通罰鍰；傷亡事故須救護、依規定處置並通知警方、不得任意移動；傷亡肇逃吊銷駕照等；車輛可暫扣檢驗鑑定最長3個月。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分流引擎、風險控管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道路交通管理處罰條例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「道路」定義（含其他供公眾通行之地方）與車道、人行道等定義；用於道路屬性判斷。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分流引擎（道路範圍）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車輛行車事故鑑定及覆議作業辦法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第3條、第9條、第10條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鑑定受理限制：須經警方處理；進入偵查/審判且非囑託不受理；距肇事逾6個月不受理（除不可歸責）；非道路不受理；鑑定期限2個月+最多延2個月；覆議30日內一次為限。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程序導航器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強制汽車責任保險法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保險給付請求權時效：知損害與保險人起算2年、事故起算10年；向保險人請求後有「不計入」期間；特別補償基金權利亦準用並有起算規則。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程序導航器（時效提醒）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個人資料保護法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第6條、第8條、第27條（非公務機關安全措施）、第12條（侵害通知）等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醫療/病歷等敏感資料限制；蒐集告知義務；非公務機關需安全措施防竊取洩漏；資料侵害需通知當事人（並依版本可能含通報/紀錄義務）。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全系統（合規/資安）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鄉鎮市調解條例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第25～27條、第29條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調解書製作與送法院審核；法院核定後不得再起訴/告訴/自訴；民事調解效力同確定判決；刑事調解特定標的可作執行名義；核定後無效/撤銷有30日內起訴限制。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文件/證據助理、導航器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第184條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侵權行為一般損害賠償責任（故意/過失不法侵害他人權利；違反保護他人法律推定責任但可證明無過失）。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文件/證據助理（求償架構）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中華民國刑法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第284條、第276條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過失傷害、過失致死之刑責基本框架（用於風險提示而非定性）。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分流引擎（風險提示）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（擴充）地方警局事故申請平台規則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（各地版）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例如下載期限、身分驗證方式、臨櫃取件條件等，做在地化提醒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程序導航器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[42]</w:t>
              </w:r>
            </w:hyperlink>
          </w:p>
        </w:tc>
      </w:tr>
    </w:tbl>
    <w:bookmarkEnd w:id="48"/>
    <w:bookmarkStart w:id="52" w:name="推薦優先整合的官方資料來源與api"/>
    <w:p>
      <w:pPr>
        <w:pStyle w:val="Heading3"/>
      </w:pPr>
      <w:r>
        <w:rPr>
          <w:rFonts w:hint="eastAsia"/>
        </w:rPr>
        <w:t xml:space="preserve">推薦優先整合的官方資料來源與API</w:t>
      </w:r>
    </w:p>
    <w:p>
      <w:pPr>
        <w:pStyle w:val="FirstParagraph"/>
      </w:pPr>
      <w:r>
        <w:rPr>
          <w:rFonts w:hint="eastAsia"/>
        </w:rPr>
        <w:t xml:space="preserve">優先順序依「可用性（是否公開）」「可機器介接」「對產品核心流程的貢獻」排序：</w:t>
      </w:r>
    </w:p>
    <w:p>
      <w:pPr>
        <w:pStyle w:val="BodyText"/>
      </w:pPr>
      <w:r>
        <w:t xml:space="preserve">1) </w:t>
      </w:r>
      <w:r>
        <w:rPr>
          <w:rFonts w:hint="eastAsia"/>
        </w:rPr>
        <w:t xml:space="preserve">全國法規資料庫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Open </w:t>
      </w:r>
      <w:r>
        <w:rPr>
          <w:rFonts w:hint="eastAsia"/>
        </w:rPr>
        <w:t xml:space="preserve">API：可用於定期同步法條版本、建立RAG知識庫與規則庫對應表，降低手工維護成本。</w:t>
      </w:r>
      <w:hyperlink r:id="rId49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2) </w:t>
      </w:r>
      <w:r>
        <w:rPr>
          <w:rFonts w:hint="eastAsia"/>
        </w:rPr>
        <w:t xml:space="preserve">政府資料開放平臺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M2M/介接指引：提供以API取用或同步詮釋資料的指引，可用來自動追蹤交通事故資料集更新並拉取資料資源（例如A2事故資料集含事故類型、肇因研判、座標等欄位）。</w:t>
      </w:r>
      <w:hyperlink r:id="rId50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3) </w:t>
      </w:r>
      <w:r>
        <w:rPr>
          <w:rFonts w:hint="eastAsia"/>
        </w:rPr>
        <w:t xml:space="preserve">內政部警政署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事故資料申請與FAQ：官方明確列出可申請資料與時間點（現場/7日/30日），且線上申請系統對「需有人員死傷且警方到場」有條件限制，適合做成「流程導航</w:t>
      </w:r>
      <w:r>
        <w:t xml:space="preserve"> + </w:t>
      </w:r>
      <w:r>
        <w:rPr>
          <w:rFonts w:hint="eastAsia"/>
        </w:rPr>
        <w:t xml:space="preserve">自動提醒</w:t>
      </w:r>
      <w:r>
        <w:t xml:space="preserve"> + </w:t>
      </w:r>
      <w:r>
        <w:rPr>
          <w:rFonts w:hint="eastAsia"/>
        </w:rPr>
        <w:t xml:space="preserve">深連結」。</w:t>
      </w:r>
      <w:hyperlink r:id="rId38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4) </w:t>
      </w:r>
      <w:r>
        <w:rPr>
          <w:rFonts w:hint="eastAsia"/>
        </w:rPr>
        <w:t xml:space="preserve">道安總動員</w:t>
      </w:r>
      <w:hyperlink r:id="rId38">
        <w:r>
          <w:rPr>
            <w:rStyle w:val="Hyperlink"/>
          </w:rPr>
          <w:t xml:space="preserve">[46]</w:t>
        </w:r>
      </w:hyperlink>
      <w:r>
        <w:t xml:space="preserve"> </w:t>
      </w:r>
      <w:r>
        <w:rPr>
          <w:rFonts w:hint="eastAsia"/>
        </w:rPr>
        <w:t xml:space="preserve">與事故開放資料：用於風險熱點提示、企業車隊安全管理報表與內容行銷；政府資料開放亦持續新增更細緻的傷亡事故資料集。</w:t>
      </w:r>
      <w:hyperlink r:id="rId51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5) </w:t>
      </w:r>
      <w:r>
        <w:rPr>
          <w:rFonts w:hint="eastAsia"/>
        </w:rPr>
        <w:t xml:space="preserve">交通部公路局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r>
        <w:rPr>
          <w:rFonts w:hint="eastAsia"/>
        </w:rPr>
        <w:t xml:space="preserve">監理/鑑定申請表與窗口資訊：可用於「鑑定申請資料包」自動填寫、費用提醒（規費3000元）與轄區窗口導引，但多以文件形式提供，未必有公開API，整合方式以「表單下載</w:t>
      </w:r>
      <w:r>
        <w:t xml:space="preserve"> + </w:t>
      </w:r>
      <w:r>
        <w:rPr>
          <w:rFonts w:hint="eastAsia"/>
        </w:rPr>
        <w:t xml:space="preserve">欄位引導</w:t>
      </w:r>
      <w:r>
        <w:t xml:space="preserve"> + </w:t>
      </w:r>
      <w:r>
        <w:rPr>
          <w:rFonts w:hint="eastAsia"/>
        </w:rPr>
        <w:t xml:space="preserve">聯絡資訊提示」為主。</w:t>
      </w:r>
      <w:hyperlink r:id="rId2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6) </w:t>
      </w:r>
      <w:r>
        <w:rPr>
          <w:rFonts w:hint="eastAsia"/>
        </w:rPr>
        <w:t xml:space="preserve">財團法人汽車交通事故特別補償基金</w:t>
      </w:r>
      <w:hyperlink r:id="rId21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：提供補償適用情形（肇事車無法查究、未保險、失竊等）與申請資訊，可在「肇逃/未保險」分流時自動導入。</w:t>
      </w:r>
      <w:hyperlink r:id="rId30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7) </w:t>
      </w:r>
      <w:r>
        <w:rPr>
          <w:rFonts w:hint="eastAsia"/>
        </w:rPr>
        <w:t xml:space="preserve">臺北市政府警察局交通警察大隊</w:t>
      </w:r>
      <w:hyperlink r:id="rId29">
        <w:r>
          <w:rPr>
            <w:rStyle w:val="Hyperlink"/>
          </w:rPr>
          <w:t xml:space="preserve">[51]</w:t>
        </w:r>
      </w:hyperlink>
      <w:r>
        <w:t xml:space="preserve"> </w:t>
      </w:r>
      <w:r>
        <w:rPr>
          <w:rFonts w:hint="eastAsia"/>
        </w:rPr>
        <w:t xml:space="preserve">等地方資料源：可補足「地方事故資料下載期限」等在地化規則與地方事故資料集，但需處理各地差異。</w:t>
      </w:r>
      <w:hyperlink r:id="rId47">
        <w:r>
          <w:rPr>
            <w:rStyle w:val="Hyperlink"/>
          </w:rPr>
          <w:t xml:space="preserve">[52]</w:t>
        </w:r>
      </w:hyperlink>
    </w:p>
    <w:bookmarkEnd w:id="52"/>
    <w:bookmarkEnd w:id="53"/>
    <w:bookmarkStart w:id="60" w:name="mvp-規格書與驗收標準"/>
    <w:p>
      <w:pPr>
        <w:pStyle w:val="Heading2"/>
      </w:pPr>
      <w:r>
        <w:t xml:space="preserve">MVP </w:t>
      </w:r>
      <w:r>
        <w:rPr>
          <w:rFonts w:hint="eastAsia"/>
        </w:rPr>
        <w:t xml:space="preserve">規格書與驗收標準</w:t>
      </w:r>
    </w:p>
    <w:bookmarkStart w:id="54" w:name="mvp核心場景"/>
    <w:p>
      <w:pPr>
        <w:pStyle w:val="Heading3"/>
      </w:pPr>
      <w:r>
        <w:rPr>
          <w:rFonts w:hint="eastAsia"/>
        </w:rPr>
        <w:t xml:space="preserve">MVP核心場景</w:t>
      </w:r>
    </w:p>
    <w:p>
      <w:pPr>
        <w:pStyle w:val="FirstParagraph"/>
      </w:pPr>
      <w:r>
        <w:rPr>
          <w:rFonts w:hint="eastAsia"/>
        </w:rPr>
        <w:t xml:space="preserve">MVP建議聚焦三個最能「用規則跑起來、且可快速驗證價值」的場景：</w:t>
      </w:r>
    </w:p>
    <w:p>
      <w:pPr>
        <w:pStyle w:val="BodyText"/>
      </w:pPr>
      <w:r>
        <w:rPr>
          <w:rFonts w:hint="eastAsia"/>
        </w:rPr>
        <w:t xml:space="preserve">場景一：事故發生後一小時內的「安全處置</w:t>
      </w:r>
      <w:r>
        <w:t xml:space="preserve"> + </w:t>
      </w:r>
      <w:r>
        <w:rPr>
          <w:rFonts w:hint="eastAsia"/>
        </w:rPr>
        <w:t xml:space="preserve">可移車判斷</w:t>
      </w:r>
      <w:r>
        <w:t xml:space="preserve"> + </w:t>
      </w:r>
      <w:r>
        <w:rPr>
          <w:rFonts w:hint="eastAsia"/>
        </w:rPr>
        <w:t xml:space="preserve">蒐證清單」</w:t>
      </w:r>
      <w:r>
        <w:br/>
      </w:r>
      <w:r>
        <w:rPr>
          <w:rFonts w:hint="eastAsia"/>
        </w:rPr>
        <w:t xml:space="preserve">此場景可直接以事故處理辦法第3、4條規則化落地，並以道交條例第62條提供明確風險提示。</w:t>
      </w:r>
      <w:hyperlink r:id="rId21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場景二：事故後7～30日的「警方資料申請導航」</w:t>
      </w:r>
      <w:r>
        <w:br/>
      </w:r>
      <w:r>
        <w:rPr>
          <w:rFonts w:hint="eastAsia"/>
        </w:rPr>
        <w:t xml:space="preserve">以事故處理辦法第13條與警政署FAQ/申請系統條件，做出可計算日期的提醒與一鍵申請導流。</w:t>
      </w:r>
      <w:hyperlink r:id="rId21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場景三：事故後30～180日的「文件包生成（理賠/調解/鑑定申請）」</w:t>
      </w:r>
      <w:r>
        <w:br/>
      </w:r>
      <w:r>
        <w:rPr>
          <w:rFonts w:hint="eastAsia"/>
        </w:rPr>
        <w:t xml:space="preserve">以鑑定受理「6個月」與覆議「30日一次為限」、強制險時效「2年/10年」做提醒；同時提供鑑定申請表填寫輔助與證據清單。</w:t>
      </w:r>
      <w:hyperlink r:id="rId37">
        <w:r>
          <w:rPr>
            <w:rStyle w:val="Hyperlink"/>
          </w:rPr>
          <w:t xml:space="preserve">[54]</w:t>
        </w:r>
      </w:hyperlink>
    </w:p>
    <w:bookmarkEnd w:id="54"/>
    <w:bookmarkStart w:id="55" w:name="mvp功能清單優先順序與估計工時"/>
    <w:p>
      <w:pPr>
        <w:pStyle w:val="Heading3"/>
      </w:pPr>
      <w:r>
        <w:rPr>
          <w:rFonts w:hint="eastAsia"/>
        </w:rPr>
        <w:t xml:space="preserve">MVP功能清單、優先順序與估計工時</w:t>
      </w:r>
    </w:p>
    <w:p>
      <w:pPr>
        <w:pStyle w:val="FirstParagraph"/>
      </w:pPr>
      <w:r>
        <w:rPr>
          <w:rFonts w:hint="eastAsia"/>
        </w:rPr>
        <w:t xml:space="preserve">以下工時以「1人日=8小時」估算，僅作規劃用，實際依團隊成熟度與既有基礎架構調整（假設無特定限制）。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估計工時（人日）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案件建立與安全分流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案件ID、事故資料最小表單、A1/A2/A3</w:t>
            </w:r>
            <w:r>
              <w:t xml:space="preserve"> + </w:t>
            </w:r>
            <w:r>
              <w:rPr>
                <w:rFonts w:hint="eastAsia"/>
              </w:rPr>
              <w:t xml:space="preserve">高風險旗標</w:t>
            </w:r>
          </w:p>
        </w:tc>
        <w:tc>
          <w:tcPr/>
          <w:p>
            <w:pPr>
              <w:pStyle w:val="Compact"/>
            </w:pPr>
            <w:r>
              <w:t xml:space="preserve">15–25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可移車判斷與警示距離指引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規則引擎節點</w:t>
            </w:r>
            <w:r>
              <w:t xml:space="preserve"> + </w:t>
            </w:r>
            <w:r>
              <w:rPr>
                <w:rFonts w:hint="eastAsia"/>
              </w:rPr>
              <w:t xml:space="preserve">可解釋輸出（引用條文）</w:t>
            </w:r>
          </w:p>
        </w:tc>
        <w:tc>
          <w:tcPr/>
          <w:p>
            <w:pPr>
              <w:pStyle w:val="Compact"/>
            </w:pPr>
            <w:r>
              <w:t xml:space="preserve">10–15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蒐證拍攝清單與證據上傳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檔案上傳、版本/雜湊、證據清單匯出</w:t>
            </w:r>
          </w:p>
        </w:tc>
        <w:tc>
          <w:tcPr/>
          <w:p>
            <w:pPr>
              <w:pStyle w:val="Compact"/>
            </w:pPr>
            <w:r>
              <w:t xml:space="preserve">20–35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7日/30日提醒與警方資料申請導流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排程提醒、深連結、條件檢核（需死傷且警方到場）</w:t>
            </w:r>
          </w:p>
        </w:tc>
        <w:tc>
          <w:tcPr/>
          <w:p>
            <w:pPr>
              <w:pStyle w:val="Compact"/>
            </w:pPr>
            <w:r>
              <w:t xml:space="preserve">15–25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文件生成最小集合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報案摘要、證據清單、事故時間線（可下載PDF/Docx）</w:t>
            </w:r>
          </w:p>
        </w:tc>
        <w:tc>
          <w:tcPr/>
          <w:p>
            <w:pPr>
              <w:pStyle w:val="Compact"/>
            </w:pPr>
            <w:r>
              <w:t xml:space="preserve">20–30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合規與資安底座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告知同意、敏感資料處理、權限、加密、稽核日誌</w:t>
            </w:r>
          </w:p>
        </w:tc>
        <w:tc>
          <w:tcPr/>
          <w:p>
            <w:pPr>
              <w:pStyle w:val="Compact"/>
            </w:pPr>
            <w:r>
              <w:t xml:space="preserve">25–45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鑑定申請資料包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6個月受理檢核、表格填寫輔助、規費提醒</w:t>
            </w:r>
          </w:p>
        </w:tc>
        <w:tc>
          <w:tcPr/>
          <w:p>
            <w:pPr>
              <w:pStyle w:val="Compact"/>
            </w:pPr>
            <w:r>
              <w:t xml:space="preserve">15–25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覆議/時效提醒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30日覆議、2年/10年時效提醒與事件追蹤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律師/車隊工作台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多人協作、角色權限、案件批次匯出</w:t>
            </w:r>
          </w:p>
        </w:tc>
        <w:tc>
          <w:tcPr/>
          <w:p>
            <w:pPr>
              <w:pStyle w:val="Compact"/>
            </w:pPr>
            <w:r>
              <w:t xml:space="preserve">30–60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證據分析（影像/事故重建輔助）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影像標註、關鍵影格整理（不下判責）</w:t>
            </w:r>
          </w:p>
        </w:tc>
        <w:tc>
          <w:tcPr/>
          <w:p>
            <w:pPr>
              <w:pStyle w:val="Compact"/>
            </w:pPr>
            <w:r>
              <w:t xml:space="preserve">45–90</w:t>
            </w:r>
          </w:p>
        </w:tc>
      </w:tr>
    </w:tbl>
    <w:bookmarkEnd w:id="55"/>
    <w:bookmarkStart w:id="56" w:name="uiux流程mvp文字版"/>
    <w:p>
      <w:pPr>
        <w:pStyle w:val="Heading3"/>
      </w:pPr>
      <w:r>
        <w:rPr>
          <w:rFonts w:hint="eastAsia"/>
        </w:rPr>
        <w:t xml:space="preserve">UI/UX流程（MVP文字版）</w:t>
      </w:r>
    </w:p>
    <w:p>
      <w:pPr>
        <w:pStyle w:val="FirstParagraph"/>
      </w:pPr>
      <w:r>
        <w:rPr>
          <w:rFonts w:hint="eastAsia"/>
        </w:rPr>
        <w:t xml:space="preserve">MVP建議採「任務導向」而非純聊天：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入口：三個大按鈕「我剛發生事故」「我要申請警方資料」「我要整理理賠/調解資料」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「我剛發生事故」：先做安全分流（是否傷亡/是否在國道/是否起火）→</w:t>
      </w:r>
      <w:r>
        <w:t xml:space="preserve"> </w:t>
      </w:r>
      <w:r>
        <w:rPr>
          <w:rFonts w:hint="eastAsia"/>
        </w:rPr>
        <w:t xml:space="preserve">警示距離指引</w:t>
      </w:r>
      <w:r>
        <w:t xml:space="preserve"> → </w:t>
      </w:r>
      <w:r>
        <w:rPr>
          <w:rFonts w:hint="eastAsia"/>
        </w:rPr>
        <w:t xml:space="preserve">是否可移車判斷</w:t>
      </w:r>
      <w:r>
        <w:t xml:space="preserve"> → </w:t>
      </w:r>
      <w:r>
        <w:rPr>
          <w:rFonts w:hint="eastAsia"/>
        </w:rPr>
        <w:t xml:space="preserve">蒐證清單逐步打勾</w:t>
      </w:r>
      <w:r>
        <w:t xml:space="preserve"> → </w:t>
      </w:r>
      <w:r>
        <w:rPr>
          <w:rFonts w:hint="eastAsia"/>
        </w:rPr>
        <w:t xml:space="preserve">生成「事故摘要（可複製）」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「我要申請警方資料」：輸入事故日期→顯示「現可申請項目」與倒數提醒（7/30日）→</w:t>
      </w:r>
      <w:r>
        <w:t xml:space="preserve"> </w:t>
      </w:r>
      <w:r>
        <w:rPr>
          <w:rFonts w:hint="eastAsia"/>
        </w:rPr>
        <w:t xml:space="preserve">若符合線上申請條件（需死傷且警方到場）則導流線上申請平台，否則提示向原處理單位洽詢。</w:t>
      </w:r>
      <w:hyperlink r:id="rId21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「我要整理理賠/調解資料」：上傳證據→系統產出證據清單與損害項目表→產出調解陳述書/和解條款清單初稿（需人工審閱入口）。</w:t>
      </w:r>
      <w:hyperlink r:id="rId23">
        <w:r>
          <w:rPr>
            <w:rStyle w:val="Hyperlink"/>
          </w:rPr>
          <w:t xml:space="preserve">[15]</w:t>
        </w:r>
      </w:hyperlink>
    </w:p>
    <w:bookmarkEnd w:id="56"/>
    <w:bookmarkStart w:id="57" w:name="mvp資料欄位設計"/>
    <w:p>
      <w:pPr>
        <w:pStyle w:val="Heading3"/>
      </w:pPr>
      <w:r>
        <w:rPr>
          <w:rFonts w:hint="eastAsia"/>
        </w:rPr>
        <w:t xml:space="preserve">MVP資料欄位設計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欄位（示例）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備註/合規要點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案件基本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案件ID、建立時間、事故日期時間、地點（文字+座標）、道路型態（國道/快速/一般/不明）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座標屬可識別行為軌跡，需用途限定與保存期限。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人員狀況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傷亡分類（A1/A2/A3）、受傷描述、送醫資訊（可選填）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醫療/健康資料屬個資法第6條範圍，需強化同意與安全措施。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車輛/當事人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車種、車號、是否車主本人、聯絡方式、保險資訊（可選填）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他人個資預設遮蔽，僅在維護法律利益必要時收集。</w:t>
            </w:r>
            <w:hyperlink r:id="rId38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現場蒐證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照片/影片/行車紀錄器、目擊者聯絡、監視器位置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需版本控管與不可逆雜湊；支持匯出證據清單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受理單位、登記聯單號（如有）、可申請日期（自動算）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依事故處理辦法第13條計算7/30日節點。</w:t>
            </w:r>
            <w:hyperlink r:id="rId2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是否已報案、是否已申請現場圖/初判表、是否申請鑑定/覆議、是否調解中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用於狀態機與提醒</w:t>
            </w:r>
          </w:p>
        </w:tc>
      </w:tr>
    </w:tbl>
    <w:bookmarkEnd w:id="57"/>
    <w:bookmarkStart w:id="58" w:name="內部api與資料保護要求"/>
    <w:p>
      <w:pPr>
        <w:pStyle w:val="Heading3"/>
      </w:pPr>
      <w:r>
        <w:rPr>
          <w:rFonts w:hint="eastAsia"/>
        </w:rPr>
        <w:t xml:space="preserve">內部API與資料保護要求</w:t>
      </w:r>
    </w:p>
    <w:p>
      <w:pPr>
        <w:pStyle w:val="FirstParagraph"/>
      </w:pPr>
      <w:r>
        <w:rPr>
          <w:rFonts w:hint="eastAsia"/>
        </w:rPr>
        <w:t xml:space="preserve">MVP至少需提供以下內部API（可供App/Web/企業後台共用），並符合個資法安全維護與侵害通知要求（非公務機關需採適當安全措施；若個資被竊取或洩漏等，需通知當事人，且依版本可能要求通報與紀錄保存）。</w:t>
      </w:r>
      <w:hyperlink r:id="rId29">
        <w:r>
          <w:rPr>
            <w:rStyle w:val="Hyperlink"/>
          </w:rPr>
          <w:t xml:space="preserve">[56]</w:t>
        </w:r>
      </w:hyperlink>
    </w:p>
    <w:p>
      <w:pPr>
        <w:pStyle w:val="Compact"/>
        <w:numPr>
          <w:ilvl w:val="0"/>
          <w:numId w:val="1004"/>
        </w:numPr>
      </w:pPr>
      <w:r>
        <w:t xml:space="preserve">Case </w:t>
      </w:r>
      <w:r>
        <w:rPr>
          <w:rFonts w:hint="eastAsia"/>
        </w:rPr>
        <w:t xml:space="preserve">API：CreateCase</w:t>
      </w:r>
      <w:r>
        <w:t xml:space="preserve"> / UpdateCase / GetCase / CloseCase</w:t>
      </w:r>
    </w:p>
    <w:p>
      <w:pPr>
        <w:pStyle w:val="Compact"/>
        <w:numPr>
          <w:ilvl w:val="0"/>
          <w:numId w:val="1004"/>
        </w:numPr>
      </w:pPr>
      <w:r>
        <w:t xml:space="preserve">Evidence </w:t>
      </w:r>
      <w:r>
        <w:rPr>
          <w:rFonts w:hint="eastAsia"/>
        </w:rPr>
        <w:t xml:space="preserve">API：UploadEvidence（回傳hash、版本ID）/</w:t>
      </w:r>
      <w:r>
        <w:t xml:space="preserve"> ListEvidence / ExportEvidenceManifest</w:t>
      </w:r>
    </w:p>
    <w:p>
      <w:pPr>
        <w:pStyle w:val="Compact"/>
        <w:numPr>
          <w:ilvl w:val="0"/>
          <w:numId w:val="1004"/>
        </w:numPr>
      </w:pPr>
      <w:r>
        <w:t xml:space="preserve">Rules </w:t>
      </w:r>
      <w:r>
        <w:rPr>
          <w:rFonts w:hint="eastAsia"/>
        </w:rPr>
        <w:t xml:space="preserve">API：EvaluateSceneSafety</w:t>
      </w:r>
      <w:r>
        <w:t xml:space="preserve"> / EvaluateMoveVehicle / </w:t>
      </w:r>
      <w:r>
        <w:rPr>
          <w:rFonts w:hint="eastAsia"/>
        </w:rPr>
        <w:t xml:space="preserve">EvaluateEligibility（警方資料、鑑定受理）</w:t>
      </w:r>
    </w:p>
    <w:p>
      <w:pPr>
        <w:pStyle w:val="Compact"/>
        <w:numPr>
          <w:ilvl w:val="0"/>
          <w:numId w:val="1004"/>
        </w:numPr>
      </w:pPr>
      <w:r>
        <w:t xml:space="preserve">Document </w:t>
      </w:r>
      <w:r>
        <w:rPr>
          <w:rFonts w:hint="eastAsia"/>
        </w:rPr>
        <w:t xml:space="preserve">API：GenerateAccidentSummary</w:t>
      </w:r>
      <w:r>
        <w:t xml:space="preserve"> / GenerateEvidenceChecklist / GenerateMediationStatementDraft</w:t>
      </w:r>
    </w:p>
    <w:p>
      <w:pPr>
        <w:pStyle w:val="Compact"/>
        <w:numPr>
          <w:ilvl w:val="0"/>
          <w:numId w:val="1004"/>
        </w:numPr>
      </w:pPr>
      <w:r>
        <w:t xml:space="preserve">Reminder </w:t>
      </w:r>
      <w:r>
        <w:rPr>
          <w:rFonts w:hint="eastAsia"/>
        </w:rPr>
        <w:t xml:space="preserve">API：ScheduleReminder</w:t>
      </w:r>
      <w:r>
        <w:t xml:space="preserve"> / ListReminders / Acknowledge</w:t>
      </w:r>
    </w:p>
    <w:p>
      <w:pPr>
        <w:pStyle w:val="FirstParagraph"/>
      </w:pPr>
      <w:r>
        <w:rPr>
          <w:rFonts w:hint="eastAsia"/>
        </w:rPr>
        <w:t xml:space="preserve">安全要求（MVP底線）：傳輸加密、靜態加密、權限控管、稽核日誌、保存期限與刪除機制、敏感資料（醫療/病歷等）需更嚴格控管與明確同意/法定義務依據。</w:t>
      </w:r>
      <w:hyperlink r:id="rId29">
        <w:r>
          <w:rPr>
            <w:rStyle w:val="Hyperlink"/>
          </w:rPr>
          <w:t xml:space="preserve">[57]</w:t>
        </w:r>
      </w:hyperlink>
    </w:p>
    <w:bookmarkEnd w:id="58"/>
    <w:bookmarkStart w:id="59" w:name="三階段里程碑與成本估算"/>
    <w:p>
      <w:pPr>
        <w:pStyle w:val="Heading3"/>
      </w:pPr>
      <w:r>
        <w:rPr>
          <w:rFonts w:hint="eastAsia"/>
        </w:rPr>
        <w:t xml:space="preserve">三階段里程碑與成本估算</w:t>
      </w:r>
    </w:p>
    <w:p>
      <w:pPr>
        <w:pStyle w:val="FirstParagraph"/>
      </w:pPr>
      <w:r>
        <w:rPr>
          <w:rFonts w:hint="eastAsia"/>
        </w:rPr>
        <w:t xml:space="preserve">以下以小型跨職能團隊估算（PM</w:t>
      </w:r>
      <w:r>
        <w:t xml:space="preserve"> 1、UX </w:t>
      </w:r>
      <w:r>
        <w:rPr>
          <w:rFonts w:hint="eastAsia"/>
        </w:rPr>
        <w:t xml:space="preserve">1、後端</w:t>
      </w:r>
      <w:r>
        <w:t xml:space="preserve"> </w:t>
      </w:r>
      <w:r>
        <w:rPr>
          <w:rFonts w:hint="eastAsia"/>
        </w:rPr>
        <w:t xml:space="preserve">2、前端/行動</w:t>
      </w:r>
      <w:r>
        <w:t xml:space="preserve"> 2、QA </w:t>
      </w:r>
      <w:r>
        <w:rPr>
          <w:rFonts w:hint="eastAsia"/>
        </w:rPr>
        <w:t xml:space="preserve">1、法規/合規</w:t>
      </w:r>
      <w:r>
        <w:t xml:space="preserve"> </w:t>
      </w:r>
      <w:r>
        <w:rPr>
          <w:rFonts w:hint="eastAsia"/>
        </w:rPr>
        <w:t xml:space="preserve">0.5、ML工程</w:t>
      </w:r>
      <w:r>
        <w:t xml:space="preserve"> </w:t>
      </w:r>
      <w:r>
        <w:rPr>
          <w:rFonts w:hint="eastAsia"/>
        </w:rPr>
        <w:t xml:space="preserve">1；人力可兼任）。成本以台灣市場常見「每人月含薪資與公司成本」約25–40萬台幣粗估（未指定限制下採區間）。此為規劃用估算，需依實際招募/外包調整。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時程（週）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人力（FTE）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成本粗估（NTD）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法規+流程（Phase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把事故當下與7/30節點跑起來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規則引擎V1、案件狀態機V1、證據上傳+版本、警方資料提醒與導流、最小文件生成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1,200萬–2,500萬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文件生成（Phase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形成「案件資料包」與B2B工作台雛形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文書模板庫（報案摘要、調解陳述等）、欄位校驗、匯出、角色權限、稽核日誌強化</w:t>
            </w:r>
          </w:p>
        </w:tc>
        <w:tc>
          <w:tcPr/>
          <w:p>
            <w:pPr>
              <w:pStyle w:val="Compact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1,000萬–2,200萬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證據分析/專業版（Phase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提升專業體驗但不下判責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影像/文件關鍵資訊抽取、可視化時間線、企業整合、人工協作流程（律師/理賠）</w:t>
            </w:r>
          </w:p>
        </w:tc>
        <w:tc>
          <w:tcPr/>
          <w:p>
            <w:pPr>
              <w:pStyle w:val="Compact"/>
            </w:pPr>
            <w:r>
              <w:t xml:space="preserve">10–16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1,800萬–3,800萬</w:t>
            </w:r>
          </w:p>
        </w:tc>
      </w:tr>
    </w:tbl>
    <w:bookmarkEnd w:id="59"/>
    <w:bookmarkEnd w:id="60"/>
    <w:bookmarkStart w:id="65" w:name="系統架構與工程設計"/>
    <w:p>
      <w:pPr>
        <w:pStyle w:val="Heading2"/>
      </w:pPr>
      <w:r>
        <w:rPr>
          <w:rFonts w:hint="eastAsia"/>
        </w:rPr>
        <w:t xml:space="preserve">系統架構與工程設計</w:t>
      </w:r>
    </w:p>
    <w:bookmarkStart w:id="61" w:name="架構原則"/>
    <w:p>
      <w:pPr>
        <w:pStyle w:val="Heading3"/>
      </w:pPr>
      <w:r>
        <w:rPr>
          <w:rFonts w:hint="eastAsia"/>
        </w:rPr>
        <w:t xml:space="preserve">架構原則</w:t>
      </w:r>
    </w:p>
    <w:p>
      <w:pPr>
        <w:pStyle w:val="FirstParagraph"/>
      </w:pPr>
      <w:r>
        <w:t xml:space="preserve">1) </w:t>
      </w:r>
      <w:r>
        <w:rPr>
          <w:rFonts w:hint="eastAsia"/>
        </w:rPr>
        <w:t xml:space="preserve">規則引擎負責「可證明、可重現」的判斷（是否可移車、何時可申請資料、鑑定是否受理、覆議/時效節點）。其輸出必須可解釋並附法條來源，例如事故處理辦法第3、4、13條與道交條例第62條、鑑定覆議作業辦法第3、10條等。</w:t>
      </w:r>
      <w:hyperlink r:id="rId21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2) </w:t>
      </w:r>
      <w:r>
        <w:rPr>
          <w:rFonts w:hint="eastAsia"/>
        </w:rPr>
        <w:t xml:space="preserve">RAG知識庫負責「可引用的官方文本」：以全國法規資料庫文本與Open</w:t>
      </w:r>
      <w:r>
        <w:t xml:space="preserve"> </w:t>
      </w:r>
      <w:r>
        <w:rPr>
          <w:rFonts w:hint="eastAsia"/>
        </w:rPr>
        <w:t xml:space="preserve">API同步作為主來源，並存每次更新版本。</w:t>
      </w:r>
      <w:hyperlink r:id="rId49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t xml:space="preserve">3) </w:t>
      </w:r>
      <w:r>
        <w:rPr>
          <w:rFonts w:hint="eastAsia"/>
        </w:rPr>
        <w:t xml:space="preserve">LLM用途限定在「整理、提問補缺、生成文件初稿、把規則結果翻成易懂語言」，不得輸出最終法律意見或確定判責。此限制在高風險場景必須更嚴格（傷亡、肇逃、酒駕等）。</w:t>
      </w:r>
      <w:hyperlink r:id="rId33">
        <w:r>
          <w:rPr>
            <w:rStyle w:val="Hyperlink"/>
          </w:rPr>
          <w:t xml:space="preserve">[19]</w:t>
        </w:r>
      </w:hyperlink>
    </w:p>
    <w:bookmarkEnd w:id="61"/>
    <w:bookmarkStart w:id="62" w:name="mermaid架構圖"/>
    <w:p>
      <w:pPr>
        <w:pStyle w:val="Heading3"/>
      </w:pPr>
      <w:r>
        <w:rPr>
          <w:rFonts w:hint="eastAsia"/>
        </w:rPr>
        <w:t xml:space="preserve">Mermaid架構圖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Client["用戶端（App/Web/LINE）"]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UI1["事故當下模式"]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UI2["事故後管理（提醒/申請/文件）"]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UI3["企業/律師工作台（選配）"]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Core["核心服務"]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CaseSvc["案件服務（Case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StateMachine["案件狀態機"]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RuleEngine["規則引擎（可重現判斷）"]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DocGen["文件生成器（模板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LLM）"]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EvidenceSvc["證據服務（上傳/版本/雜湊）"]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ReminderSvc["提醒與排程服務"]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Audit["稽核日誌與可解釋性（Why/Which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Rule）"]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Knowledge["知識與法規層"]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RAG["RAG知識庫（法規/官方Q&amp;A/流程）"]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LawSync["法規同步器（版本化）"]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RuleKB["規則庫（條文→規則）"]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External["外部官方資源（整合/深連結）"]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LawAPI["全國法規資料庫</w:t>
      </w:r>
      <w:r>
        <w:rPr>
          <w:rStyle w:val="VerbatimChar"/>
        </w:rPr>
        <w:t xml:space="preserve"> Open API"]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NPAApply["警政署事故資料申請系統（深連結）"]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DataGov["政府資料開放平臺（事故資料/詮釋資料）"]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MVDisForm["監理/鑑定申請表與窗口資訊"]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Security["資安與合規"]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IAM["權限/角色/IAM"]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Encrypt["加密（傳輸/靜態）"]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Privacy["告知同意/最小化/保存與刪除"]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IR["資安事件應變與通知流程"]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Client --&gt; CaseSvc</w:t>
      </w:r>
      <w:r>
        <w:br/>
      </w:r>
      <w:r>
        <w:rPr>
          <w:rStyle w:val="VerbatimChar"/>
        </w:rPr>
        <w:t xml:space="preserve">  Client --&gt; EvidenceSvc</w:t>
      </w:r>
      <w:r>
        <w:br/>
      </w:r>
      <w:r>
        <w:rPr>
          <w:rStyle w:val="VerbatimChar"/>
        </w:rPr>
        <w:t xml:space="preserve">  Client --&gt; DocGen</w:t>
      </w:r>
      <w:r>
        <w:br/>
      </w:r>
      <w:r>
        <w:br/>
      </w:r>
      <w:r>
        <w:rPr>
          <w:rStyle w:val="VerbatimChar"/>
        </w:rPr>
        <w:t xml:space="preserve">  CaseSvc --&gt; StateMachine</w:t>
      </w:r>
      <w:r>
        <w:br/>
      </w:r>
      <w:r>
        <w:rPr>
          <w:rStyle w:val="VerbatimChar"/>
        </w:rPr>
        <w:t xml:space="preserve">  StateMachine --&gt; RuleEngine</w:t>
      </w:r>
      <w:r>
        <w:br/>
      </w:r>
      <w:r>
        <w:rPr>
          <w:rStyle w:val="VerbatimChar"/>
        </w:rPr>
        <w:t xml:space="preserve">  RuleEngine --&gt; RuleKB</w:t>
      </w:r>
      <w:r>
        <w:br/>
      </w:r>
      <w:r>
        <w:rPr>
          <w:rStyle w:val="VerbatimChar"/>
        </w:rPr>
        <w:t xml:space="preserve">  RuleEngine --&gt; Audit</w:t>
      </w:r>
      <w:r>
        <w:br/>
      </w:r>
      <w:r>
        <w:br/>
      </w:r>
      <w:r>
        <w:rPr>
          <w:rStyle w:val="VerbatimChar"/>
        </w:rPr>
        <w:t xml:space="preserve">  EvidenceSvc --&gt; Audit</w:t>
      </w:r>
      <w:r>
        <w:br/>
      </w:r>
      <w:r>
        <w:rPr>
          <w:rStyle w:val="VerbatimChar"/>
        </w:rPr>
        <w:t xml:space="preserve">  DocGen --&gt; RAG</w:t>
      </w:r>
      <w:r>
        <w:br/>
      </w:r>
      <w:r>
        <w:rPr>
          <w:rStyle w:val="VerbatimChar"/>
        </w:rPr>
        <w:t xml:space="preserve">  DocGen --&gt; Audit</w:t>
      </w:r>
      <w:r>
        <w:br/>
      </w:r>
      <w:r>
        <w:rPr>
          <w:rStyle w:val="VerbatimChar"/>
        </w:rPr>
        <w:t xml:space="preserve">  ReminderSvc --&gt; StateMachine</w:t>
      </w:r>
      <w:r>
        <w:br/>
      </w:r>
      <w:r>
        <w:br/>
      </w:r>
      <w:r>
        <w:rPr>
          <w:rStyle w:val="VerbatimChar"/>
        </w:rPr>
        <w:t xml:space="preserve">  LawSync --&gt; LawAPI</w:t>
      </w:r>
      <w:r>
        <w:br/>
      </w:r>
      <w:r>
        <w:rPr>
          <w:rStyle w:val="VerbatimChar"/>
        </w:rPr>
        <w:t xml:space="preserve">  LawSync --&gt; RAG</w:t>
      </w:r>
      <w:r>
        <w:br/>
      </w:r>
      <w:r>
        <w:rPr>
          <w:rStyle w:val="VerbatimChar"/>
        </w:rPr>
        <w:t xml:space="preserve">  LawSync --&gt; RuleKB</w:t>
      </w:r>
      <w:r>
        <w:br/>
      </w:r>
      <w:r>
        <w:br/>
      </w:r>
      <w:r>
        <w:rPr>
          <w:rStyle w:val="VerbatimChar"/>
        </w:rPr>
        <w:t xml:space="preserve">  Client -.-&gt; NPAApply</w:t>
      </w:r>
      <w:r>
        <w:br/>
      </w:r>
      <w:r>
        <w:rPr>
          <w:rStyle w:val="VerbatimChar"/>
        </w:rPr>
        <w:t xml:space="preserve">  Client -.-&gt; DataGov</w:t>
      </w:r>
      <w:r>
        <w:br/>
      </w:r>
      <w:r>
        <w:rPr>
          <w:rStyle w:val="VerbatimChar"/>
        </w:rPr>
        <w:t xml:space="preserve">  Client -.-&gt; MVDisForm</w:t>
      </w:r>
      <w:r>
        <w:br/>
      </w:r>
      <w:r>
        <w:br/>
      </w:r>
      <w:r>
        <w:rPr>
          <w:rStyle w:val="VerbatimChar"/>
        </w:rPr>
        <w:t xml:space="preserve">  Core --&gt; IAM</w:t>
      </w:r>
      <w:r>
        <w:br/>
      </w:r>
      <w:r>
        <w:rPr>
          <w:rStyle w:val="VerbatimChar"/>
        </w:rPr>
        <w:t xml:space="preserve">  Core --&gt; Encrypt</w:t>
      </w:r>
      <w:r>
        <w:br/>
      </w:r>
      <w:r>
        <w:rPr>
          <w:rStyle w:val="VerbatimChar"/>
        </w:rPr>
        <w:t xml:space="preserve">  Core --&gt; Privacy</w:t>
      </w:r>
      <w:r>
        <w:br/>
      </w:r>
      <w:r>
        <w:rPr>
          <w:rStyle w:val="VerbatimChar"/>
        </w:rPr>
        <w:t xml:space="preserve">  Core --&gt; IR</w:t>
      </w:r>
    </w:p>
    <w:bookmarkEnd w:id="62"/>
    <w:bookmarkStart w:id="63" w:name="案件狀態機建議"/>
    <w:p>
      <w:pPr>
        <w:pStyle w:val="Heading3"/>
      </w:pPr>
      <w:r>
        <w:rPr>
          <w:rFonts w:hint="eastAsia"/>
        </w:rPr>
        <w:t xml:space="preserve">案件狀態機建議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OnScene : </w:t>
      </w:r>
      <w:r>
        <w:rPr>
          <w:rStyle w:val="VerbatimChar"/>
          <w:rFonts w:hint="eastAsia"/>
        </w:rPr>
        <w:t xml:space="preserve">啟動事故當下模式</w:t>
      </w:r>
      <w:r>
        <w:br/>
      </w:r>
      <w:r>
        <w:rPr>
          <w:rStyle w:val="VerbatimChar"/>
        </w:rPr>
        <w:t xml:space="preserve">  OnScene --&gt; SafeStabilized : </w:t>
      </w:r>
      <w:r>
        <w:rPr>
          <w:rStyle w:val="VerbatimChar"/>
          <w:rFonts w:hint="eastAsia"/>
        </w:rPr>
        <w:t xml:space="preserve">完成警示/救護/移車判斷</w:t>
      </w:r>
      <w:r>
        <w:br/>
      </w:r>
      <w:r>
        <w:rPr>
          <w:rStyle w:val="VerbatimChar"/>
        </w:rPr>
        <w:t xml:space="preserve">  SafeStabilized --&gt; PoliceHandled : </w:t>
      </w:r>
      <w:r>
        <w:rPr>
          <w:rStyle w:val="VerbatimChar"/>
          <w:rFonts w:hint="eastAsia"/>
        </w:rPr>
        <w:t xml:space="preserve">已報警/警方到場(可選)</w:t>
      </w:r>
      <w:r>
        <w:br/>
      </w:r>
      <w:r>
        <w:rPr>
          <w:rStyle w:val="VerbatimChar"/>
        </w:rPr>
        <w:t xml:space="preserve">  SafeStabilized --&gt; SelfSettlement : </w:t>
      </w:r>
      <w:r>
        <w:rPr>
          <w:rStyle w:val="VerbatimChar"/>
          <w:rFonts w:hint="eastAsia"/>
        </w:rPr>
        <w:t xml:space="preserve">A3且當場和解(可選)</w:t>
      </w:r>
      <w:r>
        <w:br/>
      </w:r>
      <w:r>
        <w:rPr>
          <w:rStyle w:val="VerbatimChar"/>
        </w:rPr>
        <w:t xml:space="preserve">  PoliceHandled --&gt; Waiting7Days</w:t>
      </w:r>
      <w:r>
        <w:br/>
      </w:r>
      <w:r>
        <w:rPr>
          <w:rStyle w:val="VerbatimChar"/>
        </w:rPr>
        <w:t xml:space="preserve">  Waiting7Days --&gt; CanRequestScene : </w:t>
      </w:r>
      <w:r>
        <w:rPr>
          <w:rStyle w:val="VerbatimChar"/>
          <w:rFonts w:hint="eastAsia"/>
        </w:rPr>
        <w:t xml:space="preserve">+7日</w:t>
      </w:r>
      <w:r>
        <w:br/>
      </w:r>
      <w:r>
        <w:rPr>
          <w:rStyle w:val="VerbatimChar"/>
        </w:rPr>
        <w:t xml:space="preserve">  CanRequestScene --&gt; Waiting30Days</w:t>
      </w:r>
      <w:r>
        <w:br/>
      </w:r>
      <w:r>
        <w:rPr>
          <w:rStyle w:val="VerbatimChar"/>
        </w:rPr>
        <w:t xml:space="preserve">  Waiting30Days --&gt; CanRequestPrelim : </w:t>
      </w:r>
      <w:r>
        <w:rPr>
          <w:rStyle w:val="VerbatimChar"/>
          <w:rFonts w:hint="eastAsia"/>
        </w:rPr>
        <w:t xml:space="preserve">+30日</w:t>
      </w:r>
      <w:r>
        <w:br/>
      </w:r>
      <w:r>
        <w:rPr>
          <w:rStyle w:val="VerbatimChar"/>
        </w:rPr>
        <w:t xml:space="preserve">  CanRequestPrelim --&gt; EvaluationWindow : </w:t>
      </w:r>
      <w:r>
        <w:rPr>
          <w:rStyle w:val="VerbatimChar"/>
          <w:rFonts w:hint="eastAsia"/>
        </w:rPr>
        <w:t xml:space="preserve">可申請鑑定（&lt;=6個月且符合受理）</w:t>
      </w:r>
      <w:r>
        <w:br/>
      </w:r>
      <w:r>
        <w:rPr>
          <w:rStyle w:val="VerbatimChar"/>
        </w:rPr>
        <w:t xml:space="preserve">  EvaluationWindow --&gt; EvaluationIssued : </w:t>
      </w:r>
      <w:r>
        <w:rPr>
          <w:rStyle w:val="VerbatimChar"/>
          <w:rFonts w:hint="eastAsia"/>
        </w:rPr>
        <w:t xml:space="preserve">鑑定意見書送達</w:t>
      </w:r>
      <w:r>
        <w:br/>
      </w:r>
      <w:r>
        <w:rPr>
          <w:rStyle w:val="VerbatimChar"/>
        </w:rPr>
        <w:t xml:space="preserve">  EvaluationIssued --&gt; ReconsiderWindow : </w:t>
      </w:r>
      <w:r>
        <w:rPr>
          <w:rStyle w:val="VerbatimChar"/>
          <w:rFonts w:hint="eastAsia"/>
        </w:rPr>
        <w:t xml:space="preserve">+30日可覆議（一次）</w:t>
      </w:r>
      <w:r>
        <w:br/>
      </w:r>
      <w:r>
        <w:rPr>
          <w:rStyle w:val="VerbatimChar"/>
        </w:rPr>
        <w:t xml:space="preserve">  ReconsiderWindow --&gt; Closed</w:t>
      </w:r>
      <w:r>
        <w:br/>
      </w:r>
      <w:r>
        <w:rPr>
          <w:rStyle w:val="VerbatimChar"/>
        </w:rPr>
        <w:t xml:space="preserve">  SelfSettlement --&gt; Closed</w:t>
      </w:r>
    </w:p>
    <w:bookmarkEnd w:id="63"/>
    <w:bookmarkStart w:id="64" w:name="證據上傳與版本控管設計要點"/>
    <w:p>
      <w:pPr>
        <w:pStyle w:val="Heading3"/>
      </w:pPr>
      <w:r>
        <w:rPr>
          <w:rFonts w:hint="eastAsia"/>
        </w:rPr>
        <w:t xml:space="preserve">證據上傳與版本控管設計要點</w:t>
      </w:r>
    </w:p>
    <w:p>
      <w:pPr>
        <w:pStyle w:val="FirstParagraph"/>
      </w:pPr>
      <w:r>
        <w:rPr>
          <w:rFonts w:hint="eastAsia"/>
        </w:rPr>
        <w:t xml:space="preserve">證據服務應提供類似「取證鏈」的可追溯性，但不宣稱具司法鑑識效力：每個檔案保存原始檔（不可變更）、生成雜湊、記錄上傳者與時間、允許產出「證據清冊」供保險/調解/鑑定使用。警方亦可能就車上痕跡、行車資料紀錄設備等證據暫時扣留，期間不得超過3個月；系統可將此類狀態記為「證物在警方/鑑定機關」並提示領回節點。</w:t>
      </w:r>
      <w:hyperlink r:id="rId21">
        <w:r>
          <w:rPr>
            <w:rStyle w:val="Hyperlink"/>
          </w:rPr>
          <w:t xml:space="preserve">[59]</w:t>
        </w:r>
      </w:hyperlink>
    </w:p>
    <w:bookmarkEnd w:id="64"/>
    <w:bookmarkEnd w:id="65"/>
    <w:bookmarkStart w:id="71" w:name="合規風險與自動化時程"/>
    <w:p>
      <w:pPr>
        <w:pStyle w:val="Heading2"/>
      </w:pPr>
      <w:r>
        <w:rPr>
          <w:rFonts w:hint="eastAsia"/>
        </w:rPr>
        <w:t xml:space="preserve">合規風險與自動化時程</w:t>
      </w:r>
    </w:p>
    <w:bookmarkStart w:id="66" w:name="時程提醒與法定申請節點自動化規則"/>
    <w:p>
      <w:pPr>
        <w:pStyle w:val="Heading3"/>
      </w:pPr>
      <w:r>
        <w:rPr>
          <w:rFonts w:hint="eastAsia"/>
        </w:rPr>
        <w:t xml:space="preserve">時程提醒與法定申請節點自動化規則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節點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自動化提醒內容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法規/官方依據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事故現場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案件建立且「在事故現場」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可申請登記聯單提示；安全處置SOP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事故後7日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事故日期</w:t>
            </w:r>
            <w:r>
              <w:t xml:space="preserve"> + </w:t>
            </w: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提醒可申請現場圖/現場照片；若當事人無法當場製作調查紀錄，提醒7日內聯繫補製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事故後30日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事故日期</w:t>
            </w:r>
            <w:r>
              <w:t xml:space="preserve"> + </w:t>
            </w:r>
            <w:r>
              <w:rPr>
                <w:rFonts w:hint="eastAsia"/>
              </w:rPr>
              <w:t xml:space="preserve">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提醒可申請初步分析研判表；提示線上申請條件（需死傷且警方到場）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鑑定受理窗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事故日期</w:t>
            </w:r>
            <w:r>
              <w:t xml:space="preserve"> + </w:t>
            </w:r>
            <w:r>
              <w:rPr>
                <w:rFonts w:hint="eastAsia"/>
              </w:rPr>
              <w:t xml:space="preserve">1天起至</w:t>
            </w:r>
            <w:r>
              <w:t xml:space="preserve"> </w:t>
            </w:r>
            <w:r>
              <w:rPr>
                <w:rFonts w:hint="eastAsia"/>
              </w:rPr>
              <w:t xml:space="preserve">+6個月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倒數提醒「6個月期限」；檢核是否已進入偵查/審判與道路範圍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鑑定處理期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受理翌日起2個月（可延一次最多2個月）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提醒預期出具時間；若逾期可提示洽承辦單位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覆議期限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鑑定意見書收受翌日起30日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倒數提醒「30日內一次為限」並生成覆議理由整理模板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強制險/補償基金時效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知損害與保險人起算2年、事故起算10年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長期提醒（每90天）；提供「我已向保險人請求」狀態以計算不計入期間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bookmarkEnd w:id="66"/>
    <w:bookmarkStart w:id="67" w:name="文件與範本清單"/>
    <w:p>
      <w:pPr>
        <w:pStyle w:val="Heading3"/>
      </w:pPr>
      <w:r>
        <w:rPr>
          <w:rFonts w:hint="eastAsia"/>
        </w:rPr>
        <w:t xml:space="preserve">文件與範本清單</w:t>
      </w:r>
    </w:p>
    <w:p>
      <w:pPr>
        <w:pStyle w:val="FirstParagraph"/>
      </w:pPr>
      <w:r>
        <w:rPr>
          <w:rFonts w:hint="eastAsia"/>
        </w:rPr>
        <w:t xml:space="preserve">MVP建議先做「可高頻重用、格式固定、風險可控」的文件；所有文件都必須標示「由使用者輸入事實生成」與「需自行確認/必要時諮詢專業人士」。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範本名稱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系統輸出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現場檢查清單（Safety</w:t>
            </w:r>
            <w:r>
              <w:t xml:space="preserve"> &amp; </w:t>
            </w:r>
            <w:r>
              <w:rPr>
                <w:rFonts w:hint="eastAsia"/>
              </w:rPr>
              <w:t xml:space="preserve">Evidence）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道路型態、傷亡、車輛狀況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逐步清單</w:t>
            </w:r>
            <w:r>
              <w:t xml:space="preserve"> + </w:t>
            </w:r>
            <w:r>
              <w:rPr>
                <w:rFonts w:hint="eastAsia"/>
              </w:rPr>
              <w:t xml:space="preserve">影像拍攝指引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警方互動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報警敘述稿（可複製）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時地、人車、傷亡、現場概況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30秒版/90秒版報案稿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保險報案摘要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事故摘要、車損/人傷、證據清單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一頁式摘要（含附件索引）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證據清冊與版本表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檔案雜湊、來源、時間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可匯出PDF/CSV清冊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調解陳述書初稿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事故經過、爭點、損害項目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符合調解使用語氣的陳述草稿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和解條款檢核表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金額、期限、付款方式、撤告/保密等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條款風險提示</w:t>
            </w:r>
            <w:r>
              <w:t xml:space="preserve"> + </w:t>
            </w:r>
            <w:r>
              <w:rPr>
                <w:rFonts w:hint="eastAsia"/>
              </w:rPr>
              <w:t xml:space="preserve">建議補充條款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鑑定申請資料包封面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事故時間地點、警處理單位、當事人關係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應備文件清單</w:t>
            </w:r>
            <w:r>
              <w:t xml:space="preserve"> + </w:t>
            </w:r>
            <w:r>
              <w:rPr>
                <w:rFonts w:hint="eastAsia"/>
              </w:rPr>
              <w:t xml:space="preserve">填表提示（含6個月/3000元提醒）</w:t>
            </w:r>
            <w:hyperlink r:id="rId22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覆議理由整理模板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鑑定意見摘要、使用者異議點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條列式「事實/證據/爭點」草稿（不下結論）</w:t>
            </w:r>
            <w:hyperlink r:id="rId37">
              <w:r>
                <w:rPr>
                  <w:rStyle w:val="Hyperlink"/>
                </w:rPr>
                <w:t xml:space="preserve">[61]</w:t>
              </w:r>
            </w:hyperlink>
          </w:p>
        </w:tc>
      </w:tr>
    </w:tbl>
    <w:bookmarkEnd w:id="67"/>
    <w:bookmarkStart w:id="69" w:name="風險與合規建議"/>
    <w:p>
      <w:pPr>
        <w:pStyle w:val="Heading3"/>
      </w:pPr>
      <w:r>
        <w:rPr>
          <w:rFonts w:hint="eastAsia"/>
        </w:rPr>
        <w:t xml:space="preserve">風險與合規建議</w:t>
      </w:r>
    </w:p>
    <w:p>
      <w:pPr>
        <w:pStyle w:val="FirstParagraph"/>
      </w:pPr>
      <w:r>
        <w:rPr>
          <w:rFonts w:hint="eastAsia"/>
        </w:rPr>
        <w:t xml:space="preserve">系統必須內建「免責與邊界」：全國法規資料庫本身也明示其不提供法律諮詢，顯示官方對「法規資訊≠法律意見」的界線高度敏感；產品需用同樣思維設計與提示。</w:t>
      </w:r>
      <w:hyperlink r:id="rId26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1) </w:t>
      </w:r>
      <w:r>
        <w:rPr>
          <w:rFonts w:hint="eastAsia"/>
        </w:rPr>
        <w:t xml:space="preserve">不得提供最終法律意見或保證結果</w:t>
      </w:r>
      <w:r>
        <w:br/>
      </w:r>
      <w:r>
        <w:rPr>
          <w:rFonts w:hint="eastAsia"/>
        </w:rPr>
        <w:t xml:space="preserve">輸出應採「依你提供資訊，可能涉及的法規義務/期限/流程」與「仍需警方/鑑定/法院確認」的結構，避免「你一定贏/你一定沒責任」等結論性語句。道交條例與事故處理辦法對行為義務與罰則可直接引用，但責任比例與因果關係屬實務認定，不可由系統保證。</w:t>
      </w:r>
      <w:hyperlink r:id="rId33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2) </w:t>
      </w:r>
      <w:r>
        <w:rPr>
          <w:rFonts w:hint="eastAsia"/>
        </w:rPr>
        <w:t xml:space="preserve">高風險案件強制人工介入（Human-in-the-loop）</w:t>
      </w:r>
      <w:r>
        <w:br/>
      </w:r>
      <w:r>
        <w:rPr>
          <w:rFonts w:hint="eastAsia"/>
        </w:rPr>
        <w:t xml:space="preserve">至少包含：A1/A2傷亡、疑似肇逃、危險物品事故、已進入偵查/審判、未成年人/外籍人士、重大事故。事故處理辦法亦定義重大道路交通事故與通報機制，顯示其處理嚴重度不同。</w:t>
      </w:r>
      <w:hyperlink r:id="rId2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3) </w:t>
      </w:r>
      <w:r>
        <w:rPr>
          <w:rFonts w:hint="eastAsia"/>
        </w:rPr>
        <w:t xml:space="preserve">個資合規（特別是醫療/病歷）</w:t>
      </w:r>
      <w:r>
        <w:br/>
      </w:r>
      <w:r>
        <w:rPr>
          <w:rFonts w:hint="eastAsia"/>
        </w:rPr>
        <w:t xml:space="preserve">個資法第6條對病歷、醫療、健康檢查等資料設限制；系統若要處理診斷書、收據、傷勢照片，需設計「明確告知、同意與安全維護措施」，並在非公務機關情境下落實安全措施、防止洩漏（第27條）。</w:t>
      </w:r>
      <w:hyperlink r:id="rId29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4) </w:t>
      </w:r>
      <w:r>
        <w:rPr>
          <w:rFonts w:hint="eastAsia"/>
        </w:rPr>
        <w:t xml:space="preserve">資安事件應變與通知</w:t>
      </w:r>
      <w:r>
        <w:br/>
      </w:r>
      <w:r>
        <w:rPr>
          <w:rFonts w:hint="eastAsia"/>
        </w:rPr>
        <w:t xml:space="preserve">若發生個資被竊取、竄改、毀損、滅失或洩漏等情形，法律要求通知當事人；新修版本亦提到通報、應變措施與紀錄保存等要求，因此系統需具備事件分級、通知模板與稽核證據保存（以便主管機關查驗）。</w:t>
      </w:r>
      <w:hyperlink r:id="rId68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t xml:space="preserve">5) </w:t>
      </w:r>
      <w:r>
        <w:rPr>
          <w:rFonts w:hint="eastAsia"/>
        </w:rPr>
        <w:t xml:space="preserve">道路範圍與鑑定受理之「不確定性控管」</w:t>
      </w:r>
      <w:r>
        <w:br/>
      </w:r>
      <w:r>
        <w:rPr>
          <w:rFonts w:hint="eastAsia"/>
        </w:rPr>
        <w:t xml:space="preserve">「是否屬道路」依道交條例定義包含「其他供公眾通行之地方」，在停車場或私人土地情境可能存在爭議；而鑑定辦法明定非屬道路範圍案件不受理，因此系統對此類案件應以提問補足與人工確認為主，不應直接斷言。</w:t>
      </w:r>
      <w:hyperlink r:id="rId36">
        <w:r>
          <w:rPr>
            <w:rStyle w:val="Hyperlink"/>
          </w:rPr>
          <w:t xml:space="preserve">[24]</w:t>
        </w:r>
      </w:hyperlink>
    </w:p>
    <w:bookmarkEnd w:id="69"/>
    <w:bookmarkStart w:id="70" w:name="下一步行動清單"/>
    <w:p>
      <w:pPr>
        <w:pStyle w:val="Heading3"/>
      </w:pPr>
      <w:r>
        <w:rPr>
          <w:rFonts w:hint="eastAsia"/>
        </w:rPr>
        <w:t xml:space="preserve">下一步行動清單</w:t>
      </w:r>
    </w:p>
    <w:p>
      <w:pPr>
        <w:pStyle w:val="FirstParagraph"/>
      </w:pPr>
      <w:r>
        <w:rPr>
          <w:rFonts w:hint="eastAsia"/>
        </w:rPr>
        <w:t xml:space="preserve">第一項任務是把P0規則庫落地成可測試的「規則引擎對照表」，先覆蓋事故處理辦法第3、4、10、13條與道交條例第62條、鑑定辦法第3、10條、強制險第14條、個資法第6與第27條，並為每條規則定義輸入欄位、輸出文案與例外條件。</w:t>
      </w:r>
      <w:hyperlink r:id="rId21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rFonts w:hint="eastAsia"/>
        </w:rPr>
        <w:t xml:space="preserve">第二項任務是做出「MVP前端任務流」的可點擊原型：三個入口（事故當下/警方資料申請/文件包），並把7日、30日、6個月、30日覆議、2年/10年時效做成時間線UI與自動排程。</w:t>
      </w:r>
      <w:hyperlink r:id="rId21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rFonts w:hint="eastAsia"/>
        </w:rPr>
        <w:t xml:space="preserve">第三項任務是建立「證據服務」最小可用版本：上傳、雜湊、版本、證據清冊匯出、權限與稽核日誌；並完成敏感資料欄位與檔案類型的預設遮蔽/同意流程。</w:t>
      </w:r>
      <w:hyperlink r:id="rId29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rFonts w:hint="eastAsia"/>
        </w:rPr>
        <w:t xml:space="preserve">第四項任務是把「官方資料來源整合」做成可維運管線：串接全國法規資料庫Open</w:t>
      </w:r>
      <w:r>
        <w:t xml:space="preserve"> </w:t>
      </w:r>
      <w:r>
        <w:rPr>
          <w:rFonts w:hint="eastAsia"/>
        </w:rPr>
        <w:t xml:space="preserve">API做版本同步，並建立政府資料開放平臺的資料集監控（至少監控A2事故資料集與其json版本），形成內容更新與風險熱點報表的基礎。</w:t>
      </w:r>
      <w:hyperlink r:id="rId49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rPr>
          <w:rFonts w:hint="eastAsia"/>
        </w:rPr>
        <w:t xml:space="preserve">第五項任務是制定「高風險案件人工升級SOP」與合作網絡：定義哪些旗標必須轉人工（律師/理賠/調解），並為每種旗標準備一頁式交接摘要格式，確保責任邊界與服務品質一致。</w:t>
      </w:r>
      <w:hyperlink r:id="rId23">
        <w:r>
          <w:rPr>
            <w:rStyle w:val="Hyperlink"/>
          </w:rPr>
          <w:t xml:space="preserve">[69]</w:t>
        </w:r>
      </w:hyperlink>
    </w:p>
    <w:bookmarkEnd w:id="70"/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7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hyperlink r:id="rId21">
        <w:r>
          <w:rPr>
            <w:rStyle w:val="Hyperlink"/>
          </w:rPr>
          <w:t xml:space="preserve">[49]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道路交通事故處理辦法（92.09.24</w:t>
      </w:r>
      <w:r>
        <w:t xml:space="preserve"> </w:t>
      </w:r>
      <w:r>
        <w:rPr>
          <w:rFonts w:hint="eastAsia"/>
        </w:rPr>
        <w:t xml:space="preserve">訂定）-全國法規資料庫</w:t>
      </w:r>
      <w:r>
        <w:t xml:space="preserve"> </w:t>
      </w:r>
    </w:p>
    <w:p>
      <w:pPr>
        <w:pStyle w:val="BodyText"/>
      </w:pPr>
      <w:hyperlink r:id="rId21">
        <w:r>
          <w:rPr>
            <w:rStyle w:val="Hyperlink"/>
          </w:rPr>
          <w:t xml:space="preserve">https://law.moj.gov.tw/LawClass/LawAll.aspx?pcode=D0080090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區車輛行車事故鑑定委員會鑑定申請表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https://www.mvdis.gov.tw/files/m3/vil/cac/cacApply.pdf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鄉鎮市調解條例-全國法規資料庫</w:t>
      </w:r>
      <w:r>
        <w:t xml:space="preserve"> </w:t>
      </w:r>
    </w:p>
    <w:p>
      <w:pPr>
        <w:pStyle w:val="BodyText"/>
      </w:pPr>
      <w:hyperlink r:id="rId23">
        <w:r>
          <w:rPr>
            <w:rStyle w:val="Hyperlink"/>
          </w:rPr>
          <w:t xml:space="preserve">https://law.moj.gov.tw/LawClass/LawAll.aspx?PCode=I0020003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強制汽車責任保險法§14-全國法規資料庫</w:t>
      </w:r>
      <w:r>
        <w:t xml:space="preserve"> </w:t>
      </w:r>
    </w:p>
    <w:p>
      <w:pPr>
        <w:pStyle w:val="BodyText"/>
      </w:pPr>
      <w:hyperlink r:id="rId26">
        <w:r>
          <w:rPr>
            <w:rStyle w:val="Hyperlink"/>
          </w:rPr>
          <w:t xml:space="preserve">https://law.moj.gov.tw/LawClass/LawSingle.aspx?flno=14&amp;pcode=G0390060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即時交通事故資料(A2類)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政府資料開放平臺</w:t>
      </w:r>
    </w:p>
    <w:p>
      <w:pPr>
        <w:pStyle w:val="BodyText"/>
      </w:pPr>
      <w:hyperlink r:id="rId27">
        <w:r>
          <w:rPr>
            <w:rStyle w:val="Hyperlink"/>
          </w:rPr>
          <w:t xml:space="preserve">https://data.gov.tw/dataset/13139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[22]</w:t>
        </w:r>
      </w:hyperlink>
      <w:r>
        <w:t xml:space="preserve"> </w:t>
      </w:r>
      <w:hyperlink r:id="rId29">
        <w:r>
          <w:rPr>
            <w:rStyle w:val="Hyperlink"/>
          </w:rPr>
          <w:t xml:space="preserve">[39]</w:t>
        </w:r>
      </w:hyperlink>
      <w:r>
        <w:t xml:space="preserve"> </w:t>
      </w:r>
      <w:hyperlink r:id="rId29">
        <w:r>
          <w:rPr>
            <w:rStyle w:val="Hyperlink"/>
          </w:rPr>
          <w:t xml:space="preserve">[51]</w:t>
        </w:r>
      </w:hyperlink>
      <w:r>
        <w:t xml:space="preserve"> </w:t>
      </w:r>
      <w:hyperlink r:id="rId29">
        <w:r>
          <w:rPr>
            <w:rStyle w:val="Hyperlink"/>
          </w:rPr>
          <w:t xml:space="preserve">[56]</w:t>
        </w:r>
      </w:hyperlink>
      <w:r>
        <w:t xml:space="preserve"> </w:t>
      </w:r>
      <w:hyperlink r:id="rId29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個人資料保護法</w:t>
      </w:r>
      <w:r>
        <w:t xml:space="preserve"> </w:t>
      </w:r>
      <w:r>
        <w:rPr>
          <w:rFonts w:hint="eastAsia"/>
        </w:rPr>
        <w:t xml:space="preserve">歷史法規所有條文-全國法規資料庫</w:t>
      </w:r>
      <w:r>
        <w:t xml:space="preserve"> </w:t>
      </w:r>
    </w:p>
    <w:p>
      <w:pPr>
        <w:pStyle w:val="BodyText"/>
      </w:pPr>
      <w:hyperlink r:id="rId29">
        <w:r>
          <w:rPr>
            <w:rStyle w:val="Hyperlink"/>
          </w:rPr>
          <w:t xml:space="preserve">https://law.moj.gov.tw/LawClass/LawOldVer.aspx?pcode=I0050021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[50]</w:t>
        </w:r>
      </w:hyperlink>
      <w:r>
        <w:t xml:space="preserve"> </w:t>
      </w:r>
      <w:r>
        <w:rPr>
          <w:rFonts w:hint="eastAsia"/>
        </w:rPr>
        <w:t xml:space="preserve">財團法人汽車交通事故特別補償基金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https://www.mvacf.org.tw/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hyperlink r:id="rId33">
        <w:r>
          <w:rPr>
            <w:rStyle w:val="Hyperlink"/>
          </w:rPr>
          <w:t xml:space="preserve">[26]</w:t>
        </w:r>
      </w:hyperlink>
      <w:r>
        <w:t xml:space="preserve"> </w:t>
      </w:r>
      <w:hyperlink r:id="rId33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道路交通管理處罰條例§62-全國法規資料庫</w:t>
      </w:r>
      <w:r>
        <w:t xml:space="preserve"> </w:t>
      </w:r>
    </w:p>
    <w:p>
      <w:pPr>
        <w:pStyle w:val="BodyText"/>
      </w:pPr>
      <w:hyperlink r:id="rId33">
        <w:r>
          <w:rPr>
            <w:rStyle w:val="Hyperlink"/>
          </w:rPr>
          <w:t xml:space="preserve">https://law.moj.gov.tw/LawClass/LawSingle.aspx?flno=62&amp;pcode=K0040012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我的E政府-主題策展-遇到道路交通事故別慌張，處理流程報您知！</w:t>
      </w:r>
      <w:r>
        <w:t xml:space="preserve"> 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https://www.gov.tw/News_Content_26_849758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[36]</w:t>
        </w:r>
      </w:hyperlink>
      <w:r>
        <w:t xml:space="preserve"> </w:t>
      </w:r>
      <w:hyperlink r:id="rId3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道路交通管理處罰條例§3-全國法規資料庫</w:t>
      </w:r>
      <w:r>
        <w:t xml:space="preserve"> </w:t>
      </w:r>
    </w:p>
    <w:p>
      <w:pPr>
        <w:pStyle w:val="BodyText"/>
      </w:pPr>
      <w:hyperlink r:id="rId36">
        <w:r>
          <w:rPr>
            <w:rStyle w:val="Hyperlink"/>
          </w:rPr>
          <w:t xml:space="preserve">https://law.moj.gov.tw/LawClass/LawSingle.aspx?flno=3&amp;pcode=K0040012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t xml:space="preserve"> </w:t>
      </w:r>
      <w:hyperlink r:id="rId37">
        <w:r>
          <w:rPr>
            <w:rStyle w:val="Hyperlink"/>
          </w:rPr>
          <w:t xml:space="preserve">[37]</w:t>
        </w:r>
      </w:hyperlink>
      <w:r>
        <w:t xml:space="preserve"> </w:t>
      </w:r>
      <w:hyperlink r:id="rId37">
        <w:r>
          <w:rPr>
            <w:rStyle w:val="Hyperlink"/>
          </w:rPr>
          <w:t xml:space="preserve">[54]</w:t>
        </w:r>
      </w:hyperlink>
      <w:r>
        <w:t xml:space="preserve"> </w:t>
      </w:r>
      <w:hyperlink r:id="rId37">
        <w:r>
          <w:rPr>
            <w:rStyle w:val="Hyperlink"/>
          </w:rPr>
          <w:t xml:space="preserve">[60]</w:t>
        </w:r>
      </w:hyperlink>
      <w:r>
        <w:t xml:space="preserve"> </w:t>
      </w:r>
      <w:hyperlink r:id="rId37">
        <w:r>
          <w:rPr>
            <w:rStyle w:val="Hyperlink"/>
          </w:rPr>
          <w:t xml:space="preserve">[61]</w:t>
        </w:r>
      </w:hyperlink>
      <w:r>
        <w:t xml:space="preserve"> </w:t>
      </w:r>
      <w:hyperlink r:id="rId3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車輛行車事故鑑定及覆議作業辦法-全國法規資料庫</w:t>
      </w:r>
      <w:r>
        <w:t xml:space="preserve"> </w:t>
      </w:r>
    </w:p>
    <w:p>
      <w:pPr>
        <w:pStyle w:val="BodyText"/>
      </w:pPr>
      <w:hyperlink r:id="rId37">
        <w:r>
          <w:rPr>
            <w:rStyle w:val="Hyperlink"/>
          </w:rPr>
          <w:t xml:space="preserve">https://law.moj.gov.tw/LawClass/LawAll.aspx?PCode=K0040045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[29]</w:t>
        </w:r>
      </w:hyperlink>
      <w:r>
        <w:t xml:space="preserve"> </w:t>
      </w:r>
      <w:hyperlink r:id="rId38">
        <w:r>
          <w:rPr>
            <w:rStyle w:val="Hyperlink"/>
          </w:rPr>
          <w:t xml:space="preserve">[45]</w:t>
        </w:r>
      </w:hyperlink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  <w:r>
        <w:t xml:space="preserve"> </w:t>
      </w:r>
      <w:hyperlink r:id="rId38">
        <w:r>
          <w:rPr>
            <w:rStyle w:val="Hyperlink"/>
          </w:rPr>
          <w:t xml:space="preserve">[55]</w:t>
        </w:r>
      </w:hyperlink>
      <w:r>
        <w:t xml:space="preserve"> </w:t>
      </w:r>
      <w:r>
        <w:rPr>
          <w:rFonts w:hint="eastAsia"/>
        </w:rPr>
        <w:t xml:space="preserve">常見問答-發生道路交通事故，當事人或利害關係人得向警察機關申請哪些事故資料？-內政部警政署全球資訊網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https://www.npa.gov.tw/ch/app/faq/view?id=2144&amp;module=faq&amp;serno=A1084129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[32]</w:t>
        </w:r>
      </w:hyperlink>
      <w:r>
        <w:t xml:space="preserve"> </w:t>
      </w:r>
      <w:r>
        <w:rPr>
          <w:rFonts w:hint="eastAsia"/>
        </w:rPr>
        <w:t xml:space="preserve">道路交通事故資料申請系統-首頁</w:t>
      </w:r>
    </w:p>
    <w:p>
      <w:pPr>
        <w:pStyle w:val="BodyText"/>
      </w:pPr>
      <w:hyperlink r:id="rId40">
        <w:r>
          <w:rPr>
            <w:rStyle w:val="Hyperlink"/>
          </w:rPr>
          <w:t xml:space="preserve">https://tm2.npa.gov.tw/NM105-505ClientRWD2/TM01A01Q_01.jsp?utm_source=chatgpt.com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民法§184-全國法規資料庫</w:t>
      </w:r>
      <w:r>
        <w:t xml:space="preserve"> </w:t>
      </w:r>
    </w:p>
    <w:p>
      <w:pPr>
        <w:pStyle w:val="BodyText"/>
      </w:pPr>
      <w:hyperlink r:id="rId45">
        <w:r>
          <w:rPr>
            <w:rStyle w:val="Hyperlink"/>
          </w:rPr>
          <w:t xml:space="preserve">https://law.moj.gov.tw/LawClass/LawSingle.aspx?flno=184&amp;pcode=B0000001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中華民國刑法§284-全國法規資料庫</w:t>
      </w:r>
      <w:r>
        <w:t xml:space="preserve"> </w:t>
      </w:r>
    </w:p>
    <w:p>
      <w:pPr>
        <w:pStyle w:val="BodyText"/>
      </w:pPr>
      <w:hyperlink r:id="rId46">
        <w:r>
          <w:rPr>
            <w:rStyle w:val="Hyperlink"/>
          </w:rPr>
          <w:t xml:space="preserve">https://law.moj.gov.tw/LawClass/LawSingle.aspx?flno=284&amp;pcode=C0000001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[42]</w:t>
        </w:r>
      </w:hyperlink>
      <w:r>
        <w:t xml:space="preserve"> </w:t>
      </w:r>
      <w:hyperlink r:id="rId47">
        <w:r>
          <w:rPr>
            <w:rStyle w:val="Hyperlink"/>
          </w:rPr>
          <w:t xml:space="preserve">[52]</w:t>
        </w:r>
      </w:hyperlink>
      <w:r>
        <w:t xml:space="preserve"> </w:t>
      </w:r>
      <w:r>
        <w:rPr>
          <w:rFonts w:hint="eastAsia"/>
        </w:rPr>
        <w:t xml:space="preserve">道路交通事故資料申請-臺北市政府警察局交通警察大隊</w:t>
      </w:r>
    </w:p>
    <w:p>
      <w:pPr>
        <w:pStyle w:val="BodyText"/>
      </w:pPr>
      <w:hyperlink r:id="rId47">
        <w:r>
          <w:rPr>
            <w:rStyle w:val="Hyperlink"/>
          </w:rPr>
          <w:t xml:space="preserve">https://esystem.tcpd.gov.tw/?utm_source=chatgpt.com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[43]</w:t>
        </w:r>
      </w:hyperlink>
      <w:r>
        <w:t xml:space="preserve"> </w:t>
      </w:r>
      <w:hyperlink r:id="rId49">
        <w:r>
          <w:rPr>
            <w:rStyle w:val="Hyperlink"/>
          </w:rPr>
          <w:t xml:space="preserve">[58]</w:t>
        </w:r>
      </w:hyperlink>
      <w:r>
        <w:t xml:space="preserve"> </w:t>
      </w:r>
      <w:hyperlink r:id="rId49">
        <w:r>
          <w:rPr>
            <w:rStyle w:val="Hyperlink"/>
          </w:rPr>
          <w:t xml:space="preserve">[68]</w:t>
        </w:r>
      </w:hyperlink>
      <w:r>
        <w:t xml:space="preserve"> </w:t>
      </w:r>
      <w:r>
        <w:rPr>
          <w:rFonts w:hint="eastAsia"/>
        </w:rPr>
        <w:t xml:space="preserve">全國法規資料庫</w:t>
      </w:r>
      <w:r>
        <w:t xml:space="preserve"> Open API</w:t>
      </w:r>
    </w:p>
    <w:p>
      <w:pPr>
        <w:pStyle w:val="BodyText"/>
      </w:pPr>
      <w:hyperlink r:id="rId49">
        <w:r>
          <w:rPr>
            <w:rStyle w:val="Hyperlink"/>
          </w:rPr>
          <w:t xml:space="preserve">https://law.moj.gov.tw/api/swagger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[44]</w:t>
        </w:r>
      </w:hyperlink>
      <w:r>
        <w:t xml:space="preserve"> </w:t>
      </w:r>
      <w:r>
        <w:rPr>
          <w:rFonts w:hint="eastAsia"/>
        </w:rPr>
        <w:t xml:space="preserve">M2M專區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政府資料開放平臺</w:t>
      </w:r>
    </w:p>
    <w:p>
      <w:pPr>
        <w:pStyle w:val="BodyText"/>
      </w:pPr>
      <w:hyperlink r:id="rId50">
        <w:r>
          <w:rPr>
            <w:rStyle w:val="Hyperlink"/>
          </w:rPr>
          <w:t xml:space="preserve">https://data.gov.tw/m2m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[47]</w:t>
        </w:r>
      </w:hyperlink>
      <w:r>
        <w:t xml:space="preserve"> </w:t>
      </w:r>
      <w:r>
        <w:rPr>
          <w:rFonts w:hint="eastAsia"/>
        </w:rPr>
        <w:t xml:space="preserve">道安總動員</w:t>
      </w:r>
    </w:p>
    <w:p>
      <w:pPr>
        <w:pStyle w:val="BodyText"/>
      </w:pPr>
      <w:hyperlink r:id="rId51">
        <w:r>
          <w:rPr>
            <w:rStyle w:val="Hyperlink"/>
          </w:rPr>
          <w:t xml:space="preserve">https://roadsafety.tw/?utm_source=chatgpt.com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個人資料保護法-全國法規資料庫</w:t>
      </w:r>
      <w:r>
        <w:t xml:space="preserve"> </w:t>
      </w:r>
    </w:p>
    <w:p>
      <w:pPr>
        <w:pStyle w:val="BodyText"/>
      </w:pPr>
      <w:hyperlink r:id="rId68">
        <w:r>
          <w:rPr>
            <w:rStyle w:val="Hyperlink"/>
          </w:rPr>
          <w:t xml:space="preserve">https://law.moj.gov.tw/LawClass/LawAll.aspx?PCode=I0050021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ata.gov.tw/dataset/13139" TargetMode="External" /><Relationship Type="http://schemas.openxmlformats.org/officeDocument/2006/relationships/hyperlink" Id="rId50" Target="https://data.gov.tw/m2m" TargetMode="External" /><Relationship Type="http://schemas.openxmlformats.org/officeDocument/2006/relationships/hyperlink" Id="rId47" Target="https://esystem.tcpd.gov.tw/?utm_source=chatgpt.com" TargetMode="External" /><Relationship Type="http://schemas.openxmlformats.org/officeDocument/2006/relationships/hyperlink" Id="rId23" Target="https://law.moj.gov.tw/LawClass/LawAll.aspx?PCode=I0020003" TargetMode="External" /><Relationship Type="http://schemas.openxmlformats.org/officeDocument/2006/relationships/hyperlink" Id="rId68" Target="https://law.moj.gov.tw/LawClass/LawAll.aspx?PCode=I0050021" TargetMode="External" /><Relationship Type="http://schemas.openxmlformats.org/officeDocument/2006/relationships/hyperlink" Id="rId37" Target="https://law.moj.gov.tw/LawClass/LawAll.aspx?PCode=K0040045" TargetMode="External" /><Relationship Type="http://schemas.openxmlformats.org/officeDocument/2006/relationships/hyperlink" Id="rId21" Target="https://law.moj.gov.tw/LawClass/LawAll.aspx?pcode=D0080090" TargetMode="External" /><Relationship Type="http://schemas.openxmlformats.org/officeDocument/2006/relationships/hyperlink" Id="rId29" Target="https://law.moj.gov.tw/LawClass/LawOldVer.aspx?pcode=I0050021" TargetMode="External" /><Relationship Type="http://schemas.openxmlformats.org/officeDocument/2006/relationships/hyperlink" Id="rId26" Target="https://law.moj.gov.tw/LawClass/LawSingle.aspx?flno=14&amp;pcode=G0390060" TargetMode="External" /><Relationship Type="http://schemas.openxmlformats.org/officeDocument/2006/relationships/hyperlink" Id="rId45" Target="https://law.moj.gov.tw/LawClass/LawSingle.aspx?flno=184&amp;pcode=B0000001" TargetMode="External" /><Relationship Type="http://schemas.openxmlformats.org/officeDocument/2006/relationships/hyperlink" Id="rId46" Target="https://law.moj.gov.tw/LawClass/LawSingle.aspx?flno=284&amp;pcode=C0000001" TargetMode="External" /><Relationship Type="http://schemas.openxmlformats.org/officeDocument/2006/relationships/hyperlink" Id="rId36" Target="https://law.moj.gov.tw/LawClass/LawSingle.aspx?flno=3&amp;pcode=K0040012" TargetMode="External" /><Relationship Type="http://schemas.openxmlformats.org/officeDocument/2006/relationships/hyperlink" Id="rId33" Target="https://law.moj.gov.tw/LawClass/LawSingle.aspx?flno=62&amp;pcode=K0040012" TargetMode="External" /><Relationship Type="http://schemas.openxmlformats.org/officeDocument/2006/relationships/hyperlink" Id="rId49" Target="https://law.moj.gov.tw/api/swagger" TargetMode="External" /><Relationship Type="http://schemas.openxmlformats.org/officeDocument/2006/relationships/hyperlink" Id="rId51" Target="https://roadsafety.tw/?utm_source=chatgpt.com" TargetMode="External" /><Relationship Type="http://schemas.openxmlformats.org/officeDocument/2006/relationships/hyperlink" Id="rId40" Target="https://tm2.npa.gov.tw/NM105-505ClientRWD2/TM01A01Q_01.jsp?utm_source=chatgpt.com" TargetMode="External" /><Relationship Type="http://schemas.openxmlformats.org/officeDocument/2006/relationships/hyperlink" Id="rId35" Target="https://www.gov.tw/News_Content_26_849758" TargetMode="External" /><Relationship Type="http://schemas.openxmlformats.org/officeDocument/2006/relationships/hyperlink" Id="rId30" Target="https://www.mvacf.org.tw/" TargetMode="External" /><Relationship Type="http://schemas.openxmlformats.org/officeDocument/2006/relationships/hyperlink" Id="rId22" Target="https://www.mvdis.gov.tw/files/m3/vil/cac/cacApply.pdf" TargetMode="External" /><Relationship Type="http://schemas.openxmlformats.org/officeDocument/2006/relationships/hyperlink" Id="rId38" Target="https://www.npa.gov.tw/ch/app/faq/view?id=2144&amp;module=faq&amp;serno=A10841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ata.gov.tw/dataset/13139" TargetMode="External" /><Relationship Type="http://schemas.openxmlformats.org/officeDocument/2006/relationships/hyperlink" Id="rId50" Target="https://data.gov.tw/m2m" TargetMode="External" /><Relationship Type="http://schemas.openxmlformats.org/officeDocument/2006/relationships/hyperlink" Id="rId47" Target="https://esystem.tcpd.gov.tw/?utm_source=chatgpt.com" TargetMode="External" /><Relationship Type="http://schemas.openxmlformats.org/officeDocument/2006/relationships/hyperlink" Id="rId23" Target="https://law.moj.gov.tw/LawClass/LawAll.aspx?PCode=I0020003" TargetMode="External" /><Relationship Type="http://schemas.openxmlformats.org/officeDocument/2006/relationships/hyperlink" Id="rId68" Target="https://law.moj.gov.tw/LawClass/LawAll.aspx?PCode=I0050021" TargetMode="External" /><Relationship Type="http://schemas.openxmlformats.org/officeDocument/2006/relationships/hyperlink" Id="rId37" Target="https://law.moj.gov.tw/LawClass/LawAll.aspx?PCode=K0040045" TargetMode="External" /><Relationship Type="http://schemas.openxmlformats.org/officeDocument/2006/relationships/hyperlink" Id="rId21" Target="https://law.moj.gov.tw/LawClass/LawAll.aspx?pcode=D0080090" TargetMode="External" /><Relationship Type="http://schemas.openxmlformats.org/officeDocument/2006/relationships/hyperlink" Id="rId29" Target="https://law.moj.gov.tw/LawClass/LawOldVer.aspx?pcode=I0050021" TargetMode="External" /><Relationship Type="http://schemas.openxmlformats.org/officeDocument/2006/relationships/hyperlink" Id="rId26" Target="https://law.moj.gov.tw/LawClass/LawSingle.aspx?flno=14&amp;pcode=G0390060" TargetMode="External" /><Relationship Type="http://schemas.openxmlformats.org/officeDocument/2006/relationships/hyperlink" Id="rId45" Target="https://law.moj.gov.tw/LawClass/LawSingle.aspx?flno=184&amp;pcode=B0000001" TargetMode="External" /><Relationship Type="http://schemas.openxmlformats.org/officeDocument/2006/relationships/hyperlink" Id="rId46" Target="https://law.moj.gov.tw/LawClass/LawSingle.aspx?flno=284&amp;pcode=C0000001" TargetMode="External" /><Relationship Type="http://schemas.openxmlformats.org/officeDocument/2006/relationships/hyperlink" Id="rId36" Target="https://law.moj.gov.tw/LawClass/LawSingle.aspx?flno=3&amp;pcode=K0040012" TargetMode="External" /><Relationship Type="http://schemas.openxmlformats.org/officeDocument/2006/relationships/hyperlink" Id="rId33" Target="https://law.moj.gov.tw/LawClass/LawSingle.aspx?flno=62&amp;pcode=K0040012" TargetMode="External" /><Relationship Type="http://schemas.openxmlformats.org/officeDocument/2006/relationships/hyperlink" Id="rId49" Target="https://law.moj.gov.tw/api/swagger" TargetMode="External" /><Relationship Type="http://schemas.openxmlformats.org/officeDocument/2006/relationships/hyperlink" Id="rId51" Target="https://roadsafety.tw/?utm_source=chatgpt.com" TargetMode="External" /><Relationship Type="http://schemas.openxmlformats.org/officeDocument/2006/relationships/hyperlink" Id="rId40" Target="https://tm2.npa.gov.tw/NM105-505ClientRWD2/TM01A01Q_01.jsp?utm_source=chatgpt.com" TargetMode="External" /><Relationship Type="http://schemas.openxmlformats.org/officeDocument/2006/relationships/hyperlink" Id="rId35" Target="https://www.gov.tw/News_Content_26_849758" TargetMode="External" /><Relationship Type="http://schemas.openxmlformats.org/officeDocument/2006/relationships/hyperlink" Id="rId30" Target="https://www.mvacf.org.tw/" TargetMode="External" /><Relationship Type="http://schemas.openxmlformats.org/officeDocument/2006/relationships/hyperlink" Id="rId22" Target="https://www.mvdis.gov.tw/files/m3/vil/cac/cacApply.pdf" TargetMode="External" /><Relationship Type="http://schemas.openxmlformats.org/officeDocument/2006/relationships/hyperlink" Id="rId38" Target="https://www.npa.gov.tw/ch/app/faq/view?id=2144&amp;module=faq&amp;serno=A10841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2026-04-08T10:38:03Z</dcterms:created>
  <dcterms:modified xsi:type="dcterms:W3CDTF">2026-04-08T10:38:03Z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