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left"/>
      </w:pPr>
      <w:r>
        <w:rPr>
          <w:rFonts w:ascii="Heiti TC" w:hAnsi="Heiti TC" w:eastAsia="Heiti TC"/>
          <w:b/>
          <w:i w:val="0"/>
          <w:color w:val="2E74B5"/>
          <w:sz w:val="20"/>
        </w:rPr>
        <w:t>研究與決策工作手冊</w:t>
      </w:r>
    </w:p>
    <w:p>
      <w:pPr>
        <w:pStyle w:val="Title"/>
        <w:jc w:val="left"/>
      </w:pPr>
      <w:r>
        <w:rPr>
          <w:rFonts w:ascii="Heiti TC" w:hAnsi="Heiti TC" w:eastAsia="Heiti TC"/>
          <w:b/>
          <w:color w:val="0B2545"/>
          <w:sz w:val="58"/>
        </w:rPr>
        <w:t>機器人與自動化股票研究企劃書</w:t>
      </w:r>
    </w:p>
    <w:p>
      <w:pPr>
        <w:pStyle w:val="Subtitle"/>
        <w:jc w:val="left"/>
      </w:pPr>
      <w:r>
        <w:rPr>
          <w:rFonts w:ascii="Heiti TC" w:hAnsi="Heiti TC" w:eastAsia="Heiti TC"/>
          <w:color w:val="5F6B76"/>
          <w:sz w:val="26"/>
        </w:rPr>
        <w:t>第一次研究會議、四週研究流程與一年目標價框架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shd w:fill="FFF8E8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9A6A00"/>
                <w:sz w:val="17"/>
              </w:rPr>
              <w:t>投資期</w:t>
              <w:br/>
            </w:r>
            <w:r>
              <w:rPr>
                <w:rFonts w:ascii="Heiti TC" w:hAnsi="Heiti TC" w:eastAsia="Heiti TC"/>
                <w:b/>
                <w:color w:val="0B2545"/>
                <w:sz w:val="20"/>
              </w:rPr>
              <w:t>1年</w:t>
            </w:r>
          </w:p>
        </w:tc>
        <w:tc>
          <w:tcPr>
            <w:tcW w:type="dxa" w:w="2340"/>
            <w:shd w:fill="FFF8E8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9A6A00"/>
                <w:sz w:val="17"/>
              </w:rPr>
              <w:t>最終目標</w:t>
              <w:br/>
            </w:r>
            <w:r>
              <w:rPr>
                <w:rFonts w:ascii="Heiti TC" w:hAnsi="Heiti TC" w:eastAsia="Heiti TC"/>
                <w:b/>
                <w:color w:val="0B2545"/>
                <w:sz w:val="20"/>
              </w:rPr>
              <w:t>選出2-3家公司</w:t>
            </w:r>
          </w:p>
        </w:tc>
        <w:tc>
          <w:tcPr>
            <w:tcW w:type="dxa" w:w="2340"/>
            <w:shd w:fill="FFF8E8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9A6A00"/>
                <w:sz w:val="17"/>
              </w:rPr>
              <w:t>風險界線</w:t>
              <w:br/>
            </w:r>
            <w:r>
              <w:rPr>
                <w:rFonts w:ascii="Heiti TC" w:hAnsi="Heiti TC" w:eastAsia="Heiti TC"/>
                <w:b/>
                <w:color w:val="0B2545"/>
                <w:sz w:val="20"/>
              </w:rPr>
              <w:t>單檔最多約-30%</w:t>
            </w:r>
          </w:p>
        </w:tc>
        <w:tc>
          <w:tcPr>
            <w:tcW w:type="dxa" w:w="2340"/>
            <w:shd w:fill="FFF8E8"/>
            <w:vAlign w:val="center"/>
            <w:tcMar>
              <w:top w:w="150" w:type="dxa"/>
              <w:bottom w:w="150" w:type="dxa"/>
              <w:start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9A6A00"/>
                <w:sz w:val="17"/>
              </w:rPr>
              <w:t>首次會議</w:t>
              <w:br/>
            </w:r>
            <w:r>
              <w:rPr>
                <w:rFonts w:ascii="Heiti TC" w:hAnsi="Heiti TC" w:eastAsia="Heiti TC"/>
                <w:b/>
                <w:color w:val="0B2545"/>
                <w:sz w:val="20"/>
              </w:rPr>
              <w:t>90分鐘</w:t>
            </w:r>
          </w:p>
        </w:tc>
      </w:tr>
    </w:tbl>
    <w:p>
      <w:pPr>
        <w:spacing w:before="0" w:after="200"/>
      </w:pPr>
      <w:r>
        <w:rPr>
          <w:rFonts w:ascii="Heiti TC" w:hAnsi="Heiti TC" w:eastAsia="Heiti TC"/>
          <w:b w:val="0"/>
          <w:i w:val="0"/>
          <w:color w:val="11111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E8EEF5"/>
              <w:start w:val="single" w:sz="24" w:color="2E74B5"/>
              <w:bottom w:val="single" w:sz="4" w:color="E8EEF5"/>
              <w:end w:val="single" w:sz="4" w:color="E8EEF5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2E74B5"/>
                <w:sz w:val="21"/>
              </w:rPr>
              <w:t xml:space="preserve">核心任務  </w:t>
            </w:r>
            <w:r>
              <w:rPr>
                <w:rFonts w:ascii="Heiti TC" w:hAnsi="Heiti TC" w:eastAsia="Heiti TC"/>
                <w:color w:val="111111"/>
                <w:sz w:val="21"/>
              </w:rPr>
              <w:t>在未來12個月內，找出能把技術優勢轉成訂單、毛利率與EPS的公司，並以悲觀、基準、樂觀三種情境估值，判斷預期報酬是否值得承擔風險。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spacing w:before="160" w:after="320"/>
      </w:pPr>
      <w:r>
        <w:rPr>
          <w:rFonts w:ascii="Heiti TC" w:hAnsi="Heiti TC" w:eastAsia="Heiti TC"/>
          <w:b w:val="0"/>
          <w:i w:val="0"/>
          <w:color w:val="0B2545"/>
          <w:sz w:val="22"/>
        </w:rPr>
        <w:t>本企劃書不是明牌清單，而是一套共同研究制度。第一次會議不需要決定買進，而要完成研究範圍、證據標準、分工與下一次交付物。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項目</w:t>
            </w:r>
          </w:p>
        </w:tc>
        <w:tc>
          <w:tcPr>
            <w:tcW w:type="dxa" w:w="75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內容</w:t>
            </w:r>
          </w:p>
        </w:tc>
      </w:tr>
      <w:tr>
        <w:trPr/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參與者</w:t>
            </w:r>
          </w:p>
        </w:tc>
        <w:tc>
          <w:tcPr>
            <w:tcW w:type="dxa" w:w="7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投資／資料主責（你）＋技術／產業主責（機械系朋友）</w:t>
            </w:r>
          </w:p>
        </w:tc>
      </w:tr>
      <w:tr>
        <w:trPr/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研究市場</w:t>
            </w:r>
          </w:p>
        </w:tc>
        <w:tc>
          <w:tcPr>
            <w:tcW w:type="dxa" w:w="7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台股與一般美股券商可交易之美國上市公司</w:t>
            </w:r>
          </w:p>
        </w:tc>
      </w:tr>
      <w:tr>
        <w:trPr/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版本日期</w:t>
            </w:r>
          </w:p>
        </w:tc>
        <w:tc>
          <w:tcPr>
            <w:tcW w:type="dxa" w:w="7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2026年8月25日</w:t>
            </w:r>
          </w:p>
        </w:tc>
      </w:tr>
      <w:tr>
        <w:trPr/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文件狀態</w:t>
            </w:r>
          </w:p>
        </w:tc>
        <w:tc>
          <w:tcPr>
            <w:tcW w:type="dxa" w:w="75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第一次會議前閱讀版；所有估值均須以最新財報與股價更新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r>
        <w:br w:type="page"/>
      </w:r>
    </w:p>
    <w:p>
      <w:pPr>
        <w:pStyle w:val="Heading1"/>
      </w:pPr>
      <w:r>
        <w:t>閱讀方式與企劃摘要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建議會前先花30分鐘閱讀第1至第6章；開會時直接使用第4章議程；會後依第10章時程執行。附錄提供可重複使用的研究卡、估值表與會議紀錄格式。</w:t>
      </w:r>
    </w:p>
    <w:p>
      <w:pPr>
        <w:pStyle w:val="Heading2"/>
      </w:pPr>
      <w:r>
        <w:t>企劃書目錄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研究目標與投資邊界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研究範圍與公司分類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一年投資期的判斷原則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第一次會議：90分鐘完整議程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兩人分工與交叉審查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技術與競爭力研究方法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財務預測與一年目標價模型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風險控制、停損與部位管理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公司研究優先順序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四週研究計畫與交付物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最終選股與投資決策規則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附錄A-C：研究卡、估值表與會議紀錄</w:t>
      </w:r>
    </w:p>
    <w:p>
      <w:pPr>
        <w:pStyle w:val="ListNumber"/>
        <w:numPr>
          <w:ilvl w:val="0"/>
          <w:numId w:val="10"/>
        </w:numPr>
      </w:pPr>
      <w:r>
        <w:rPr>
          <w:rFonts w:ascii="Heiti TC" w:hAnsi="Heiti TC" w:eastAsia="Heiti TC"/>
          <w:color w:val="111111"/>
        </w:rPr>
        <w:t>資料來源與使用限制</w:t>
      </w:r>
    </w:p>
    <w:p>
      <w:pPr>
        <w:pStyle w:val="Heading2"/>
      </w:pPr>
      <w:r>
        <w:t>第一次會議結束時，必須產出五件事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確定研究母體：哪些是直接機器人公司、零組件公司、工業自動化公司，以及哪些應移出同業比較。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選出第一輪深度研究的4-5家公司，而不是一次研究所有題材股。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建立共同證據標準：什麼算量產、什麼只是展示或市場敘事。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完成兩人分工、交付格式與截止時間。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定下第二次會議要回答的核心問題，不在第一次會議倉促買進。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8E8"/>
            <w:tcBorders>
              <w:top w:val="single" w:sz="4" w:color="FFF8E8"/>
              <w:start w:val="single" w:sz="24" w:color="9A6A00"/>
              <w:bottom w:val="single" w:sz="4" w:color="FFF8E8"/>
              <w:end w:val="single" w:sz="4" w:color="FFF8E8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9A6A00"/>
                <w:sz w:val="21"/>
              </w:rPr>
              <w:t xml:space="preserve">一句話原則  </w:t>
            </w:r>
            <w:r>
              <w:rPr>
                <w:rFonts w:ascii="Heiti TC" w:hAnsi="Heiti TC" w:eastAsia="Heiti TC"/>
                <w:color w:val="111111"/>
                <w:sz w:val="21"/>
              </w:rPr>
              <w:t>機器人產品存在，不代表機器人營收已經存在；營收成長，也不代表目前估值值得買進。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1"/>
      </w:pPr>
      <w:r>
        <w:t>1. 研究目標與投資邊界</w:t>
      </w:r>
    </w:p>
    <w:p>
      <w:pPr>
        <w:pStyle w:val="Heading2"/>
      </w:pPr>
      <w:r>
        <w:t>1.1 已確定的投資條件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條件</w:t>
            </w:r>
          </w:p>
        </w:tc>
        <w:tc>
          <w:tcPr>
            <w:tcW w:type="dxa" w:w="18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目前設定</w:t>
            </w:r>
          </w:p>
        </w:tc>
        <w:tc>
          <w:tcPr>
            <w:tcW w:type="dxa" w:w="60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對研究方法的影響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投資期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1年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以未來四季訂單、營收、毛利率和EPS為主；三年以上題材只影響估值溢價。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持股數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2-3家公司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研究必須能比較和淘汰，不以蒐集大量概念股為目標。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風險偏好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可接受未成熟與高波動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可納入SYM、早期機器人零組件等高風險候選，但必須要求更高上漲空間。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價格停損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單檔約-30%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需同時搭配基本面停損與部位上限；停損價不能取代研究。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決策方式</w:t>
            </w:r>
          </w:p>
        </w:tc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研究後再買</w:t>
            </w:r>
          </w:p>
        </w:tc>
        <w:tc>
          <w:tcPr>
            <w:tcW w:type="dxa" w:w="6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第一次會議只建制度與任務，不以當天股價波動改變研究順序。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1.2 研究要回答的總問題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E8EEF5"/>
              <w:start w:val="single" w:sz="24" w:color="2E74B5"/>
              <w:bottom w:val="single" w:sz="4" w:color="E8EEF5"/>
              <w:end w:val="single" w:sz="4" w:color="E8EEF5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2E74B5"/>
                <w:sz w:val="21"/>
              </w:rPr>
              <w:t xml:space="preserve">總問題  </w:t>
            </w:r>
            <w:r>
              <w:rPr>
                <w:rFonts w:ascii="Heiti TC" w:hAnsi="Heiti TC" w:eastAsia="Heiti TC"/>
                <w:color w:val="111111"/>
                <w:sz w:val="21"/>
              </w:rPr>
              <w:t>哪2-3家公司最有機會在未來12個月內，同時出現可驗證的營運改善、足以防禦競爭的技術或商業優勢，以及尚未被股價完全反映的報酬空間？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1.3 不在本輪研究範圍內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只因媒體稱為機器人概念股，就假設公司會受惠。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用三至五年後的人形機器人市場規模，直接推算一年目標價。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只看營收成長，不檢查毛利率、現金流、股本稀釋與客戶集中度。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用單一券商目標價代替自己的EPS與估值假設。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以-30%價格停損作為唯一風險管理方法。</w:t>
      </w:r>
    </w:p>
    <w:p>
      <w:pPr>
        <w:pStyle w:val="Heading1"/>
      </w:pPr>
      <w:r>
        <w:t>2. 研究範圍與公司分類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研究前先分清楚公司在價值鏈中的位置。不同位置的營收模式、競爭者、估值方式和風險完全不同，不宜使用同一套機器人敘事。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100"/>
        <w:gridCol w:w="900"/>
        <w:gridCol w:w="5060"/>
      </w:tblGrid>
      <w:tr>
        <w:trPr>
          <w:tblHeader w:val="true"/>
        </w:trPr>
        <w:tc>
          <w:tcPr>
            <w:tcW w:type="dxa" w:w="13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公司</w:t>
            </w:r>
          </w:p>
        </w:tc>
        <w:tc>
          <w:tcPr>
            <w:tcW w:type="dxa" w:w="21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分類</w:t>
            </w:r>
          </w:p>
        </w:tc>
        <w:tc>
          <w:tcPr>
            <w:tcW w:type="dxa" w:w="9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直接度</w:t>
            </w:r>
          </w:p>
        </w:tc>
        <w:tc>
          <w:tcPr>
            <w:tcW w:type="dxa" w:w="50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一年內最重要的驗證變數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直得 1597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精密運動元件＋微型機械手臂／控制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中高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微型手臂是否從產品展示進入客戶量產；線性滑軌與半導體設備需求能否支撐EPS。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大銀微系統 4576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馬達、驅動器、定位平台與單軸機器人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高（零組件）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擴產、精密定位平台與自動化元件訂單能否持續轉成毛利與EPS。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波若威 3163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光通訊元件與模組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低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CPO／800G／1.6T量產節奏；應獨立歸類為AI光通訊，不與機器人零組件直接比較。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ISRG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手術機器人系統＋耗材與服務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手術量、裝機量與每台系統的持續性收入；競爭與醫療監管。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TER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協作機器人／AMR＋半導體測試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中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機器人部門復甦，但整體一年獲利主要仍受AI半導體測試影響。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SYM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AI倉儲機器人與軟體平台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部署速度、系統毛利與Walmart客戶集中風險。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ROK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工業自動化、控制與服務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中低</w:t>
            </w:r>
          </w:p>
        </w:tc>
        <w:tc>
          <w:tcPr>
            <w:tcW w:type="dxa" w:w="5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作為成熟自動化公司與景氣循環估值基準，不是純機器人股。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SourceText"/>
      </w:pPr>
      <w:r>
        <w:rPr>
          <w:rFonts w:ascii="Heiti TC" w:hAnsi="Heiti TC" w:eastAsia="Heiti TC"/>
          <w:color w:val="5F6B76"/>
          <w:sz w:val="18"/>
        </w:rPr>
        <w:t>產品與公司分類來源：公司官網與最新公開財報，詳見资料來源 [S1]-[S3]、[S9]-[S13]。</w:t>
      </w:r>
    </w:p>
    <w:p>
      <w:pPr>
        <w:pStyle w:val="Heading2"/>
      </w:pPr>
      <w:r>
        <w:t>2.1 建議的第一輪研究母體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核心研究池先限制為5家公司：大銀、直得、ISRG、TER、SYM。波若威另建AI光通訊研究表；ROK只作估值與商業模式基準。這樣可以保留台灣零組件、美國成熟商業模式與高成長純題材三種角度。</w:t>
      </w:r>
    </w:p>
    <w:p>
      <w:pPr>
        <w:pStyle w:val="Heading2"/>
      </w:pPr>
      <w:r>
        <w:t>2.2 研究層級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核心候選：已存在營收與獲利，且未來四季有明確催化劑。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高風險候選：商業化仍在擴張期，但若成功，營收與估值可能大幅變化。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比較基準：未必買進，但用來判斷毛利、客戶黏著度、成長品質與合理本益比。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觀察名單：題材吸引人，但目前無法把技術敘事連到未來四季財務數字。</w:t>
      </w:r>
    </w:p>
    <w:p>
      <w:pPr>
        <w:pStyle w:val="Heading1"/>
      </w:pPr>
      <w:r>
        <w:t>3. 一年投資期的判斷原則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8E8"/>
            <w:tcBorders>
              <w:top w:val="single" w:sz="4" w:color="FFF8E8"/>
              <w:start w:val="single" w:sz="24" w:color="9A6A00"/>
              <w:bottom w:val="single" w:sz="4" w:color="FFF8E8"/>
              <w:end w:val="single" w:sz="4" w:color="FFF8E8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9A6A00"/>
                <w:sz w:val="21"/>
              </w:rPr>
              <w:t xml:space="preserve">時間軸切割  </w:t>
            </w:r>
            <w:r>
              <w:rPr>
                <w:rFonts w:ascii="Heiti TC" w:hAnsi="Heiti TC" w:eastAsia="Heiti TC"/>
                <w:color w:val="111111"/>
                <w:sz w:val="21"/>
              </w:rPr>
              <w:t>一年目標價只能主要反映未來12個月EPS或營收。人形機器人三至五年的選擇權可以給予估值溢價，但不能當作基準情境的主要獲利。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3.1 五道投資關卡</w:t>
      </w:r>
    </w:p>
    <w:p>
      <w:pPr>
        <w:spacing w:after="120"/>
      </w:pPr>
      <w:r>
        <w:rPr>
          <w:rFonts w:ascii="Heiti TC" w:hAnsi="Heiti TC" w:eastAsia="Heiti TC"/>
          <w:b/>
          <w:color w:val="1F4D78"/>
        </w:rPr>
        <w:t>關卡1：現在靠什麼賺錢：</w:t>
      </w:r>
      <w:r>
        <w:rPr>
          <w:rFonts w:ascii="Heiti TC" w:hAnsi="Heiti TC" w:eastAsia="Heiti TC"/>
          <w:color w:val="111111"/>
        </w:rPr>
        <w:t>先理解既有產品、客戶、毛利與現金流，避免只研究新故事。</w:t>
      </w:r>
    </w:p>
    <w:p>
      <w:pPr>
        <w:spacing w:after="120"/>
      </w:pPr>
      <w:r>
        <w:rPr>
          <w:rFonts w:ascii="Heiti TC" w:hAnsi="Heiti TC" w:eastAsia="Heiti TC"/>
          <w:b/>
          <w:color w:val="1F4D78"/>
        </w:rPr>
        <w:t>關卡2：未來四季如何成長：</w:t>
      </w:r>
      <w:r>
        <w:rPr>
          <w:rFonts w:ascii="Heiti TC" w:hAnsi="Heiti TC" w:eastAsia="Heiti TC"/>
          <w:color w:val="111111"/>
        </w:rPr>
        <w:t>催化劑必須能寫成出貨、ASP、產能利用率、產品組合或費用率的變化。</w:t>
      </w:r>
    </w:p>
    <w:p>
      <w:pPr>
        <w:spacing w:after="120"/>
      </w:pPr>
      <w:r>
        <w:rPr>
          <w:rFonts w:ascii="Heiti TC" w:hAnsi="Heiti TC" w:eastAsia="Heiti TC"/>
          <w:b/>
          <w:color w:val="1F4D78"/>
        </w:rPr>
        <w:t>關卡3：成長能否持續：</w:t>
      </w:r>
      <w:r>
        <w:rPr>
          <w:rFonts w:ascii="Heiti TC" w:hAnsi="Heiti TC" w:eastAsia="Heiti TC"/>
          <w:color w:val="111111"/>
        </w:rPr>
        <w:t>檢查客戶驗證、切換成本、可靠度、售後服務和軟硬體整合。</w:t>
      </w:r>
    </w:p>
    <w:p>
      <w:pPr>
        <w:spacing w:after="120"/>
      </w:pPr>
      <w:r>
        <w:rPr>
          <w:rFonts w:ascii="Heiti TC" w:hAnsi="Heiti TC" w:eastAsia="Heiti TC"/>
          <w:b/>
          <w:color w:val="1F4D78"/>
        </w:rPr>
        <w:t>關卡4：市場已經期待多少：</w:t>
      </w:r>
      <w:r>
        <w:rPr>
          <w:rFonts w:ascii="Heiti TC" w:hAnsi="Heiti TC" w:eastAsia="Heiti TC"/>
          <w:color w:val="111111"/>
        </w:rPr>
        <w:t>用反推EPS與反推營收判斷股價是否已經包含樂觀情境。</w:t>
      </w:r>
    </w:p>
    <w:p>
      <w:pPr>
        <w:spacing w:after="120"/>
      </w:pPr>
      <w:r>
        <w:rPr>
          <w:rFonts w:ascii="Heiti TC" w:hAnsi="Heiti TC" w:eastAsia="Heiti TC"/>
          <w:b/>
          <w:color w:val="1F4D78"/>
        </w:rPr>
        <w:t>關卡5：錯了如何退出：</w:t>
      </w:r>
      <w:r>
        <w:rPr>
          <w:rFonts w:ascii="Heiti TC" w:hAnsi="Heiti TC" w:eastAsia="Heiti TC"/>
          <w:color w:val="111111"/>
        </w:rPr>
        <w:t>預先寫下價格停損、基本面停損、檢查日期與最大部位。</w:t>
      </w:r>
    </w:p>
    <w:p>
      <w:pPr>
        <w:pStyle w:val="Heading2"/>
      </w:pPr>
      <w:r>
        <w:t>3.2 合格投資論點的句型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E8EEF5"/>
              <w:start w:val="single" w:sz="24" w:color="2E74B5"/>
              <w:bottom w:val="single" w:sz="4" w:color="E8EEF5"/>
              <w:end w:val="single" w:sz="4" w:color="E8EEF5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2E74B5"/>
                <w:sz w:val="21"/>
              </w:rPr>
              <w:t xml:space="preserve">投資論點模板  </w:t>
            </w:r>
            <w:r>
              <w:rPr>
                <w:rFonts w:ascii="Heiti TC" w:hAnsi="Heiti TC" w:eastAsia="Heiti TC"/>
                <w:color w:val="111111"/>
                <w:sz w:val="21"/>
              </w:rPr>
              <w:t>因為［客戶／產業需求］在未來四季推動［產品出貨、價格或產品組合］，公司營收與EPS可望達到［數字］；即使估值從［目前倍數］回到［合理倍數］，基準目標價仍有［至少25%-30%］空間。若［否決條件］發生，論點失效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3.3 題材與證據的分界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39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可接受的證據</w:t>
            </w:r>
          </w:p>
        </w:tc>
        <w:tc>
          <w:tcPr>
            <w:tcW w:type="dxa" w:w="42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對估值的用途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敘事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展覽、研發、合作意向、媒體訪問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只能列為觀察，不直接計入基準營收。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送樣／驗證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客戶測試、認證進度、試產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可放入樂觀情境並設定成功機率。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小量出貨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可辨識營收、交期、重複訂單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部分計入基準情境，但要確認毛利。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量產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明確訂單、產能利用率、營收占比、現金流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可成為基準EPS的主要驅動。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持續收入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耗材、維護、軟體或長期服務</w:t>
            </w:r>
          </w:p>
        </w:tc>
        <w:tc>
          <w:tcPr>
            <w:tcW w:type="dxa" w:w="42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可支持較高且較穩定的估值倍數。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r>
        <w:br w:type="page"/>
      </w:r>
    </w:p>
    <w:p>
      <w:pPr>
        <w:pStyle w:val="Heading1"/>
      </w:pPr>
      <w:r>
        <w:t>4. 第一次會議：90分鐘完整議程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E8EEF5"/>
              <w:start w:val="single" w:sz="24" w:color="2E74B5"/>
              <w:bottom w:val="single" w:sz="4" w:color="E8EEF5"/>
              <w:end w:val="single" w:sz="4" w:color="E8EEF5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2E74B5"/>
                <w:sz w:val="21"/>
              </w:rPr>
              <w:t xml:space="preserve">會議目的  </w:t>
            </w:r>
            <w:r>
              <w:rPr>
                <w:rFonts w:ascii="Heiti TC" w:hAnsi="Heiti TC" w:eastAsia="Heiti TC"/>
                <w:color w:val="111111"/>
                <w:sz w:val="21"/>
              </w:rPr>
              <w:t>不決定今天要買哪一檔；完成共同語言、研究母體、證據標準、分工與下一次交付物。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4.1 會前準備（各30-45分鐘）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50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會前準備</w:t>
            </w:r>
          </w:p>
        </w:tc>
        <w:tc>
          <w:tcPr>
            <w:tcW w:type="dxa" w:w="27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帶進會議的資料</w:t>
            </w:r>
          </w:p>
        </w:tc>
      </w:tr>
      <w:tr>
        <w:trPr/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你：投資／資料</w:t>
            </w:r>
          </w:p>
        </w:tc>
        <w:tc>
          <w:tcPr>
            <w:tcW w:type="dxa" w:w="5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整理每家公司最新股價、近四季EPS、毛利率、營收成長、當前估值與重要財報日期。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一張初步財務表；不需要先下結論。</w:t>
            </w:r>
          </w:p>
        </w:tc>
      </w:tr>
      <w:tr>
        <w:trPr/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朋友：技術／產業</w:t>
            </w:r>
          </w:p>
        </w:tc>
        <w:tc>
          <w:tcPr>
            <w:tcW w:type="dxa" w:w="5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查看直得與大銀產品頁，畫出機器人運動鏈；列出主要中國、美國、日本／歐洲競爭者。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一張產品位置圖＋最想驗證的5個技術問題。</w:t>
            </w:r>
          </w:p>
        </w:tc>
      </w:tr>
      <w:tr>
        <w:trPr/>
        <w:tc>
          <w:tcPr>
            <w:tcW w:type="dxa" w:w="1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共同</w:t>
            </w:r>
          </w:p>
        </w:tc>
        <w:tc>
          <w:tcPr>
            <w:tcW w:type="dxa" w:w="5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各自選一間最看好和一間最懷疑的公司，寫下理由。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會議開始時交換，不先說服對方。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4.2 逐分鐘議程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350"/>
        <w:gridCol w:w="900"/>
        <w:gridCol w:w="4310"/>
        <w:gridCol w:w="2100"/>
      </w:tblGrid>
      <w:tr>
        <w:trPr>
          <w:tblHeader w:val="true"/>
        </w:trPr>
        <w:tc>
          <w:tcPr>
            <w:tcW w:type="dxa" w:w="7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時間</w:t>
            </w:r>
          </w:p>
        </w:tc>
        <w:tc>
          <w:tcPr>
            <w:tcW w:type="dxa" w:w="13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主題</w:t>
            </w:r>
          </w:p>
        </w:tc>
        <w:tc>
          <w:tcPr>
            <w:tcW w:type="dxa" w:w="9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主持</w:t>
            </w:r>
          </w:p>
        </w:tc>
        <w:tc>
          <w:tcPr>
            <w:tcW w:type="dxa" w:w="43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要回答的問題</w:t>
            </w:r>
          </w:p>
        </w:tc>
        <w:tc>
          <w:tcPr>
            <w:tcW w:type="dxa" w:w="21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輸出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0-10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目標與風險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你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一年後希望得到什麼？高波動可接受，但單檔與組合最大損失是多少？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投資邊界確認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10-22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產業鏈地圖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朋友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每家公司位於本體、傳動、馬達／驅動、控制、視覺或應用哪一層？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價值鏈草圖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22-35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公司分類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共同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波若威是否應移出機器人同業？哪些公司只是比較基準？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第一輪5家公司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35-50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技術持續性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朋友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產品成熟度、客戶驗證、切換成本與中美自研風險如何？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技術問題清單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50-65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財務與估值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你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股價目前要求多高的EPS？一年催化劑能否支持？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估值假設清單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65-75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反方挑戰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共同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對方最看好的公司，有哪三個理由可能失敗？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每家公司否決條件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75-85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分工與時程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你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誰負責哪些公司、資料格式、完成日期？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任務表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85-90</w:t>
            </w:r>
          </w:p>
        </w:tc>
        <w:tc>
          <w:tcPr>
            <w:tcW w:type="dxa" w:w="13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確認下次會議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共同</w:t>
            </w:r>
          </w:p>
        </w:tc>
        <w:tc>
          <w:tcPr>
            <w:tcW w:type="dxa" w:w="43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下次要做淘汰、估值，還是買進決策？</w:t>
            </w:r>
          </w:p>
        </w:tc>
        <w:tc>
          <w:tcPr>
            <w:tcW w:type="dxa" w:w="2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下次日期與議程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4.3 建議開場白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AF5EF"/>
            <w:tcBorders>
              <w:top w:val="single" w:sz="4" w:color="EAF5EF"/>
              <w:start w:val="single" w:sz="24" w:color="1E6A43"/>
              <w:bottom w:val="single" w:sz="4" w:color="EAF5EF"/>
              <w:end w:val="single" w:sz="4" w:color="EAF5EF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1E6A43"/>
                <w:sz w:val="21"/>
              </w:rPr>
              <w:t xml:space="preserve">可直接照讀  </w:t>
            </w:r>
            <w:r>
              <w:rPr>
                <w:rFonts w:ascii="Heiti TC" w:hAnsi="Heiti TC" w:eastAsia="Heiti TC"/>
                <w:color w:val="111111"/>
                <w:sz w:val="21"/>
              </w:rPr>
              <w:t>我們今天不是來挑明牌，而是要分辨哪些公司真的靠機器人或自動化賺錢、哪些只是題材；並決定用什麼證據和數字，讓我們在下一次會議能合理地淘汰公司。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4.4 會議規則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先分類，再比較；不同商業模式不使用同一組估值倍數。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每一項重要說法標記為：事實、公司說法、第三方估計、或自己的推論。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不知道的問題直接列入待辦，不用在會議中爭論到有答案。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任何人提出買進時，必須同時說出悲觀情境與否決條件。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會議結束前，每項任務都要有負責人、期限與交付格式。</w:t>
      </w:r>
    </w:p>
    <w:p>
      <w:pPr>
        <w:pStyle w:val="Heading1"/>
      </w:pPr>
      <w:r>
        <w:t>5. 兩人分工與交叉審查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650"/>
        <w:gridCol w:w="2650"/>
        <w:gridCol w:w="2760"/>
      </w:tblGrid>
      <w:tr>
        <w:trPr>
          <w:tblHeader w:val="true"/>
        </w:trPr>
        <w:tc>
          <w:tcPr>
            <w:tcW w:type="dxa" w:w="13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工作流</w:t>
            </w:r>
          </w:p>
        </w:tc>
        <w:tc>
          <w:tcPr>
            <w:tcW w:type="dxa" w:w="26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技術／產業主責（朋友）</w:t>
            </w:r>
          </w:p>
        </w:tc>
        <w:tc>
          <w:tcPr>
            <w:tcW w:type="dxa" w:w="26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投資／資料主責（你）</w:t>
            </w:r>
          </w:p>
        </w:tc>
        <w:tc>
          <w:tcPr>
            <w:tcW w:type="dxa" w:w="27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共同審查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產品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拆解零件、規格、應用與成熟度。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確認產品是否揭露營收或訂單。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技術優勢能否轉成收入？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競爭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比較精度、壽命、可靠度、量產與認證。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比較毛利率、價格壓力與市占證據。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客戶為何不能換供應商？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成長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判斷客戶採用機率與所需時間。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建立出貨、ASP、毛利、EPS模型。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時間是否落在一年投資期內？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風險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找出中國低價、美國自研與技術替代。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找出估值、客戶集中、稀釋與現金流風險。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定義基本面停損。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結論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給技術分數與最大疑點。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給目標價區間與預期報酬。</w:t>
            </w:r>
          </w:p>
        </w:tc>
        <w:tc>
          <w:tcPr>
            <w:tcW w:type="dxa" w:w="2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決定淘汰、觀察或進入投資決策。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5.1 建議的公司分配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朋友主責：直得、大銀的技術與競爭比較；TER／Universal Robots作海外技術參照。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你主責：所有公司的財務共同比較；先完成大銀的一年EPS與估值模型。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高風險專案：你研究SYM的客戶集中與財務；朋友研究其倉儲系統的技術與競爭者。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波若威：你獨立建立AI光通訊研究表，除非找到直接機器人營收證據，否則不放進機器人排名。</w:t>
      </w:r>
    </w:p>
    <w:p>
      <w:pPr>
        <w:pStyle w:val="Heading2"/>
      </w:pPr>
      <w:r>
        <w:t>5.2 交叉審查問題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朋友挑戰你的模型</w:t>
            </w:r>
          </w:p>
        </w:tc>
        <w:tc>
          <w:tcPr>
            <w:tcW w:type="dxa" w:w="468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你挑戰朋友的技術結論</w:t>
            </w:r>
          </w:p>
        </w:tc>
      </w:tr>
      <w:tr>
        <w:trPr/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EPS成長來自真實產能與訂單，還是只把產業成長率套上去？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規格較高，客戶是否真的願意付更高價格？</w:t>
            </w:r>
          </w:p>
        </w:tc>
      </w:tr>
      <w:tr>
        <w:trPr/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毛利率改善需要哪些技術或產品組合條件？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競爭者是否已有足夠可靠、但更便宜的替代品？</w:t>
            </w:r>
          </w:p>
        </w:tc>
      </w:tr>
      <w:tr>
        <w:trPr/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本益比溢價是因為持續收入，還是市場情緒？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技術驗證需要多久，能否在四季內影響財報？</w:t>
            </w:r>
          </w:p>
        </w:tc>
      </w:tr>
      <w:tr>
        <w:trPr/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失敗時EPS和合理倍數會同時下修多少？</w:t>
            </w:r>
          </w:p>
        </w:tc>
        <w:tc>
          <w:tcPr>
            <w:tcW w:type="dxa" w:w="46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公司說量產，究竟是小量、客戶試產還是規模出貨？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1"/>
      </w:pPr>
      <w:r>
        <w:t>6. 技術與競爭力研究方法</w:t>
      </w:r>
    </w:p>
    <w:p>
      <w:pPr>
        <w:pStyle w:val="Heading2"/>
      </w:pPr>
      <w:r>
        <w:t>6.1 產品成熟度階梯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39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可觀察證據</w:t>
            </w:r>
          </w:p>
        </w:tc>
        <w:tc>
          <w:tcPr>
            <w:tcW w:type="dxa" w:w="41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研究處理方式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概念／展示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展覽樣機、研發新聞、規格表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只列為長期選擇權，不放入基準營收。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送樣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客戶測試、樣品收入、合作開發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估計驗證成功率與時間，放入樂觀情境。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驗證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認證進度、測試週期、失效率改善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可小幅計入基準情境，但要保留延遲風險。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小量生產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重複訂單、交期、產線投入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檢查單位經濟與毛利，不只看營收。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量產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產能利用率、明確訂單、客戶擴廠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納入基準EPS，並檢查客戶集中。</w:t>
            </w:r>
          </w:p>
        </w:tc>
      </w:tr>
      <w:tr>
        <w:trPr/>
        <w:tc>
          <w:tcPr>
            <w:tcW w:type="dxa" w:w="13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平台／持續收入</w:t>
            </w:r>
          </w:p>
        </w:tc>
        <w:tc>
          <w:tcPr>
            <w:tcW w:type="dxa" w:w="3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耗材、維護、軟體、升級與多產品導入</w:t>
            </w:r>
          </w:p>
        </w:tc>
        <w:tc>
          <w:tcPr>
            <w:tcW w:type="dxa" w:w="4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可支持較高估值與較長持續性。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6.2 必問的技術問題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產品在機器人或自動化設備裡負責什麼？如果拿掉會發生什麼？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最重要的規格是精度、扭矩密度、負載、速度、壽命、散熱、尺寸，還是控制整合？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公司優勢來自設計、材料、加工、軟體、良率，還是客戶共同開發？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量產時最難維持的是哪個規格？競爭者做出樣品是否等同能大量供貨？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客戶重新設計或更換供應商，需要多久、多少成本與重新認證？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產品平均壽命、維修頻率與替換週期如何？是否有耗材或服務收入？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中國廠商的價格優勢有多大？品質差距正在縮小還是維持？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美國／日本／歐洲設備商自行研發的動機與能力如何？哪些部分最可能垂直整合？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公司有哪些專利、製程know-how、供應鏈或在地服務可以形成防禦？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未來12個月最可能出現的可驗證事件是什麼？</w:t>
      </w:r>
    </w:p>
    <w:p>
      <w:pPr>
        <w:pStyle w:val="Heading2"/>
      </w:pPr>
      <w:r>
        <w:t>6.3 中國低價與美國自研風險矩陣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550"/>
        <w:gridCol w:w="2910"/>
        <w:gridCol w:w="240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風險來源</w:t>
            </w:r>
          </w:p>
        </w:tc>
        <w:tc>
          <w:tcPr>
            <w:tcW w:type="dxa" w:w="25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高風險特徵</w:t>
            </w:r>
          </w:p>
        </w:tc>
        <w:tc>
          <w:tcPr>
            <w:tcW w:type="dxa" w:w="29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較能防禦的特徵</w:t>
            </w:r>
          </w:p>
        </w:tc>
        <w:tc>
          <w:tcPr>
            <w:tcW w:type="dxa" w:w="24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要找的數據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中國低價競爭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標準化零件、規格易複製、客戶只看價格。</w:t>
            </w:r>
          </w:p>
        </w:tc>
        <w:tc>
          <w:tcPr>
            <w:tcW w:type="dxa" w:w="29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高可靠度、客製化、長認證週期、在地服務。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ASP、毛利率、市占、退貨率、交期。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美國／日本自研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零件價值高、戰略安全、核心控制能力。</w:t>
            </w:r>
          </w:p>
        </w:tc>
        <w:tc>
          <w:tcPr>
            <w:tcW w:type="dxa" w:w="29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供應商成本更低、開發速度快、跨客戶規模經濟。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客戶研發投入、供應商名單、共同設計紀錄。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技術替代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單一機構方案、封閉規格、無軟體整合。</w:t>
            </w:r>
          </w:p>
        </w:tc>
        <w:tc>
          <w:tcPr>
            <w:tcW w:type="dxa" w:w="29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平台化、多軸控制、軟硬整合、可升級。</w:t>
            </w:r>
          </w:p>
        </w:tc>
        <w:tc>
          <w:tcPr>
            <w:tcW w:type="dxa" w:w="24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新產品路線、R&amp;D占比、平台相容性。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6.4 技術評分表（1-5分）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900"/>
        <w:gridCol w:w="2150"/>
        <w:gridCol w:w="2150"/>
        <w:gridCol w:w="2160"/>
      </w:tblGrid>
      <w:tr>
        <w:trPr>
          <w:tblHeader w:val="true"/>
        </w:trPr>
        <w:tc>
          <w:tcPr>
            <w:tcW w:type="dxa" w:w="20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指標</w:t>
            </w:r>
          </w:p>
        </w:tc>
        <w:tc>
          <w:tcPr>
            <w:tcW w:type="dxa" w:w="9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權重</w:t>
            </w:r>
          </w:p>
        </w:tc>
        <w:tc>
          <w:tcPr>
            <w:tcW w:type="dxa" w:w="21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1分</w:t>
            </w:r>
          </w:p>
        </w:tc>
        <w:tc>
          <w:tcPr>
            <w:tcW w:type="dxa" w:w="21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3分</w:t>
            </w:r>
          </w:p>
        </w:tc>
        <w:tc>
          <w:tcPr>
            <w:tcW w:type="dxa" w:w="21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5分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產品成熟度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20%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展示／送樣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小量出貨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已量產且重複訂單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性能與可靠度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20%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無可驗證差異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部分規格領先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客戶流程高度依賴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切換成本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15%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標準品隨時替換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需重新調校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需長期重新認證／設計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量產與良率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15%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未知或不穩定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可供貨但擴產待驗證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規模量產紀錄完整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價格與競爭防禦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15%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容易被低價取代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性能可抵部分價差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總持有成本明顯更低</w:t>
            </w:r>
          </w:p>
        </w:tc>
      </w:tr>
      <w:tr>
        <w:trPr/>
        <w:tc>
          <w:tcPr>
            <w:tcW w:type="dxa" w:w="2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平台／持續收入</w:t>
            </w:r>
          </w:p>
        </w:tc>
        <w:tc>
          <w:tcPr>
            <w:tcW w:type="dxa" w:w="9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15%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一次性零件</w:t>
            </w:r>
          </w:p>
        </w:tc>
        <w:tc>
          <w:tcPr>
            <w:tcW w:type="dxa" w:w="2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可交叉銷售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耗材、維護、軟體或生態系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SourceText"/>
      </w:pPr>
      <w:r>
        <w:rPr>
          <w:rFonts w:ascii="Heiti TC" w:hAnsi="Heiti TC" w:eastAsia="Heiti TC"/>
          <w:color w:val="5F6B76"/>
          <w:sz w:val="18"/>
        </w:rPr>
        <w:t>總分只用於比較與暴露分歧，不應把主觀分數當成精確機率。每項評分旁必須附一條來源或待驗證事項。</w:t>
      </w:r>
    </w:p>
    <w:p>
      <w:pPr>
        <w:pStyle w:val="Heading1"/>
      </w:pPr>
      <w:r>
        <w:t>7. 財務預測與一年目標價模型</w:t>
      </w:r>
    </w:p>
    <w:p>
      <w:pPr>
        <w:pStyle w:val="Heading2"/>
      </w:pPr>
      <w:r>
        <w:t>7.1 從營運假設到EPS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預估營收 = 既有產品營收 + 新產品出貨量 × 單價 + 其他成長／衰退。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毛利 = 營收 × 毛利率；毛利率假設要連到產品組合、稼動率、價格與原料成本。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營業利益 = 毛利 - 研發、銷售與管理費用。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稅後淨利 = 營業利益 + 業外損益 - 稅負。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EPS = 歸屬母公司稅後淨利 ÷ 稀釋後平均股數。</w:t>
      </w:r>
    </w:p>
    <w:p>
      <w:pPr>
        <w:pStyle w:val="ListNumber"/>
        <w:numPr>
          <w:ilvl w:val="0"/>
          <w:numId w:val="11"/>
        </w:numPr>
      </w:pPr>
      <w:r>
        <w:rPr>
          <w:rFonts w:ascii="Heiti TC" w:hAnsi="Heiti TC" w:eastAsia="Heiti TC"/>
          <w:color w:val="111111"/>
        </w:rPr>
        <w:t>一年目標價 = 未來12個月EPS × 一年後合理本益比。</w:t>
      </w:r>
    </w:p>
    <w:p>
      <w:pPr>
        <w:pStyle w:val="Heading2"/>
      </w:pPr>
      <w:r>
        <w:t>7.2 為何一定要做三種情境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650"/>
        <w:gridCol w:w="3000"/>
        <w:gridCol w:w="1510"/>
      </w:tblGrid>
      <w:tr>
        <w:trPr>
          <w:tblHeader w:val="true"/>
        </w:trPr>
        <w:tc>
          <w:tcPr>
            <w:tcW w:type="dxa" w:w="12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情境</w:t>
            </w:r>
          </w:p>
        </w:tc>
        <w:tc>
          <w:tcPr>
            <w:tcW w:type="dxa" w:w="36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營運假設</w:t>
            </w:r>
          </w:p>
        </w:tc>
        <w:tc>
          <w:tcPr>
            <w:tcW w:type="dxa" w:w="30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估值假設</w:t>
            </w:r>
          </w:p>
        </w:tc>
        <w:tc>
          <w:tcPr>
            <w:tcW w:type="dxa" w:w="15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用途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悲觀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訂單延遲、毛利下降、費用或稀釋高於預期。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使用歷史較低或成熟同業倍數。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判斷真實下檔是否可能超過-30%。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基準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現有訂單與產能正常轉化，不假設所有新題材成功。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使用歷史中位數或合理同業倍數。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主要決策目標價。</w:t>
            </w:r>
          </w:p>
        </w:tc>
      </w:tr>
      <w:tr>
        <w:trPr/>
        <w:tc>
          <w:tcPr>
            <w:tcW w:type="dxa" w:w="1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樂觀</w:t>
            </w:r>
          </w:p>
        </w:tc>
        <w:tc>
          <w:tcPr>
            <w:tcW w:type="dxa" w:w="3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新產品量產、客戶擴大、毛利與規模效益超預期。</w:t>
            </w:r>
          </w:p>
        </w:tc>
        <w:tc>
          <w:tcPr>
            <w:tcW w:type="dxa" w:w="3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允許成長溢價，但不能無上限。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理解上行選擇權和催化劑。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建議第一版可先使用25%悲觀、50%基準、25%樂觀的機率權重。當證據增加後再調整，而不是為了得到理想目標價反向修改機率。</w:t>
      </w:r>
    </w:p>
    <w:p>
      <w:pPr>
        <w:pStyle w:val="Heading2"/>
      </w:pPr>
      <w:r>
        <w:t>7.3 反推目標價：先問股價要求公司做到什麼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AF5EF"/>
            <w:tcBorders>
              <w:top w:val="single" w:sz="4" w:color="EAF5EF"/>
              <w:start w:val="single" w:sz="24" w:color="1E6A43"/>
              <w:bottom w:val="single" w:sz="4" w:color="EAF5EF"/>
              <w:end w:val="single" w:sz="4" w:color="EAF5EF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1E6A43"/>
                <w:sz w:val="21"/>
              </w:rPr>
              <w:t xml:space="preserve">公式  </w:t>
            </w:r>
            <w:r>
              <w:rPr>
                <w:rFonts w:ascii="Heiti TC" w:hAnsi="Heiti TC" w:eastAsia="Heiti TC"/>
                <w:color w:val="111111"/>
                <w:sz w:val="21"/>
              </w:rPr>
              <w:t>要求的未來EPS = 目前股價 ×（1 + 期望報酬率）÷ 一年後本益比。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7.4 大銀微系統示範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截至2026年上半年，大銀合併營收18.79億元、毛利率37.97%、營益率17.35%、EPS 1.92元；2026年8月24日收盤價約198元。[S6][S7]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若要求一年上漲30%，目標價約為257.4元。不同一年後本益比，代表公司必須達到不同EPS：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100"/>
        <w:gridCol w:w="4060"/>
      </w:tblGrid>
      <w:tr>
        <w:trPr>
          <w:tblHeader w:val="true"/>
        </w:trPr>
        <w:tc>
          <w:tcPr>
            <w:tcW w:type="dxa" w:w="22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一年後本益比</w:t>
            </w:r>
          </w:p>
        </w:tc>
        <w:tc>
          <w:tcPr>
            <w:tcW w:type="dxa" w:w="31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達成257.4元所需EPS</w:t>
            </w:r>
          </w:p>
        </w:tc>
        <w:tc>
          <w:tcPr>
            <w:tcW w:type="dxa" w:w="40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相對上半年年化EPS 3.84元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35倍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7.35元</w:t>
            </w:r>
          </w:p>
        </w:tc>
        <w:tc>
          <w:tcPr>
            <w:tcW w:type="dxa" w:w="4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約需再提高91%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40倍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6.44元</w:t>
            </w:r>
          </w:p>
        </w:tc>
        <w:tc>
          <w:tcPr>
            <w:tcW w:type="dxa" w:w="4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約需再提高68%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45倍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5.72元</w:t>
            </w:r>
          </w:p>
        </w:tc>
        <w:tc>
          <w:tcPr>
            <w:tcW w:type="dxa" w:w="4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約需再提高49%</w:t>
            </w:r>
          </w:p>
        </w:tc>
      </w:tr>
      <w:tr>
        <w:trPr/>
        <w:tc>
          <w:tcPr>
            <w:tcW w:type="dxa" w:w="2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50倍</w:t>
            </w:r>
          </w:p>
        </w:tc>
        <w:tc>
          <w:tcPr>
            <w:tcW w:type="dxa" w:w="3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5.15元</w:t>
            </w:r>
          </w:p>
        </w:tc>
        <w:tc>
          <w:tcPr>
            <w:tcW w:type="dxa" w:w="40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約需再提高34%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FF8E8"/>
            <w:tcBorders>
              <w:top w:val="single" w:sz="4" w:color="FFF8E8"/>
              <w:start w:val="single" w:sz="24" w:color="9A6A00"/>
              <w:bottom w:val="single" w:sz="4" w:color="FFF8E8"/>
              <w:end w:val="single" w:sz="4" w:color="FFF8E8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9A6A00"/>
                <w:sz w:val="21"/>
              </w:rPr>
              <w:t xml:space="preserve">模型真正要回答的問題  </w:t>
            </w:r>
            <w:r>
              <w:rPr>
                <w:rFonts w:ascii="Heiti TC" w:hAnsi="Heiti TC" w:eastAsia="Heiti TC"/>
                <w:color w:val="111111"/>
                <w:sz w:val="21"/>
              </w:rPr>
              <w:t>擴產、定位平台、半導體／矽光子設備與自動化元件，能否讓未來12個月EPS達到約5.2-7.4元？若成長未達預期，市場還願意給35-50倍本益比嗎？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7.5 波若威的反推提醒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波若威2026年上半年EPS約3.50元，2026年8月24日收盤約727元。[S8] 若同樣要求30%報酬，目標約945元；若一年後合理本益比為35倍，所需EPS約27元。這不是一般線性成長，而是對CPO／高速光通訊獲利跳升的高度期待。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一份2026年3月券商報告曾以2027年EPS 25.15元和36倍本益比估算905元目標價。[S14] 這可作為市場假設參考，但不是事實。研究重點應是量產節奏、良率、客戶與毛利是否逐季驗證。</w:t>
      </w:r>
    </w:p>
    <w:p>
      <w:pPr>
        <w:pStyle w:val="Heading2"/>
      </w:pPr>
      <w:r>
        <w:t>7.6 估值倍數怎麼選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先看公司過去3-5年本益比區間，但排除虧損或極端題材期間。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再看商業模式相近的同業，而不是只因同屬機器人題材就比較。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成長率、毛利率、現金流、客戶集中與持續性收入較好，才有理由給溢價。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一年後成長若預計放緩，使用的退出本益比通常應低於目前倍數。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若目標價必須同時假設EPS超預期和本益比不壓縮，模型安全邊際不足。</w:t>
      </w:r>
    </w:p>
    <w:p>
      <w:pPr>
        <w:pStyle w:val="Heading1"/>
      </w:pPr>
      <w:r>
        <w:t>8. 風險控制、停損與部位管理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4" w:color="FDECEC"/>
              <w:start w:val="single" w:sz="24" w:color="9B1C1C"/>
              <w:bottom w:val="single" w:sz="4" w:color="FDECEC"/>
              <w:end w:val="single" w:sz="4" w:color="FDECEC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9B1C1C"/>
                <w:sz w:val="21"/>
              </w:rPr>
              <w:t xml:space="preserve">重要區分  </w:t>
            </w:r>
            <w:r>
              <w:rPr>
                <w:rFonts w:ascii="Heiti TC" w:hAnsi="Heiti TC" w:eastAsia="Heiti TC"/>
                <w:color w:val="9B1C1C"/>
                <w:sz w:val="21"/>
              </w:rPr>
              <w:t>-30%是價格紀律，不是公司風險的上限。財報跳空、流動性不足或重大事件，都可能讓實際損失超過停損價。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8.1 部位大小公式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E8EEF5"/>
            <w:tcBorders>
              <w:top w:val="single" w:sz="4" w:color="E8EEF5"/>
              <w:start w:val="single" w:sz="24" w:color="2E74B5"/>
              <w:bottom w:val="single" w:sz="4" w:color="E8EEF5"/>
              <w:end w:val="single" w:sz="4" w:color="E8EEF5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2E74B5"/>
                <w:sz w:val="21"/>
              </w:rPr>
              <w:t xml:space="preserve">公式  </w:t>
            </w:r>
            <w:r>
              <w:rPr>
                <w:rFonts w:ascii="Heiti TC" w:hAnsi="Heiti TC" w:eastAsia="Heiti TC"/>
                <w:color w:val="111111"/>
                <w:sz w:val="21"/>
              </w:rPr>
              <w:t>單一投資對總資產的最大損失 ≈ 部位占比 × 30%。例如持股占組合10%，跌30%時，組合約損失3%。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開會時還要決定『每個想法最多讓總資產虧多少』。假設容許單一想法使組合損失2%，使用30%停損時，部位上限約為2% ÷ 30% = 6.7%。</w:t>
      </w:r>
    </w:p>
    <w:p>
      <w:pPr>
        <w:pStyle w:val="Heading2"/>
      </w:pPr>
      <w:r>
        <w:t>8.2 三種退出規則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850"/>
        <w:gridCol w:w="301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類型</w:t>
            </w:r>
          </w:p>
        </w:tc>
        <w:tc>
          <w:tcPr>
            <w:tcW w:type="dxa" w:w="48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範例</w:t>
            </w:r>
          </w:p>
        </w:tc>
        <w:tc>
          <w:tcPr>
            <w:tcW w:type="dxa" w:w="30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動作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價格停損</w:t>
            </w:r>
          </w:p>
        </w:tc>
        <w:tc>
          <w:tcPr>
            <w:tcW w:type="dxa" w:w="4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自買進價下跌約30%。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依事先規則退出或至少降至觀察部位，不臨時延後。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基本面停損</w:t>
            </w:r>
          </w:p>
        </w:tc>
        <w:tc>
          <w:tcPr>
            <w:tcW w:type="dxa" w:w="4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客戶驗證延後兩季、訂單取消、毛利無解惡化、重大稀釋。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不等待價格到-30%，立即重估或退出。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時間停損</w:t>
            </w:r>
          </w:p>
        </w:tc>
        <w:tc>
          <w:tcPr>
            <w:tcW w:type="dxa" w:w="48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原定一年內催化劑未出現，故事持續往後延。</w:t>
            </w:r>
          </w:p>
        </w:tc>
        <w:tc>
          <w:tcPr>
            <w:tcW w:type="dxa" w:w="30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在每季財報後檢查；不能用更遠的故事永久延長持有。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8.3 預先設定的基本面警報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機器人／新產品只有展覽消息，兩季內仍無客戶、訂單或收入證據。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營收增長但毛利率連續惡化，顯示價格競爭或產品組合不如預期。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大客戶延後資本支出，或單一客戶／單一應用占比升高。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擴產後稼動率不足、庫存與應收帳款明顯快於營收成長。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公司用增資、可轉債或高額資本支出支持故事，但自由現金流未改善。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中國競爭者通過同等認證，且價格差足以迫使公司降價。</w:t>
      </w:r>
    </w:p>
    <w:p>
      <w:pPr>
        <w:pStyle w:val="Heading1"/>
      </w:pPr>
      <w:r>
        <w:t>9. 公司研究優先順序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以下是研究排序，不是買進排名。排序依據是：能否學到完整方法、是否有一年內可驗證數據，以及是否代表不同風險類型。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1000"/>
        <w:gridCol w:w="3150"/>
        <w:gridCol w:w="3130"/>
        <w:gridCol w:w="1380"/>
      </w:tblGrid>
      <w:tr>
        <w:trPr>
          <w:tblHeader w:val="true"/>
        </w:trPr>
        <w:tc>
          <w:tcPr>
            <w:tcW w:type="dxa" w:w="7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優先</w:t>
            </w:r>
          </w:p>
        </w:tc>
        <w:tc>
          <w:tcPr>
            <w:tcW w:type="dxa" w:w="10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公司</w:t>
            </w:r>
          </w:p>
        </w:tc>
        <w:tc>
          <w:tcPr>
            <w:tcW w:type="dxa" w:w="31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研究理由</w:t>
            </w:r>
          </w:p>
        </w:tc>
        <w:tc>
          <w:tcPr>
            <w:tcW w:type="dxa" w:w="313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本輪最重要問題</w:t>
            </w:r>
          </w:p>
        </w:tc>
        <w:tc>
          <w:tcPr>
            <w:tcW w:type="dxa" w:w="138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暫定角色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1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大銀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已有獲利加速、產品與機器人運動鏈直接相關，適合建立第一個完整模型。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EPS成長可否支撐高估值？成長主要來自半導體還是機器人？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台股核心候選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2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直得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同樣有精密運動與機械手臂布局，可和大銀做技術、商業化及估值對照。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微型手臂何時形成可辨識營收？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台股比較候選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3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ISRG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成熟手術機器人商業模式，有裝機、手術量與耗材／服務的持續性。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品質是否已被估值充分反映？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美股品質基準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4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SYM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高成長倉儲機器人，符合高波動偏好，但客戶集中與執行風險大。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部署成長能否轉為穩定毛利與客戶多元化？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高風險候選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5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TER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持有UR與MiR機器人資產，但公司主要獲利亦受AI半導體測試影響。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是否接受『非純機器人』但獲利來源較多元？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替代／比較候選</w:t>
            </w:r>
          </w:p>
        </w:tc>
      </w:tr>
      <w:tr>
        <w:trPr/>
        <w:tc>
          <w:tcPr>
            <w:tcW w:type="dxa" w:w="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另案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波若威</w:t>
            </w:r>
          </w:p>
        </w:tc>
        <w:tc>
          <w:tcPr>
            <w:tcW w:type="dxa" w:w="31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題材與財務預期強，但屬AI光通訊，分類和競爭者不同。</w:t>
            </w:r>
          </w:p>
        </w:tc>
        <w:tc>
          <w:tcPr>
            <w:tcW w:type="dxa" w:w="313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CPO量產假設是否已被股價提前反映？</w:t>
            </w:r>
          </w:p>
        </w:tc>
        <w:tc>
          <w:tcPr>
            <w:tcW w:type="dxa" w:w="13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AI光通訊專案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9.1 已知的美股營運基準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ISRG：2026年第二季da Vinci與Ion合計手術量年增約16%，da Vinci裝機基礎達11,710台，年增約12%。[S9]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TER：2026年第二季機器人營收約1億美元、年增33.4%，約占公司總營收7.5%；其餘主要來自半導體與產品測試。[S10]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SYM：2026財年第三季營收約7.21億美元；但2025財年Walmart約占營收85%，客戶集中是核心風險。[S11][S12]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ROK：營運分為智慧裝置、軟體與控制、生命週期服務，可作成熟工業自動化商業模式比較。[S13]</w:t>
      </w:r>
    </w:p>
    <w:p>
      <w:pPr>
        <w:pStyle w:val="Heading1"/>
      </w:pPr>
      <w:r>
        <w:t>10. 四週研究計畫與交付物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2650"/>
        <w:gridCol w:w="2050"/>
        <w:gridCol w:w="2050"/>
        <w:gridCol w:w="1510"/>
      </w:tblGrid>
      <w:tr>
        <w:trPr>
          <w:tblHeader w:val="true"/>
        </w:trPr>
        <w:tc>
          <w:tcPr>
            <w:tcW w:type="dxa" w:w="11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階段</w:t>
            </w:r>
          </w:p>
        </w:tc>
        <w:tc>
          <w:tcPr>
            <w:tcW w:type="dxa" w:w="26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主要工作</w:t>
            </w:r>
          </w:p>
        </w:tc>
        <w:tc>
          <w:tcPr>
            <w:tcW w:type="dxa" w:w="20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朋友交付</w:t>
            </w:r>
          </w:p>
        </w:tc>
        <w:tc>
          <w:tcPr>
            <w:tcW w:type="dxa" w:w="205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你交付</w:t>
            </w:r>
          </w:p>
        </w:tc>
        <w:tc>
          <w:tcPr>
            <w:tcW w:type="dxa" w:w="151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7"/>
              </w:rPr>
              <w:t>共同決策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會前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閱讀企劃書、各自選最看好／最懷疑公司。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產品位置草圖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初步財務快照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確認會議問題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第0週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第一次90分鐘會議。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技術問題清單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研究母體與任務表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選4-5家公司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第1週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產品、成熟度、競爭與客戶驗證。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直得vs大銀技術比較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公司財務共同比較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淘汰至少1家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第2週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營收、毛利、EPS與現金流模型。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營運假設可行性審查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三情境估值模型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選3家深度研究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第3週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同業、本益比、反推EPS與風險。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替代風險與技術否決條件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估值區間與部位建議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形成暫定排名</w:t>
            </w:r>
          </w:p>
        </w:tc>
      </w:tr>
      <w:tr>
        <w:trPr/>
        <w:tc>
          <w:tcPr>
            <w:tcW w:type="dxa" w:w="11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7"/>
              </w:rPr>
              <w:t>第4週</w:t>
            </w:r>
          </w:p>
        </w:tc>
        <w:tc>
          <w:tcPr>
            <w:tcW w:type="dxa" w:w="26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模擬投資委員會。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技術辯護／反方</w:t>
            </w:r>
          </w:p>
        </w:tc>
        <w:tc>
          <w:tcPr>
            <w:tcW w:type="dxa" w:w="205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投資論點／反方</w:t>
            </w:r>
          </w:p>
        </w:tc>
        <w:tc>
          <w:tcPr>
            <w:tcW w:type="dxa" w:w="151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7"/>
              </w:rPr>
              <w:t>買進、等待或淘汰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10.1 每家公司標準交付格式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一頁公司研究卡：公司如何賺錢、機器人關聯、技術優勢、最大疑點。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標準表件：三年財務、三情境估值、六類風險、正反論點、催化劑與否決條件。</w:t>
      </w:r>
    </w:p>
    <w:p>
      <w:pPr>
        <w:pStyle w:val="Heading1"/>
        <w:pageBreakBefore/>
      </w:pPr>
      <w:r>
        <w:t>11. 最終選股與投資決策規則</w:t>
      </w:r>
    </w:p>
    <w:p>
      <w:pPr>
        <w:pStyle w:val="Heading2"/>
      </w:pPr>
      <w:r>
        <w:t>11.1 最終評分（每項1-5分）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000"/>
        <w:gridCol w:w="5860"/>
      </w:tblGrid>
      <w:tr>
        <w:trPr>
          <w:tblHeader w:val="true"/>
        </w:trPr>
        <w:tc>
          <w:tcPr>
            <w:tcW w:type="dxa" w:w="2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10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權重</w:t>
            </w:r>
          </w:p>
        </w:tc>
        <w:tc>
          <w:tcPr>
            <w:tcW w:type="dxa" w:w="58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核心問題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一年內財務催化劑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20%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未來四季有什麼能明確推動營收與EPS？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技術與客戶黏著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20%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客戶為何不能改買中國低價或自行研發？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獲利與現金流品質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15%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成長是否伴隨毛利、現金流與股本品質？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估值與安全邊際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20%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基準情境是否仍有25%-30%上漲空間？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風險可監控性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15%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失敗是否能在一至兩季內被看見？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管理層與資訊可信度</w:t>
            </w:r>
          </w:p>
        </w:tc>
        <w:tc>
          <w:tcPr>
            <w:tcW w:type="dxa" w:w="10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10%</w:t>
            </w:r>
          </w:p>
        </w:tc>
        <w:tc>
          <w:tcPr>
            <w:tcW w:type="dxa" w:w="5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公司過去說法是否能被後續數據驗證？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2"/>
      </w:pPr>
      <w:r>
        <w:t>11.2 進入買進討論的最低條件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有一個不依賴所有遠期題材都成功的基準情境。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基準目標價至少有25%-30%上漲空間；樂觀情境最好達60%以上。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悲觀情境與基本面停損已寫清楚，且部位大小能使組合損失可承受。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未來四季至少有兩個可以驗證的催化劑與明確檢查日期。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投資論點不能同時依賴EPS大幅超預期和估值倍數維持歷史高檔。</w:t>
      </w:r>
    </w:p>
    <w:p>
      <w:pPr>
        <w:pStyle w:val="ListBullet"/>
      </w:pPr>
      <w:r>
        <w:rPr>
          <w:rFonts w:ascii="Heiti TC" w:hAnsi="Heiti TC" w:eastAsia="Heiti TC"/>
          <w:color w:val="111111"/>
        </w:rPr>
        <w:t>兩人都能說出最強反方理由；重大分歧被保留在會議紀錄中。</w:t>
      </w:r>
    </w:p>
    <w:p>
      <w:pPr>
        <w:pStyle w:val="Heading2"/>
      </w:pPr>
      <w:r>
        <w:t>11.3 決策分類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070"/>
        <w:gridCol w:w="2790"/>
      </w:tblGrid>
      <w:tr>
        <w:trPr>
          <w:tblHeader w:val="true"/>
        </w:trPr>
        <w:tc>
          <w:tcPr>
            <w:tcW w:type="dxa" w:w="1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決策</w:t>
            </w:r>
          </w:p>
        </w:tc>
        <w:tc>
          <w:tcPr>
            <w:tcW w:type="dxa" w:w="507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定義</w:t>
            </w:r>
          </w:p>
        </w:tc>
        <w:tc>
          <w:tcPr>
            <w:tcW w:type="dxa" w:w="279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下一步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買進／分批</w:t>
            </w:r>
          </w:p>
        </w:tc>
        <w:tc>
          <w:tcPr>
            <w:tcW w:type="dxa" w:w="507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基本面、估值和催化劑同時通過；部位與停損已設定。</w:t>
            </w:r>
          </w:p>
        </w:tc>
        <w:tc>
          <w:tcPr>
            <w:tcW w:type="dxa" w:w="279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建立追蹤表，財報後重估。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等待價格</w:t>
            </w:r>
          </w:p>
        </w:tc>
        <w:tc>
          <w:tcPr>
            <w:tcW w:type="dxa" w:w="507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公司符合條件，但目前預期報酬不足。</w:t>
            </w:r>
          </w:p>
        </w:tc>
        <w:tc>
          <w:tcPr>
            <w:tcW w:type="dxa" w:w="279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設定合理進場區間，不追逐短線題材。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等待證據</w:t>
            </w:r>
          </w:p>
        </w:tc>
        <w:tc>
          <w:tcPr>
            <w:tcW w:type="dxa" w:w="507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估值可能有空間，但量產、客戶或毛利仍未驗證。</w:t>
            </w:r>
          </w:p>
        </w:tc>
        <w:tc>
          <w:tcPr>
            <w:tcW w:type="dxa" w:w="279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列出下一個可驗證事件與日期。</w:t>
            </w:r>
          </w:p>
        </w:tc>
      </w:tr>
      <w:tr>
        <w:trPr/>
        <w:tc>
          <w:tcPr>
            <w:tcW w:type="dxa" w:w="1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淘汰</w:t>
            </w:r>
          </w:p>
        </w:tc>
        <w:tc>
          <w:tcPr>
            <w:tcW w:type="dxa" w:w="507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分類錯誤、商業化太遠、風險不可控或估值需要完美情境。</w:t>
            </w:r>
          </w:p>
        </w:tc>
        <w:tc>
          <w:tcPr>
            <w:tcW w:type="dxa" w:w="279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記錄淘汰理由，避免同一敘事反覆吸引。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r>
        <w:br w:type="page"/>
      </w:r>
    </w:p>
    <w:p>
      <w:pPr>
        <w:pStyle w:val="Heading1"/>
      </w:pPr>
      <w:r>
        <w:t>附錄A：單一公司研究卡（可直接複製）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欄位</w:t>
            </w:r>
          </w:p>
        </w:tc>
        <w:tc>
          <w:tcPr>
            <w:tcW w:type="dxa" w:w="68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填寫內容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公司／代號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一句話說明如何賺錢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機器人／自動化關聯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直接／間接；目前營收證據：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現有獲利主力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未來四季兩個催化劑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1.　　　　　　　　　　　　　　2.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技術優勢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性能／量產／切換成本／軟體整合：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主要競爭者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中國：　　　　　美國：　　　　　日本／歐洲：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最大疑點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悲觀／基準／樂觀EPS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合理估值倍數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悲觀：　　　基準：　　　樂觀：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目標價區間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否決條件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1.　　　　　　　　　　　　　　2.</w:t>
            </w:r>
          </w:p>
        </w:tc>
      </w:tr>
      <w:tr>
        <w:trPr/>
        <w:tc>
          <w:tcPr>
            <w:tcW w:type="dxa" w:w="25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下一個檢查日</w:t>
            </w:r>
          </w:p>
        </w:tc>
        <w:tc>
          <w:tcPr>
            <w:tcW w:type="dxa" w:w="68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pStyle w:val="Heading1"/>
      </w:pPr>
      <w:r>
        <w:t>附錄B：三情境估值表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2220"/>
        <w:gridCol w:w="2220"/>
        <w:gridCol w:w="2220"/>
      </w:tblGrid>
      <w:tr>
        <w:trPr>
          <w:tblHeader w:val="true"/>
        </w:trPr>
        <w:tc>
          <w:tcPr>
            <w:tcW w:type="dxa" w:w="27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222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悲觀</w:t>
            </w:r>
          </w:p>
        </w:tc>
        <w:tc>
          <w:tcPr>
            <w:tcW w:type="dxa" w:w="222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基準</w:t>
            </w:r>
          </w:p>
        </w:tc>
        <w:tc>
          <w:tcPr>
            <w:tcW w:type="dxa" w:w="222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8"/>
              </w:rPr>
              <w:t>樂觀</w:t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未來12個月營收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營收成長率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毛利率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營益率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EPS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一年後本益比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目標價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機率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25%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50%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  <w:t>25%</w:t>
            </w:r>
          </w:p>
        </w:tc>
      </w:tr>
      <w:tr>
        <w:trPr/>
        <w:tc>
          <w:tcPr>
            <w:tcW w:type="dxa" w:w="27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8"/>
              </w:rPr>
              <w:t>催化劑／風險</w:t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  <w:tc>
          <w:tcPr>
            <w:tcW w:type="dxa" w:w="222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 w:val="0"/>
                <w:color w:val="111111"/>
                <w:sz w:val="18"/>
              </w:rPr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pPr>
        <w:spacing w:before="0" w:after="160"/>
      </w:pPr>
      <w:r>
        <w:rPr>
          <w:rFonts w:ascii="Heiti TC" w:hAnsi="Heiti TC" w:eastAsia="Heiti TC"/>
          <w:b/>
          <w:i w:val="0"/>
          <w:color w:val="0B2545"/>
        </w:rPr>
        <w:t>機率加權目標價 = 悲觀目標價 × 悲觀機率 + 基準目標價 × 基準機率 + 樂觀目標價 × 樂觀機率。</w:t>
      </w:r>
    </w:p>
    <w:p>
      <w:pPr>
        <w:pStyle w:val="Heading1"/>
      </w:pPr>
      <w:r>
        <w:t>附錄C：第一次會議紀錄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紀錄項目</w:t>
            </w:r>
          </w:p>
        </w:tc>
        <w:tc>
          <w:tcPr>
            <w:tcW w:type="dxa" w:w="6760"/>
            <w:shd w:fill="F4F6F9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center"/>
            </w:pPr>
            <w:r>
              <w:rPr>
                <w:rFonts w:ascii="Heiti TC" w:hAnsi="Heiti TC" w:eastAsia="Heiti TC"/>
                <w:b/>
                <w:color w:val="0B2545"/>
                <w:sz w:val="19"/>
              </w:rPr>
              <w:t>內容</w:t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會議日期／參與者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確定的研究母體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移出同業比較的公司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目前最看好的公司與理由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你：　　　　　　　　　朋友：</w:t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目前最懷疑的公司與理由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你：　　　　　　　　　朋友：</w:t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最大的三個未知問題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  <w:t>1.　　　　　　　　　2.　　　　　　　　　3.</w:t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研究任務與負責人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交付日期／格式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下次會議日期與目標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/>
                <w:color w:val="111111"/>
                <w:sz w:val="19"/>
              </w:rPr>
              <w:t>本次未解決的分歧</w:t>
            </w:r>
          </w:p>
        </w:tc>
        <w:tc>
          <w:tcPr>
            <w:tcW w:type="dxa" w:w="67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20"/>
              <w:jc w:val="left"/>
            </w:pPr>
            <w:r>
              <w:rPr>
                <w:rFonts w:ascii="Heiti TC" w:hAnsi="Heiti TC" w:eastAsia="Heiti TC"/>
                <w:b w:val="0"/>
                <w:color w:val="111111"/>
                <w:sz w:val="19"/>
              </w:rPr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p>
      <w:r>
        <w:br w:type="page"/>
      </w:r>
    </w:p>
    <w:p>
      <w:pPr>
        <w:pStyle w:val="Heading1"/>
      </w:pPr>
      <w:r>
        <w:t>資料來源與使用限制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本文件中的即時財務與股價資料以2026年8月24日前後可取得資訊為基準。開會前應再次更新股價、最新月營收與財報。公司展望、媒體與券商預估都屬待驗證假設，不應視為保證。</w:t>
      </w:r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[S1] 直得科技官方產品與公司網站 - </w:t>
      </w:r>
      <w:hyperlink r:id="rId11">
        <w:r>
          <w:rPr>
            <w:rFonts w:ascii="Heiti TC" w:hAnsi="Heiti TC" w:eastAsia="Heiti TC"/>
            <w:color w:val="2E74B5"/>
            <w:u w:val="single"/>
          </w:rPr>
          <w:t>https://chieftek.com/zh-hant/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[S2] 大銀微系統官方產品與投資人網站 - </w:t>
      </w:r>
      <w:hyperlink r:id="rId12">
        <w:r>
          <w:rPr>
            <w:rFonts w:ascii="Heiti TC" w:hAnsi="Heiti TC" w:eastAsia="Heiti TC"/>
            <w:color w:val="2E74B5"/>
            <w:u w:val="single"/>
          </w:rPr>
          <w:t>https://www.hiwinmikro.tw/zh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[S3] 波若威官方公司概況 - </w:t>
      </w:r>
      <w:hyperlink r:id="rId13">
        <w:r>
          <w:rPr>
            <w:rFonts w:ascii="Heiti TC" w:hAnsi="Heiti TC" w:eastAsia="Heiti TC"/>
            <w:color w:val="2E74B5"/>
            <w:u w:val="single"/>
          </w:rPr>
          <w:t>https://www.browave.com/investors/Category/20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[S4] 直得2026年上半年財報公告（EPS 1.30元） - </w:t>
      </w:r>
      <w:hyperlink r:id="rId14">
        <w:r>
          <w:rPr>
            <w:rFonts w:ascii="Heiti TC" w:hAnsi="Heiti TC" w:eastAsia="Heiti TC"/>
            <w:color w:val="2E74B5"/>
            <w:u w:val="single"/>
          </w:rPr>
          <w:t>https://m.moneydj.com/f1a.aspx?a=78c10eec-f716-4fef-b000-24aa47d42395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[S5] 直得2026年8月24日市場與近四季財務快照 - </w:t>
      </w:r>
      <w:hyperlink r:id="rId15">
        <w:r>
          <w:rPr>
            <w:rFonts w:ascii="Heiti TC" w:hAnsi="Heiti TC" w:eastAsia="Heiti TC"/>
            <w:color w:val="2E74B5"/>
            <w:u w:val="single"/>
          </w:rPr>
          <w:t>https://info.ifa.ai/tw-stock/1597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[S6] 大銀微系統2026年上半年財報摘要 - </w:t>
      </w:r>
      <w:hyperlink r:id="rId16">
        <w:r>
          <w:rPr>
            <w:rFonts w:ascii="Heiti TC" w:hAnsi="Heiti TC" w:eastAsia="Heiti TC"/>
            <w:color w:val="2E74B5"/>
            <w:u w:val="single"/>
          </w:rPr>
          <w:t>https://ww2.money-link.com.tw/RealtimeNews/NewsContent.aspx?PU=0010&amp;SN=2406735002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[S7] 大銀微系統2026年8月24日股價與最新營收 - </w:t>
      </w:r>
      <w:hyperlink r:id="rId17">
        <w:r>
          <w:rPr>
            <w:rFonts w:ascii="Heiti TC" w:hAnsi="Heiti TC" w:eastAsia="Heiti TC"/>
            <w:color w:val="2E74B5"/>
            <w:u w:val="single"/>
          </w:rPr>
          <w:t>https://tw.stock.yahoo.com/quote/4576.TW/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[S8] 波若威2026年上半年營收盈餘與2026年8月24日股價 - </w:t>
      </w:r>
      <w:hyperlink r:id="rId18">
        <w:r>
          <w:rPr>
            <w:rFonts w:ascii="Heiti TC" w:hAnsi="Heiti TC" w:eastAsia="Heiti TC"/>
            <w:color w:val="2E74B5"/>
            <w:u w:val="single"/>
          </w:rPr>
          <w:t>https://ww2.money-link.com.tw/TWStock/StockBasic.aspx?SymId=3163&amp;TWMId=Basic_salm1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[S9] Intuitive Surgical 2026年第二季財報新聞稿 - </w:t>
      </w:r>
      <w:hyperlink r:id="rId19">
        <w:r>
          <w:rPr>
            <w:rFonts w:ascii="Heiti TC" w:hAnsi="Heiti TC" w:eastAsia="Heiti TC"/>
            <w:color w:val="2E74B5"/>
            <w:u w:val="single"/>
          </w:rPr>
          <w:t>https://investor.intuitivesurgical.com/news-releases/news-release-details/intuitive-announces-second-quarter-earnings-6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[S10] Teradyne 2026年第二季10-Q - </w:t>
      </w:r>
      <w:hyperlink r:id="rId20">
        <w:r>
          <w:rPr>
            <w:rFonts w:ascii="Heiti TC" w:hAnsi="Heiti TC" w:eastAsia="Heiti TC"/>
            <w:color w:val="2E74B5"/>
            <w:u w:val="single"/>
          </w:rPr>
          <w:t>https://investors.teradyne.com/sec-filings/all-sec-filings/content/0001193125-26-327715/ter-20260628.htm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[S11] Symbotic 2026財年第三季業績 - </w:t>
      </w:r>
      <w:hyperlink r:id="rId21">
        <w:r>
          <w:rPr>
            <w:rFonts w:ascii="Heiti TC" w:hAnsi="Heiti TC" w:eastAsia="Heiti TC"/>
            <w:color w:val="2E74B5"/>
            <w:u w:val="single"/>
          </w:rPr>
          <w:t>https://ir.symbotic.com/news-releases/news-release-details/symbotic-reports-third-quarter-fiscal-year-2026-results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[S12] Symbotic 2025年10-K（Walmart客戶集中） - </w:t>
      </w:r>
      <w:hyperlink r:id="rId22">
        <w:r>
          <w:rPr>
            <w:rFonts w:ascii="Heiti TC" w:hAnsi="Heiti TC" w:eastAsia="Heiti TC"/>
            <w:color w:val="2E74B5"/>
            <w:u w:val="single"/>
          </w:rPr>
          <w:t>https://www.sec.gov/Archives/edgar/data/1837240/000183724025000278/sym-20250927.htm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[S13] Rockwell Automation 2025年10-K - </w:t>
      </w:r>
      <w:hyperlink r:id="rId23">
        <w:r>
          <w:rPr>
            <w:rFonts w:ascii="Heiti TC" w:hAnsi="Heiti TC" w:eastAsia="Heiti TC"/>
            <w:color w:val="2E74B5"/>
            <w:u w:val="single"/>
          </w:rPr>
          <w:t>https://www.rockwellautomation.com/content/dam/rockwell-automation/documents/pdf/company/about-us/ir/2025/Q4-FY25-10K.pdf</w:t>
        </w:r>
      </w:hyperlink>
    </w:p>
    <w:p>
      <w:pPr>
        <w:pStyle w:val="SourceText"/>
      </w:pPr>
      <w:r>
        <w:rPr>
          <w:rFonts w:ascii="Heiti TC" w:hAnsi="Heiti TC" w:eastAsia="Heiti TC"/>
          <w:b/>
          <w:color w:val="111111"/>
          <w:sz w:val="18"/>
        </w:rPr>
        <w:t xml:space="preserve">[S14] 福邦證券2026年3月研究情境（波若威，僅供假設比較） - </w:t>
      </w:r>
      <w:hyperlink r:id="rId24">
        <w:r>
          <w:rPr>
            <w:rFonts w:ascii="Heiti TC" w:hAnsi="Heiti TC" w:eastAsia="Heiti TC"/>
            <w:color w:val="2E74B5"/>
            <w:u w:val="single"/>
          </w:rPr>
          <w:t>https://www.gfortune.com.tw/Report/%E7%A6%8F%E9%82%A6%E8%82%A1%E5%B8%82%E6%97%A9%E5%A0%B1%2020260312.pdf</w:t>
        </w:r>
      </w:hyperlink>
    </w:p>
    <w:p>
      <w:pPr>
        <w:pStyle w:val="Heading2"/>
      </w:pPr>
      <w:r>
        <w:t>證據優先順序</w:t>
      </w:r>
    </w:p>
    <w:p>
      <w:pPr>
        <w:spacing w:before="0" w:after="160"/>
      </w:pPr>
      <w:r>
        <w:rPr>
          <w:rFonts w:ascii="Heiti TC" w:hAnsi="Heiti TC" w:eastAsia="Heiti TC"/>
          <w:b w:val="0"/>
          <w:i w:val="0"/>
          <w:color w:val="111111"/>
        </w:rPr>
        <w:t>公司財報／監管申報 &gt; 法說會與公司產品資料 &gt; 產業研究與客戶／競爭者資料 &gt; 媒體報導 &gt; 社群與市場傳聞。第三方預估可用來了解市場期待，但不能取代自己的情境模型。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/>
        <w:tc>
          <w:tcPr>
            <w:tcW w:type="dxa" w:w="9360"/>
            <w:shd w:fill="FDECEC"/>
            <w:tcBorders>
              <w:top w:val="single" w:sz="4" w:color="FDECEC"/>
              <w:start w:val="single" w:sz="24" w:color="9B1C1C"/>
              <w:bottom w:val="single" w:sz="4" w:color="FDECEC"/>
              <w:end w:val="single" w:sz="4" w:color="FDECEC"/>
            </w:tcBorders>
            <w:tcMar>
              <w:top w:w="130" w:type="dxa"/>
              <w:bottom w:w="130" w:type="dxa"/>
              <w:start w:w="160" w:type="dxa"/>
              <w:end w:w="160" w:type="dxa"/>
            </w:tcMar>
          </w:tcPr>
          <w:p>
            <w:pPr>
              <w:pStyle w:val="TableText"/>
              <w:spacing w:after="20"/>
            </w:pPr>
            <w:r>
              <w:rPr>
                <w:rFonts w:ascii="Heiti TC" w:hAnsi="Heiti TC" w:eastAsia="Heiti TC"/>
                <w:b/>
                <w:color w:val="9B1C1C"/>
                <w:sz w:val="21"/>
              </w:rPr>
              <w:t xml:space="preserve">使用限制  </w:t>
            </w:r>
            <w:r>
              <w:rPr>
                <w:rFonts w:ascii="Heiti TC" w:hAnsi="Heiti TC" w:eastAsia="Heiti TC"/>
                <w:color w:val="9B1C1C"/>
                <w:sz w:val="21"/>
              </w:rPr>
              <w:t>本文件用於研究方法與會議規劃，不構成個人化投資建議或報酬保證。高波動股票可能跳空，實際損失可能超過預設停損。</w:t>
            </w:r>
          </w:p>
        </w:tc>
      </w:tr>
    </w:tbl>
    <w:p>
      <w:pPr>
        <w:spacing w:before="0" w:after="40"/>
      </w:pPr>
      <w:r>
        <w:rPr>
          <w:rFonts w:ascii="Heiti TC" w:hAnsi="Heiti TC" w:eastAsia="Heiti TC"/>
          <w:b w:val="0"/>
          <w:i w:val="0"/>
          <w:color w:val="11111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Heiti TC" w:hAnsi="Heiti TC" w:eastAsia="Heiti TC"/>
        <w:color w:val="5F6B76"/>
        <w:sz w:val="18"/>
      </w:rPr>
      <w:t xml:space="preserve">第 </w:t>
    </w:r>
    <w:fldSimple w:instr="PAGE">
      <w:r>
        <w:rPr>
          <w:color w:val="5F6B76"/>
          <w:sz w:val="18"/>
        </w:rPr>
        <w:t>1</w:t>
      </w:r>
    </w:fldSimple>
    <w:r>
      <w:rPr>
        <w:rFonts w:ascii="Heiti TC" w:hAnsi="Heiti TC" w:eastAsia="Heiti TC"/>
        <w:color w:val="5F6B7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TC" w:hAnsi="Heiti TC" w:eastAsia="Heiti TC"/>
        <w:b/>
        <w:color w:val="5F6B76"/>
        <w:sz w:val="18"/>
      </w:rPr>
      <w:t>機器人與自動化股票研究企劃書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Heiti TC" w:hAnsi="Heiti TC" w:eastAsia="Heiti TC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2" w:lineRule="auto" w:before="0"/>
      <w:contextualSpacing/>
    </w:pPr>
    <w:rPr>
      <w:rFonts w:asciiTheme="majorHAnsi" w:eastAsiaTheme="majorEastAsia" w:hAnsiTheme="majorHAnsi" w:cstheme="majorBidi" w:ascii="Heiti TC" w:hAnsi="Heiti TC" w:eastAsia="Heiti T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76" w:lineRule="auto"/>
    </w:pPr>
    <w:rPr>
      <w:rFonts w:asciiTheme="majorHAnsi" w:eastAsiaTheme="majorEastAsia" w:hAnsiTheme="majorHAnsi" w:cstheme="majorBidi" w:ascii="Heiti TC" w:hAnsi="Heiti TC" w:eastAsia="Heiti TC"/>
      <w:b w:val="0"/>
      <w:i/>
      <w:iCs/>
      <w:color w:val="5F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0" w:lineRule="auto"/>
      <w:ind w:left="540" w:hanging="279"/>
      <w:contextualSpacing/>
    </w:pPr>
    <w:rPr>
      <w:rFonts w:ascii="Heiti TC" w:hAnsi="Heiti TC" w:eastAsia="Heiti TC"/>
      <w:color w:val="11111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0" w:lineRule="auto"/>
      <w:ind w:left="540" w:hanging="279"/>
      <w:contextualSpacing/>
    </w:pPr>
    <w:rPr>
      <w:rFonts w:ascii="Heiti TC" w:hAnsi="Heiti TC" w:eastAsia="Heiti TC"/>
      <w:color w:val="11111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before="0" w:after="40" w:line="259" w:lineRule="auto"/>
    </w:pPr>
    <w:rPr>
      <w:rFonts w:ascii="Heiti TC" w:hAnsi="Heiti TC" w:eastAsia="Heiti TC"/>
      <w:color w:val="111111"/>
      <w:sz w:val="19"/>
    </w:rPr>
  </w:style>
  <w:style w:type="paragraph" w:customStyle="1" w:styleId="SourceText">
    <w:name w:val="Source Text"/>
    <w:pPr>
      <w:spacing w:before="80" w:after="80" w:line="264" w:lineRule="auto"/>
    </w:pPr>
    <w:rPr>
      <w:rFonts w:ascii="Heiti TC" w:hAnsi="Heiti TC" w:eastAsia="Heiti TC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ieftek.com/zh-hant/" TargetMode="External"/><Relationship Id="rId12" Type="http://schemas.openxmlformats.org/officeDocument/2006/relationships/hyperlink" Target="https://www.hiwinmikro.tw/zh" TargetMode="External"/><Relationship Id="rId13" Type="http://schemas.openxmlformats.org/officeDocument/2006/relationships/hyperlink" Target="https://www.browave.com/investors/Category/20" TargetMode="External"/><Relationship Id="rId14" Type="http://schemas.openxmlformats.org/officeDocument/2006/relationships/hyperlink" Target="https://m.moneydj.com/f1a.aspx?a=78c10eec-f716-4fef-b000-24aa47d42395" TargetMode="External"/><Relationship Id="rId15" Type="http://schemas.openxmlformats.org/officeDocument/2006/relationships/hyperlink" Target="https://info.ifa.ai/tw-stock/1597" TargetMode="External"/><Relationship Id="rId16" Type="http://schemas.openxmlformats.org/officeDocument/2006/relationships/hyperlink" Target="https://ww2.money-link.com.tw/RealtimeNews/NewsContent.aspx?PU=0010&amp;SN=2406735002" TargetMode="External"/><Relationship Id="rId17" Type="http://schemas.openxmlformats.org/officeDocument/2006/relationships/hyperlink" Target="https://tw.stock.yahoo.com/quote/4576.TW/" TargetMode="External"/><Relationship Id="rId18" Type="http://schemas.openxmlformats.org/officeDocument/2006/relationships/hyperlink" Target="https://ww2.money-link.com.tw/TWStock/StockBasic.aspx?SymId=3163&amp;TWMId=Basic_salm1" TargetMode="External"/><Relationship Id="rId19" Type="http://schemas.openxmlformats.org/officeDocument/2006/relationships/hyperlink" Target="https://investor.intuitivesurgical.com/news-releases/news-release-details/intuitive-announces-second-quarter-earnings-6" TargetMode="External"/><Relationship Id="rId20" Type="http://schemas.openxmlformats.org/officeDocument/2006/relationships/hyperlink" Target="https://investors.teradyne.com/sec-filings/all-sec-filings/content/0001193125-26-327715/ter-20260628.htm" TargetMode="External"/><Relationship Id="rId21" Type="http://schemas.openxmlformats.org/officeDocument/2006/relationships/hyperlink" Target="https://ir.symbotic.com/news-releases/news-release-details/symbotic-reports-third-quarter-fiscal-year-2026-results" TargetMode="External"/><Relationship Id="rId22" Type="http://schemas.openxmlformats.org/officeDocument/2006/relationships/hyperlink" Target="https://www.sec.gov/Archives/edgar/data/1837240/000183724025000278/sym-20250927.htm" TargetMode="External"/><Relationship Id="rId23" Type="http://schemas.openxmlformats.org/officeDocument/2006/relationships/hyperlink" Target="https://www.rockwellautomation.com/content/dam/rockwell-automation/documents/pdf/company/about-us/ir/2025/Q4-FY25-10K.pdf" TargetMode="External"/><Relationship Id="rId24" Type="http://schemas.openxmlformats.org/officeDocument/2006/relationships/hyperlink" Target="https://www.gfortune.com.tw/Report/%E7%A6%8F%E9%82%A6%E8%82%A1%E5%B8%82%E6%97%A9%E5%A0%B1%20202603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機器人與自動化股票研究企劃書</dc:title>
  <dc:subject>第一次研究會議、四週研究流程與一年目標價框架</dc:subject>
  <dc:creator>研究小組</dc:creator>
  <cp:keywords>機器人, 自動化, 股票研究, 目標價, 會議企劃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