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多年跨度生命脈絡匯入測試資料</w:t>
      </w:r>
    </w:p>
    <w:p>
      <w:r>
        <w:t>以下均為假資料，僅用於檢查個案時間軸整理工具。</w:t>
      </w:r>
    </w:p>
    <w:p>
      <w:r>
        <w:t>民國98年至104年，案主在餐飲與清潔工作之間轉換，多為排班或臨時工作，收入不穩，勞保紀錄需要再確認。案主說：「有班就先去做，固定工作怕照顧家裡卡住。」</w:t>
      </w:r>
    </w:p>
    <w:p>
      <w:r>
        <w:t>民國101年至今，案主與伴侶關係斷續，曾共同照顧孩子，也曾因租金與照顧分工發生衝突。需要確認是否仍同住、扶養費與照顧時間。</w:t>
      </w:r>
    </w:p>
    <w:p>
      <w:r>
        <w:t>民國105年至107年，主要照顧者身心狀態不穩，案主常陪同就醫，工作時數下降，交通與醫療支出增加。此段資料涉及健康資訊，應標示高度敏感並只保留工作必要範圍。</w:t>
      </w:r>
    </w:p>
    <w:p>
      <w:r>
        <w:t>民國108年至110年，家庭曾申請租金補貼與急難資源，但文件準備與戶籍居住地不一致造成延遲。需要確認當時是否有社工、承辦窗口或其他資源協助。</w:t>
      </w:r>
    </w:p>
    <w:p>
      <w:r>
        <w:t>民國110年至今，信用卡與親友借貸付款中斷，案主先處理房租、孩子費用與醫療交通，尚未確認債務總額、利率、催收狀態與是否需要轉介法扶或官方協商。</w:t>
      </w:r>
    </w:p>
    <w:p>
      <w:r>
        <w:t>目前需要釐清的決策包括：是否先調整工作時數、是否補租金補貼文件、是否整理債務清冊，以及如何在照顧責任與還款壓力之間排序。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