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</w:p>
    <w:p>
      <w:pPr>
        <w:spacing w:after="80" w:before="80"/>
      </w:pPr>
    </w:p>
    <w:p>
      <w:pPr>
        <w:spacing w:after="200" w:before="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E40AF"/>
          <w:sz w:val="56"/>
          <w:szCs w:val="56"/>
        </w:rPr>
        <w:t xml:space="preserve">時間資產轉換系統</w:t>
      </w:r>
    </w:p>
    <w:p>
      <w:pPr>
        <w:spacing w:after="120" w:before="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D4ED8"/>
          <w:sz w:val="36"/>
          <w:szCs w:val="36"/>
        </w:rPr>
        <w:t xml:space="preserve">規則文件</w:t>
      </w:r>
    </w:p>
    <w:p>
      <w:pPr>
        <w:spacing w:after="480" w:before="0"/>
        <w:jc w:val="center"/>
      </w:pPr>
      <w:r>
        <w:rPr>
          <w:rFonts w:ascii="Microsoft JhengHei" w:cs="Microsoft JhengHei" w:eastAsia="Microsoft JhengHei" w:hAnsi="Microsoft JhengHei"/>
          <w:color w:val="6B7280"/>
          <w:sz w:val="22"/>
          <w:szCs w:val="22"/>
        </w:rPr>
        <w:t xml:space="preserve">專案設計規範 · 語言守則 · 技術慣例 · AI 協作指引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6B7280"/>
          <w:sz w:val="20"/>
          <w:szCs w:val="20"/>
        </w:rPr>
        <w:t xml:space="preserve">最後更新：2026年4月28日  ·  v1.0</w:t>
      </w:r>
    </w:p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1E40AF" w:sz="12"/>
        </w:pBdr>
        <w:spacing w:after="160" w:before="400"/>
        <w:rPr>
          <w:b/>
          <w:bCs/>
          <w:color w:val="1E40AF"/>
          <w:sz w:val="44"/>
          <w:szCs w:val="44"/>
        </w:rPr>
      </w:pPr>
      <w:r>
        <w:t xml:space="preserve">1. 產品核心哲學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此工具的唯一目標是幫助使用者：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JhengHei" w:cs="Microsoft JhengHei" w:eastAsia="Microsoft JhengHei" w:hAnsi="Microsoft JhengHei"/>
          <w:color w:val="374151"/>
          <w:sz w:val="21"/>
          <w:szCs w:val="21"/>
        </w:rPr>
        <w:t xml:space="preserve">看見自己的時間配置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JhengHei" w:cs="Microsoft JhengHei" w:eastAsia="Microsoft JhengHei" w:hAnsi="Microsoft JhengHei"/>
          <w:color w:val="374151"/>
          <w:sz w:val="21"/>
          <w:szCs w:val="21"/>
        </w:rPr>
        <w:t xml:space="preserve">理解正在累積的能力與資源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JhengHei" w:cs="Microsoft JhengHei" w:eastAsia="Microsoft JhengHei" w:hAnsi="Microsoft JhengHei"/>
          <w:color w:val="374151"/>
          <w:sz w:val="21"/>
          <w:szCs w:val="21"/>
        </w:rPr>
        <w:t xml:space="preserve">發現不同選擇的可能性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JhengHei" w:cs="Microsoft JhengHei" w:eastAsia="Microsoft JhengHei" w:hAnsi="Microsoft JhengHei"/>
          <w:color w:val="374151"/>
          <w:sz w:val="21"/>
          <w:szCs w:val="21"/>
        </w:rPr>
        <w:t xml:space="preserve">慢慢靠近理想生活</w:t>
      </w:r>
    </w:p>
    <w:p>
      <w:pPr>
        <w:spacing w:after="80" w:before="80"/>
      </w:pPr>
    </w:p>
    <w:p>
      <w:pPr>
        <w:pBdr>
          <w:left w:val="single" w:color="1E40AF" w:sz="16"/>
        </w:pBdr>
        <w:shd w:color="EFF6FF" w:val="solid"/>
        <w:spacing w:after="80" w:before="80"/>
        <w:ind w:left="200"/>
      </w:pPr>
      <w:r>
        <w:rPr>
          <w:rFonts w:ascii="Microsoft JhengHei" w:cs="Microsoft JhengHei" w:eastAsia="Microsoft JhengHei" w:hAnsi="Microsoft JhengHei"/>
          <w:b/>
          <w:bCs/>
          <w:color w:val="1E40AF"/>
          <w:sz w:val="22"/>
          <w:szCs w:val="22"/>
        </w:rPr>
        <w:t xml:space="preserve">所有呈現以「觀察、理解、引導」為主，絕對禁止任何評分、檢討、責備的語氣。</w:t>
      </w:r>
    </w:p>
    <w:p>
      <w:pPr>
        <w:spacing w:after="80" w:before="80"/>
      </w:pPr>
    </w:p>
    <w:p>
      <w:pPr>
        <w:pStyle w:val="Heading3"/>
        <w:spacing w:after="80" w:before="240"/>
        <w:rPr>
          <w:b/>
          <w:bCs/>
          <w:color w:val="1D4ED8"/>
          <w:sz w:val="24"/>
          <w:szCs w:val="24"/>
        </w:rPr>
      </w:pPr>
      <w:r>
        <w:t xml:space="preserve">三個核心概念轉換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  <w:gridCol w:w="100"/>
      </w:tblGrid>
      <w:tr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輸入</w:t>
            </w:r>
          </w:p>
        </w:tc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→</w:t>
            </w:r>
          </w:p>
        </w:tc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輸出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每日時間記錄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→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六維能力分數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能力分數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→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未來可能性提示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未來可能性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→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具體的經濟效益說明</w:t>
            </w:r>
          </w:p>
        </w:tc>
      </w:tr>
    </w:tbl>
    <w:p>
      <w:pPr>
        <w:pStyle w:val="Heading1"/>
        <w:pBdr>
          <w:bottom w:val="single" w:color="1E40AF" w:sz="12"/>
        </w:pBdr>
        <w:spacing w:after="160" w:before="400"/>
        <w:rPr>
          <w:b/>
          <w:bCs/>
          <w:color w:val="1E40AF"/>
          <w:sz w:val="44"/>
          <w:szCs w:val="44"/>
        </w:rPr>
      </w:pPr>
      <w:r>
        <w:t xml:space="preserve">2. 技術架構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  <w:gridCol w:w="100"/>
      </w:tblGrid>
      <w:tr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層次</w:t>
            </w:r>
          </w:p>
        </w:tc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技術</w:t>
            </w:r>
          </w:p>
        </w:tc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框架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Next.js 16 App Router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Static Export，三個路由：/ /add /report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語言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TypeScript 5.7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ignoreBuildErrors: true（Vercel 部署用）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UI 元件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shadcn/ui（new-york）+ Radix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components.json 管理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樣式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Tailwind CSS 4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@import 'tailwindcss'，app/globals.css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狀態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Zustand 5 + persist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localStorage key: time-records-storage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圖表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Recharts 2.15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WeeklyChart 用；CapabilityChart 用純 CSS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日期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date-fns 4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zhTW locale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字型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Noto Sans TC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400/500/600/700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分析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@vercel/analytics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只在 production 載入</w:t>
            </w:r>
          </w:p>
        </w:tc>
      </w:tr>
    </w:tbl>
    <w:p>
      <w:pPr>
        <w:pStyle w:val="Heading1"/>
        <w:pBdr>
          <w:bottom w:val="single" w:color="1E40AF" w:sz="12"/>
        </w:pBdr>
        <w:spacing w:after="160" w:before="400"/>
        <w:rPr>
          <w:b/>
          <w:bCs/>
          <w:color w:val="1E40AF"/>
          <w:sz w:val="44"/>
          <w:szCs w:val="44"/>
        </w:rPr>
      </w:pPr>
      <w:r>
        <w:t xml:space="preserve">3. 核心資料模型</w:t>
      </w:r>
    </w:p>
    <w:p>
      <w:pPr>
        <w:pStyle w:val="Heading3"/>
        <w:spacing w:after="80" w:before="240"/>
        <w:rPr>
          <w:b/>
          <w:bCs/>
          <w:color w:val="1D4ED8"/>
          <w:sz w:val="24"/>
          <w:szCs w:val="24"/>
        </w:rPr>
      </w:pPr>
      <w:r>
        <w:t xml:space="preserve">TimeRecord 介面</w:t>
      </w:r>
    </w:p>
    <w:p>
      <w:pPr>
        <w:pBdr>
          <w:left w:val="single" w:color="DBEAFE" w:sz="12"/>
        </w:pBdr>
        <w:shd w:color="F1F5F9" w:val="solid"/>
        <w:spacing w:after="80" w:before="80"/>
        <w:ind w:left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interface TimeRecord {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id: string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date: string              // 'yyyy-MM-dd'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activity: string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category: Category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hours: number             // 0.5 起，step 0.5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difficulty: number        // 1–5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hasOutput: boolean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outputDescription?: string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assets: Asset[]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conversionStatus: ConversionStatus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createdAt: string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}</w:t>
      </w:r>
    </w:p>
    <w:p>
      <w:pPr>
        <w:spacing w:after="80" w:before="80"/>
      </w:pPr>
    </w:p>
    <w:p>
      <w:pPr>
        <w:pStyle w:val="Heading3"/>
        <w:spacing w:after="80" w:before="240"/>
        <w:rPr>
          <w:b/>
          <w:bCs/>
          <w:color w:val="1D4ED8"/>
          <w:sz w:val="24"/>
          <w:szCs w:val="24"/>
        </w:rPr>
      </w:pPr>
      <w:r>
        <w:t xml:space="preserve">型別枚舉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</w:tblGrid>
      <w:tr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型別</w:t>
            </w:r>
          </w:p>
        </w:tc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允許值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Category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"工作" | "學習" | "副業" | "人際" | "休息"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ConversionStatus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"尚未轉換" | "已開始嘗試" | "已有成果"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IntangibleAsset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"體力" | "軟實力" | "硬實力"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TangibleAsset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"存款增加" | "收入" | "工具/副業基礎"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  <w:rPr>
          <w:b/>
          <w:bCs/>
          <w:color w:val="1D4ED8"/>
          <w:sz w:val="24"/>
          <w:szCs w:val="24"/>
        </w:rPr>
      </w:pPr>
      <w:r>
        <w:t xml:space="preserve">難度標籤對照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  <w:gridCol w:w="100"/>
      </w:tblGrid>
      <w:tr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數值</w:t>
            </w:r>
          </w:p>
        </w:tc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標籤</w:t>
            </w:r>
          </w:p>
        </w:tc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顏色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1–2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輕鬆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text-muted-foreground（灰）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中等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text-blue-500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4–5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較有挑戰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text-orange-500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  <w:rPr>
          <w:b/>
          <w:bCs/>
          <w:color w:val="1D4ED8"/>
          <w:sz w:val="24"/>
          <w:szCs w:val="24"/>
        </w:rPr>
      </w:pPr>
      <w:r>
        <w:t xml:space="preserve">資產累積點數公式</w:t>
      </w:r>
    </w:p>
    <w:p>
      <w:pPr>
        <w:pBdr>
          <w:left w:val="single" w:color="DBEAFE" w:sz="12"/>
        </w:pBdr>
        <w:shd w:color="F1F5F9" w:val="solid"/>
        <w:spacing w:after="80" w:before="80"/>
        <w:ind w:left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assetPoints = intangibleAssetCount × 1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          + tangibleAssetCount   × 2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          + outputRecordCount    × 1.5</w:t>
      </w:r>
    </w:p>
    <w:p>
      <w:pPr>
        <w:pStyle w:val="Heading1"/>
        <w:pBdr>
          <w:bottom w:val="single" w:color="1E40AF" w:sz="12"/>
        </w:pBdr>
        <w:spacing w:after="160" w:before="400"/>
        <w:rPr>
          <w:b/>
          <w:bCs/>
          <w:color w:val="1E40AF"/>
          <w:sz w:val="44"/>
          <w:szCs w:val="44"/>
        </w:rPr>
      </w:pPr>
      <w:r>
        <w:t xml:space="preserve">4. 六維能力系統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六種能力對應使用者可用於解決經濟問題的核心資本：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能力</w:t>
            </w:r>
          </w:p>
        </w:tc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Emoji</w:t>
            </w:r>
          </w:p>
        </w:tc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計算原料</w:t>
            </w:r>
          </w:p>
        </w:tc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softCap</w:t>
            </w:r>
          </w:p>
        </w:tc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計算公式（raw score）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調整時間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⏱️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工作時數、類別多元性、紀錄筆數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35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workH×0.4 + avgCatPerDay×8 + records×0.5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增加體力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💪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休息時數、運動關鍵字時數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20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restH×1.0 + exerciseH×2.5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強化能力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🧱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工作困難投入值、工作有產出筆數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50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workDiffScore×0.5 + workWithOutput×5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增加技能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📚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學習/副業困難投入值、硬實力標籤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30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learnDiff×1.0 + sideDiff×0.7 + hardSkill×2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運用人脈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🤝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人際時數、人際有產出、軟實力標籤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20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relH×2 + relOutput×8 + softSkill×1.5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增加知識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💡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學習時數、學習困難投入值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25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learnH×1.5 + learnDiff×0.8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  <w:rPr>
          <w:b/>
          <w:bCs/>
          <w:color w:val="1D4ED8"/>
          <w:sz w:val="24"/>
          <w:szCs w:val="24"/>
        </w:rPr>
      </w:pPr>
      <w:r>
        <w:t xml:space="preserve">Sigmoid 平滑公式</w:t>
      </w:r>
    </w:p>
    <w:p>
      <w:pPr>
        <w:pBdr>
          <w:left w:val="single" w:color="DBEAFE" w:sz="12"/>
        </w:pBdr>
        <w:shd w:color="F1F5F9" w:val="solid"/>
        <w:spacing w:after="80" w:before="80"/>
        <w:ind w:left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score = Math.round(100 × ratio / (1 + ratio))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其中  ratio = rawScore / softCap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// 特性：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// ratio = 1 (rawScore = softCap) → score = 50%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// ratio = 2                       → score ≈ 67%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// ratio = 4                       → score ≈ 80%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// 不會輕易達到 100%，也不會長期停在 0%</w:t>
      </w:r>
    </w:p>
    <w:p>
      <w:pPr>
        <w:spacing w:after="80" w:before="80"/>
      </w:pPr>
    </w:p>
    <w:p>
      <w:pPr>
        <w:pStyle w:val="Heading3"/>
        <w:spacing w:after="80" w:before="240"/>
        <w:rPr>
          <w:b/>
          <w:bCs/>
          <w:color w:val="1D4ED8"/>
          <w:sz w:val="24"/>
          <w:szCs w:val="24"/>
        </w:rPr>
      </w:pPr>
      <w:r>
        <w:t xml:space="preserve">能力四個階段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分數</w:t>
            </w:r>
          </w:p>
        </w:tc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調整時間</w:t>
            </w:r>
          </w:p>
        </w:tc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增加體力</w:t>
            </w:r>
          </w:p>
        </w:tc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強化能力</w:t>
            </w:r>
          </w:p>
        </w:tc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增加技能</w:t>
            </w:r>
          </w:p>
        </w:tc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運用人脈</w:t>
            </w:r>
          </w:p>
        </w:tc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增加知識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0–29%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時間覺察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基礎維持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能力基礎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技能探索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人脈基礎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知識積累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30–59%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有意安排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穩定儲備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效率提升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技能成型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信任建立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知識應用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60–79%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靈活調配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精力充沛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競爭優勢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斜槓雛形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機會網絡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深度洞察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80–100%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時間自主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巔峰狀態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領域專家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技能套件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人脈資本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知識資產</w:t>
            </w:r>
          </w:p>
        </w:tc>
      </w:tr>
    </w:tbl>
    <w:p>
      <w:pPr>
        <w:pStyle w:val="Heading1"/>
        <w:pBdr>
          <w:bottom w:val="single" w:color="1E40AF" w:sz="12"/>
        </w:pBdr>
        <w:spacing w:after="160" w:before="400"/>
        <w:rPr>
          <w:b/>
          <w:bCs/>
          <w:color w:val="1E40AF"/>
          <w:sz w:val="44"/>
          <w:szCs w:val="44"/>
        </w:rPr>
      </w:pPr>
      <w:r>
        <w:t xml:space="preserve">5. 時間 → 能力歸因規則（圖表用）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確保同一天時數不重複計算，合計 ≈ 當日實際總時數：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類別</w:t>
            </w:r>
          </w:p>
        </w:tc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⏱️ 調整</w:t>
            </w:r>
          </w:p>
        </w:tc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💪 體力</w:t>
            </w:r>
          </w:p>
        </w:tc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🧱 強化</w:t>
            </w:r>
          </w:p>
        </w:tc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📚 技能</w:t>
            </w:r>
          </w:p>
        </w:tc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🤝 人脈</w:t>
            </w:r>
          </w:p>
        </w:tc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💡 知識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工作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×0.3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×0.7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休息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×1.0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學習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×0.5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×0.5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副業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×1.0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人際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×1.0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說明：工作時數分配給「調整時間 30%」+「強化能力 70%」；學習時數分配給「增加技能 50%」+「增加知識 50%」。</w:t>
      </w:r>
    </w:p>
    <w:p>
      <w:pPr>
        <w:pStyle w:val="Heading1"/>
        <w:pBdr>
          <w:bottom w:val="single" w:color="1E40AF" w:sz="12"/>
        </w:pBdr>
        <w:spacing w:after="160" w:before="400"/>
        <w:rPr>
          <w:b/>
          <w:bCs/>
          <w:color w:val="1E40AF"/>
          <w:sz w:val="44"/>
          <w:szCs w:val="44"/>
        </w:rPr>
      </w:pPr>
      <w:r>
        <w:t xml:space="preserve">6. UI 設計規範</w:t>
      </w:r>
    </w:p>
    <w:p>
      <w:pPr>
        <w:pStyle w:val="Heading3"/>
        <w:spacing w:after="80" w:before="240"/>
        <w:rPr>
          <w:b/>
          <w:bCs/>
          <w:color w:val="1D4ED8"/>
          <w:sz w:val="24"/>
          <w:szCs w:val="24"/>
        </w:rPr>
      </w:pPr>
      <w:r>
        <w:t xml:space="preserve">六維能力配色系統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  <w:gridCol w:w="100"/>
        <w:gridCol w:w="100"/>
      </w:tblGrid>
      <w:tr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能力</w:t>
            </w:r>
          </w:p>
        </w:tc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Tailwind Bar</w:t>
            </w:r>
          </w:p>
        </w:tc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Tailwind Badge</w:t>
            </w:r>
          </w:p>
        </w:tc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Recharts 色碼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⏱️ 調整時間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bg-blue-500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bg-blue-100 text-blue-700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#3b82f6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💪 增加體力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bg-green-500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bg-green-100 text-green-700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#22c55e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🧱 強化能力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bg-orange-500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bg-orange-100 text-orange-700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#f97316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📚 增加技能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bg-purple-500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bg-purple-100 text-purple-700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#a855f7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🤝 運用人脈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bg-amber-500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bg-amber-100 text-amber-700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#f59e0b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💡 增加知識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bg-teal-500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bg-teal-100 text-teal-700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#14b8a6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  <w:rPr>
          <w:b/>
          <w:bCs/>
          <w:color w:val="1D4ED8"/>
          <w:sz w:val="24"/>
          <w:szCs w:val="24"/>
        </w:rPr>
      </w:pPr>
      <w:r>
        <w:t xml:space="preserve">24小時完整度顯示規則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  <w:gridCol w:w="100"/>
      </w:tblGrid>
      <w:tr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完整度</w:t>
            </w:r>
          </w:p>
        </w:tc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標籤</w:t>
            </w:r>
          </w:p>
        </w:tc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顏色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≥ 100%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完整記錄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text-green-600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70–99%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大致完整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text-blue-600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&lt; 70%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可補充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text-orange-500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  <w:rPr>
          <w:b/>
          <w:bCs/>
          <w:color w:val="1D4ED8"/>
          <w:sz w:val="24"/>
          <w:szCs w:val="24"/>
        </w:rPr>
      </w:pPr>
      <w:r>
        <w:t xml:space="preserve">新增成功回饋卡</w:t>
      </w:r>
    </w:p>
    <w:p>
      <w:pPr>
        <w:pBdr>
          <w:left w:val="single" w:color="DBEAFE" w:sz="12"/>
        </w:pBdr>
        <w:shd w:color="F1F5F9" w:val="solid"/>
        <w:spacing w:after="80" w:before="80"/>
        <w:ind w:left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&lt;div className='rounded-lg border border-green-200 bg-green-50 px-4 py-3'&gt;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✨ 這段時間已記錄為你的累積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&lt;/div&gt;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// 持續 4 秒後消失（setTimeout 4000ms）</w:t>
      </w:r>
    </w:p>
    <w:p>
      <w:pPr>
        <w:pStyle w:val="Heading1"/>
        <w:pBdr>
          <w:bottom w:val="single" w:color="1E40AF" w:sz="12"/>
        </w:pBdr>
        <w:spacing w:after="160" w:before="400"/>
        <w:rPr>
          <w:b/>
          <w:bCs/>
          <w:color w:val="1E40AF"/>
          <w:sz w:val="44"/>
          <w:szCs w:val="44"/>
        </w:rPr>
      </w:pPr>
      <w:r>
        <w:t xml:space="preserve">7. 語言與語氣守則</w:t>
      </w:r>
    </w:p>
    <w:p>
      <w:pPr>
        <w:pBdr>
          <w:left w:val="single" w:color="F59E0B" w:sz="16"/>
        </w:pBdr>
        <w:shd w:color="FEF3C7" w:val="solid"/>
        <w:spacing w:after="80" w:before="80"/>
        <w:ind w:left="200"/>
      </w:pPr>
      <w:r>
        <w:rPr>
          <w:rFonts w:ascii="Microsoft JhengHei" w:cs="Microsoft JhengHei" w:eastAsia="Microsoft JhengHei" w:hAnsi="Microsoft JhengHei"/>
          <w:b/>
          <w:bCs/>
          <w:color w:val="92400E"/>
          <w:sz w:val="21"/>
          <w:szCs w:val="21"/>
        </w:rPr>
        <w:t xml:space="preserve">絕對禁用詞彙：評分、扣分、太少、不夠、浪費、機會成本（負面）、低效、應該、必須</w:t>
      </w:r>
    </w:p>
    <w:p>
      <w:pPr>
        <w:spacing w:after="80" w:before="80"/>
      </w:pPr>
    </w:p>
    <w:p>
      <w:pPr>
        <w:pStyle w:val="Heading3"/>
        <w:spacing w:after="80" w:before="240"/>
        <w:rPr>
          <w:b/>
          <w:bCs/>
          <w:color w:val="1D4ED8"/>
          <w:sz w:val="24"/>
          <w:szCs w:val="24"/>
        </w:rPr>
      </w:pPr>
      <w:r>
        <w:t xml:space="preserve">正向替換對照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</w:tblGrid>
      <w:tr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❌ 禁用</w:t>
            </w:r>
          </w:p>
        </w:tc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✅ 替換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尚未啟動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尚未轉換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已產生收入或成果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已有成果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潛在機會成本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資產累積點數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低回報工作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恢復型時間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你應該多運動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可以嘗試加入短時段的運動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學習時數偏低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可以嘗試增加一些學習時間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生產力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成長生產時間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  <w:rPr>
          <w:b/>
          <w:bCs/>
          <w:color w:val="1D4ED8"/>
          <w:sz w:val="24"/>
          <w:szCs w:val="24"/>
        </w:rPr>
      </w:pPr>
      <w:r>
        <w:t xml:space="preserve">建議語句開頭規範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1"/>
          <w:szCs w:val="21"/>
        </w:rPr>
        <w:t xml:space="preserve">✅ </w:t>
      </w:r>
      <w:r>
        <w:rPr>
          <w:rFonts w:ascii="Microsoft JhengHei" w:cs="Microsoft JhengHei" w:eastAsia="Microsoft JhengHei" w:hAnsi="Microsoft JhengHei"/>
          <w:color w:val="16A34A"/>
          <w:sz w:val="21"/>
          <w:szCs w:val="21"/>
        </w:rPr>
        <w:t xml:space="preserve">「可以嘗試…」「可以安排…」「可以加入…」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1"/>
          <w:szCs w:val="21"/>
        </w:rPr>
        <w:t xml:space="preserve">✅ </w:t>
      </w:r>
      <w:r>
        <w:rPr>
          <w:rFonts w:ascii="Microsoft JhengHei" w:cs="Microsoft JhengHei" w:eastAsia="Microsoft JhengHei" w:hAnsi="Microsoft JhengHei"/>
          <w:color w:val="16A34A"/>
          <w:sz w:val="21"/>
          <w:szCs w:val="21"/>
        </w:rPr>
        <w:t xml:space="preserve">「如果想要…，可以…」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1"/>
          <w:szCs w:val="21"/>
        </w:rPr>
        <w:t xml:space="preserve">❌ </w:t>
      </w:r>
      <w:r>
        <w:rPr>
          <w:rFonts w:ascii="Microsoft JhengHei" w:cs="Microsoft JhengHei" w:eastAsia="Microsoft JhengHei" w:hAnsi="Microsoft JhengHei"/>
          <w:color w:val="DC2626"/>
          <w:sz w:val="21"/>
          <w:szCs w:val="21"/>
        </w:rPr>
        <w:t xml:space="preserve">「你應該…」「你必須…」「建議你一定要…」</w:t>
      </w:r>
    </w:p>
    <w:p>
      <w:pPr>
        <w:pStyle w:val="Heading1"/>
        <w:pBdr>
          <w:bottom w:val="single" w:color="1E40AF" w:sz="12"/>
        </w:pBdr>
        <w:spacing w:after="160" w:before="400"/>
        <w:rPr>
          <w:b/>
          <w:bCs/>
          <w:color w:val="1E40AF"/>
          <w:sz w:val="44"/>
          <w:szCs w:val="44"/>
        </w:rPr>
      </w:pPr>
      <w:r>
        <w:t xml:space="preserve">8. 觀察與建議模組（昨日 / 本週 / 本月）</w:t>
      </w:r>
    </w:p>
    <w:p>
      <w:pPr>
        <w:pStyle w:val="Heading3"/>
        <w:spacing w:after="80" w:before="240"/>
        <w:rPr>
          <w:b/>
          <w:bCs/>
          <w:color w:val="1D4ED8"/>
          <w:sz w:val="24"/>
          <w:szCs w:val="24"/>
        </w:rPr>
      </w:pPr>
      <w:r>
        <w:t xml:space="preserve">昨日 Tab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JhengHei" w:cs="Microsoft JhengHei" w:eastAsia="Microsoft JhengHei" w:hAnsi="Microsoft JhengHei"/>
          <w:color w:val="374151"/>
          <w:sz w:val="21"/>
          <w:szCs w:val="21"/>
        </w:rPr>
        <w:t xml:space="preserve">計算函式：getYesterdayInsights(records) → YesterdayInsights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JhengHei" w:cs="Microsoft JhengHei" w:eastAsia="Microsoft JhengHei" w:hAnsi="Microsoft JhengHei"/>
          <w:color w:val="374151"/>
          <w:sz w:val="21"/>
          <w:szCs w:val="21"/>
        </w:rPr>
        <w:t xml:space="preserve">顯示：24小時完整度 + 類別橫條圖 + 正向回饋 + 1條溫和建議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JhengHei" w:cs="Microsoft JhengHei" w:eastAsia="Microsoft JhengHei" w:hAnsi="Microsoft JhengHei"/>
          <w:color w:val="374151"/>
          <w:sz w:val="21"/>
          <w:szCs w:val="21"/>
        </w:rPr>
        <w:t xml:space="preserve">建議優先順序：無休息 &gt; 無學習/工作 &gt; 類別單一 &gt; 預設正向</w:t>
      </w:r>
    </w:p>
    <w:p>
      <w:pPr>
        <w:spacing w:after="80" w:before="80"/>
      </w:pPr>
    </w:p>
    <w:p>
      <w:pPr>
        <w:pStyle w:val="Heading3"/>
        <w:spacing w:after="80" w:before="240"/>
        <w:rPr>
          <w:b/>
          <w:bCs/>
          <w:color w:val="1D4ED8"/>
          <w:sz w:val="24"/>
          <w:szCs w:val="24"/>
        </w:rPr>
      </w:pPr>
      <w:r>
        <w:t xml:space="preserve">本週 Tab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JhengHei" w:cs="Microsoft JhengHei" w:eastAsia="Microsoft JhengHei" w:hAnsi="Microsoft JhengHei"/>
          <w:color w:val="374151"/>
          <w:sz w:val="21"/>
          <w:szCs w:val="21"/>
        </w:rPr>
        <w:t xml:space="preserve">計算函式：getWeeklyInsights(records) → WeeklyInsights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JhengHei" w:cs="Microsoft JhengHei" w:eastAsia="Microsoft JhengHei" w:hAnsi="Microsoft JhengHei"/>
          <w:color w:val="374151"/>
          <w:sz w:val="21"/>
          <w:szCs w:val="21"/>
        </w:rPr>
        <w:t xml:space="preserve">日期範圍：今天往前推 6 天（含今天共 7 天），從 T00:00:00 起算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JhengHei" w:cs="Microsoft JhengHei" w:eastAsia="Microsoft JhengHei" w:hAnsi="Microsoft JhengHei"/>
          <w:color w:val="374151"/>
          <w:sz w:val="21"/>
          <w:szCs w:val="21"/>
        </w:rPr>
        <w:t xml:space="preserve">顯示：本週時數、最投入日、有成果筆數、類別分布、觀察語句、1條建議</w:t>
      </w:r>
    </w:p>
    <w:p>
      <w:pPr>
        <w:spacing w:after="80" w:before="80"/>
      </w:pPr>
    </w:p>
    <w:p>
      <w:pPr>
        <w:pStyle w:val="Heading3"/>
        <w:spacing w:after="80" w:before="240"/>
        <w:rPr>
          <w:b/>
          <w:bCs/>
          <w:color w:val="1D4ED8"/>
          <w:sz w:val="24"/>
          <w:szCs w:val="24"/>
        </w:rPr>
      </w:pPr>
      <w:r>
        <w:t xml:space="preserve">本月 Tab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JhengHei" w:cs="Microsoft JhengHei" w:eastAsia="Microsoft JhengHei" w:hAnsi="Microsoft JhengHei"/>
          <w:color w:val="374151"/>
          <w:sz w:val="21"/>
          <w:szCs w:val="21"/>
        </w:rPr>
        <w:t xml:space="preserve">計算函式：getMonthTypology(metrics) + getMonthSuggestions(metrics)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JhengHei" w:cs="Microsoft JhengHei" w:eastAsia="Microsoft JhengHei" w:hAnsi="Microsoft JhengHei"/>
          <w:color w:val="374151"/>
          <w:sz w:val="21"/>
          <w:szCs w:val="21"/>
        </w:rPr>
        <w:t xml:space="preserve">顯示：時間型態描述（1句）+ 系統觀察（1句）+ 建議（最多 3 條）</w:t>
      </w:r>
    </w:p>
    <w:p>
      <w:pPr>
        <w:spacing w:after="80" w:before="80"/>
      </w:pPr>
    </w:p>
    <w:p>
      <w:pPr>
        <w:pStyle w:val="Heading3"/>
        <w:spacing w:after="80" w:before="240"/>
        <w:rPr>
          <w:b/>
          <w:bCs/>
          <w:color w:val="1D4ED8"/>
          <w:sz w:val="24"/>
          <w:szCs w:val="24"/>
        </w:rPr>
      </w:pPr>
      <w:r>
        <w:t xml:space="preserve">架構原則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所有計算邏輯放 lib/types.ts，元件只做 UI 渲染：</w:t>
      </w:r>
    </w:p>
    <w:p>
      <w:pPr>
        <w:pBdr>
          <w:left w:val="single" w:color="DBEAFE" w:sz="12"/>
        </w:pBdr>
        <w:shd w:color="F1F5F9" w:val="solid"/>
        <w:spacing w:after="80" w:before="80"/>
        <w:ind w:left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✅ 正確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const insights = getYesterdayInsights(records)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// ❌ 錯誤 — 不在元件內直接計算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const recs = records.filter(r =&gt; r.date === yesterday)</w:t>
      </w:r>
    </w:p>
    <w:p>
      <w:pPr>
        <w:pStyle w:val="Heading1"/>
        <w:pBdr>
          <w:bottom w:val="single" w:color="1E40AF" w:sz="12"/>
        </w:pBdr>
        <w:spacing w:after="160" w:before="400"/>
        <w:rPr>
          <w:b/>
          <w:bCs/>
          <w:color w:val="1E40AF"/>
          <w:sz w:val="44"/>
          <w:szCs w:val="44"/>
        </w:rPr>
      </w:pPr>
      <w:r>
        <w:t xml:space="preserve">9. 匯出功能規格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  <w:gridCol w:w="100"/>
        <w:gridCol w:w="100"/>
      </w:tblGrid>
      <w:tr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格式</w:t>
            </w:r>
          </w:p>
        </w:tc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實作方式</w:t>
            </w:r>
          </w:p>
        </w:tc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檔名</w:t>
            </w:r>
          </w:p>
        </w:tc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BOM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CSV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Blob + text/csv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時間資產紀錄_YYYYMM.csv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Word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HTML Blob + application/msword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時間資產報表_YYYYMM.doc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PDF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window.print()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使用者另存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  <w:rPr>
          <w:b/>
          <w:bCs/>
          <w:color w:val="1D4ED8"/>
          <w:sz w:val="24"/>
          <w:szCs w:val="24"/>
        </w:rPr>
      </w:pPr>
      <w:r>
        <w:t xml:space="preserve">Word 報表必含區段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JhengHei" w:cs="Microsoft JhengHei" w:eastAsia="Microsoft JhengHei" w:hAnsi="Microsoft JhengHei"/>
          <w:color w:val="374151"/>
          <w:sz w:val="21"/>
          <w:szCs w:val="21"/>
        </w:rPr>
        <w:t xml:space="preserve">① 本月摘要（總時數、困難投入值、資產點數、轉換率）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JhengHei" w:cs="Microsoft JhengHei" w:eastAsia="Microsoft JhengHei" w:hAnsi="Microsoft JhengHei"/>
          <w:color w:val="374151"/>
          <w:sz w:val="21"/>
          <w:szCs w:val="21"/>
        </w:rPr>
        <w:t xml:space="preserve">② 本月時間型態觀察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JhengHei" w:cs="Microsoft JhengHei" w:eastAsia="Microsoft JhengHei" w:hAnsi="Microsoft JhengHei"/>
          <w:color w:val="374151"/>
          <w:sz w:val="21"/>
          <w:szCs w:val="21"/>
        </w:rPr>
        <w:t xml:space="preserve">③ 努力紀錄清單（完整表格）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JhengHei" w:cs="Microsoft JhengHei" w:eastAsia="Microsoft JhengHei" w:hAnsi="Microsoft JhengHei"/>
          <w:color w:val="374151"/>
          <w:sz w:val="21"/>
          <w:szCs w:val="21"/>
        </w:rPr>
        <w:t xml:space="preserve">④ 來月溫和建議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JhengHei" w:cs="Microsoft JhengHei" w:eastAsia="Microsoft JhengHei" w:hAnsi="Microsoft JhengHei"/>
          <w:color w:val="374151"/>
          <w:sz w:val="21"/>
          <w:szCs w:val="21"/>
        </w:rPr>
        <w:t xml:space="preserve">⑤ 生成時間戳記</w:t>
      </w:r>
    </w:p>
    <w:p>
      <w:pPr>
        <w:spacing w:after="80" w:before="80"/>
      </w:pPr>
    </w:p>
    <w:p>
      <w:pPr>
        <w:pStyle w:val="Heading3"/>
        <w:spacing w:after="80" w:before="240"/>
        <w:rPr>
          <w:b/>
          <w:bCs/>
          <w:color w:val="1D4ED8"/>
          <w:sz w:val="24"/>
          <w:szCs w:val="24"/>
        </w:rPr>
      </w:pPr>
      <w:r>
        <w:t xml:space="preserve">Word 樣式規範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JhengHei" w:cs="Microsoft JhengHei" w:eastAsia="Microsoft JhengHei" w:hAnsi="Microsoft JhengHei"/>
          <w:color w:val="374151"/>
          <w:sz w:val="21"/>
          <w:szCs w:val="21"/>
        </w:rPr>
        <w:t xml:space="preserve">字型：Microsoft JhengHei / Noto Sans TC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JhengHei" w:cs="Microsoft JhengHei" w:eastAsia="Microsoft JhengHei" w:hAnsi="Microsoft JhengHei"/>
          <w:color w:val="374151"/>
          <w:sz w:val="21"/>
          <w:szCs w:val="21"/>
        </w:rPr>
        <w:t xml:space="preserve">標題色：#1e40af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JhengHei" w:cs="Microsoft JhengHei" w:eastAsia="Microsoft JhengHei" w:hAnsi="Microsoft JhengHei"/>
          <w:color w:val="374151"/>
          <w:sz w:val="21"/>
          <w:szCs w:val="21"/>
        </w:rPr>
        <w:t xml:space="preserve">卡片背景：#eff6ff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1"/>
          <w:szCs w:val="21"/>
        </w:rPr>
        <w:t xml:space="preserve">❌ </w:t>
      </w:r>
      <w:r>
        <w:rPr>
          <w:rFonts w:ascii="Microsoft JhengHei" w:cs="Microsoft JhengHei" w:eastAsia="Microsoft JhengHei" w:hAnsi="Microsoft JhengHei"/>
          <w:color w:val="DC2626"/>
          <w:sz w:val="21"/>
          <w:szCs w:val="21"/>
        </w:rPr>
        <w:t xml:space="preserve">不使用紅色、橘色警示色</w:t>
      </w:r>
    </w:p>
    <w:p>
      <w:pPr>
        <w:pStyle w:val="Heading1"/>
        <w:pBdr>
          <w:bottom w:val="single" w:color="1E40AF" w:sz="12"/>
        </w:pBdr>
        <w:spacing w:after="160" w:before="400"/>
        <w:rPr>
          <w:b/>
          <w:bCs/>
          <w:color w:val="1E40AF"/>
          <w:sz w:val="44"/>
          <w:szCs w:val="44"/>
        </w:rPr>
      </w:pPr>
      <w:r>
        <w:t xml:space="preserve">10. 元件開發慣例</w:t>
      </w:r>
    </w:p>
    <w:p>
      <w:pPr>
        <w:pStyle w:val="Heading3"/>
        <w:spacing w:after="80" w:before="240"/>
        <w:rPr>
          <w:b/>
          <w:bCs/>
          <w:color w:val="1D4ED8"/>
          <w:sz w:val="24"/>
          <w:szCs w:val="24"/>
        </w:rPr>
      </w:pPr>
      <w:r>
        <w:t xml:space="preserve">計算層與 UI 層分離</w:t>
      </w:r>
    </w:p>
    <w:p>
      <w:pPr>
        <w:pBdr>
          <w:left w:val="single" w:color="DBEAFE" w:sz="12"/>
        </w:pBdr>
        <w:shd w:color="F1F5F9" w:val="solid"/>
        <w:spacing w:after="80" w:before="80"/>
        <w:ind w:left="24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✅ 正確：lib/types.ts 負責計算，元件只消費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const capabilities = calculateCapabilities(records)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const insights     = getWeeklyInsights(records)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// ❌ 錯誤：不在元件內直接計算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const workH = records.filter(r =&gt; r.category === '工作').reduce(...)</w:t>
      </w:r>
    </w:p>
    <w:p>
      <w:pPr>
        <w:spacing w:after="80" w:before="80"/>
      </w:pPr>
    </w:p>
    <w:p>
      <w:pPr>
        <w:pStyle w:val="Heading3"/>
        <w:spacing w:after="80" w:before="240"/>
        <w:rPr>
          <w:b/>
          <w:bCs/>
          <w:color w:val="1D4ED8"/>
          <w:sz w:val="24"/>
          <w:szCs w:val="24"/>
        </w:rPr>
      </w:pPr>
      <w:r>
        <w:t xml:space="preserve">圖表技術選擇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  <w:gridCol w:w="100"/>
      </w:tblGrid>
      <w:tr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情境</w:t>
            </w:r>
          </w:p>
        </w:tc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技術</w:t>
            </w:r>
          </w:p>
        </w:tc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範例元件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靜態橫條比較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純 CSS（Tailwind 寬度 %）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capability-chart.tsx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時間序列趨勢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Recharts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weekly-chart.tsx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  <w:rPr>
          <w:b/>
          <w:bCs/>
          <w:color w:val="1D4ED8"/>
          <w:sz w:val="24"/>
          <w:szCs w:val="24"/>
        </w:rPr>
      </w:pPr>
      <w:r>
        <w:t xml:space="preserve">命名與結構規範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JhengHei" w:cs="Microsoft JhengHei" w:eastAsia="Microsoft JhengHei" w:hAnsi="Microsoft JhengHei"/>
          <w:color w:val="374151"/>
          <w:sz w:val="21"/>
          <w:szCs w:val="21"/>
        </w:rPr>
        <w:t xml:space="preserve">元件檔案：kebab-case.tsx（如 daily-completion.tsx）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JhengHei" w:cs="Microsoft JhengHei" w:eastAsia="Microsoft JhengHei" w:hAnsi="Microsoft JhengHei"/>
          <w:color w:val="374151"/>
          <w:sz w:val="21"/>
          <w:szCs w:val="21"/>
        </w:rPr>
        <w:t xml:space="preserve">導出：Named export（非 default export）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JhengHei" w:cs="Microsoft JhengHei" w:eastAsia="Microsoft JhengHei" w:hAnsi="Microsoft JhengHei"/>
          <w:color w:val="374151"/>
          <w:sz w:val="21"/>
          <w:szCs w:val="21"/>
        </w:rPr>
        <w:t xml:space="preserve">Props 介面：元件名 + Props（如 DailyCompletionProps）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JhengHei" w:cs="Microsoft JhengHei" w:eastAsia="Microsoft JhengHei" w:hAnsi="Microsoft JhengHei"/>
          <w:color w:val="374151"/>
          <w:sz w:val="21"/>
          <w:szCs w:val="21"/>
        </w:rPr>
        <w:t xml:space="preserve">所有使用 Zustand / useState / useEffect 的元件頂部必須加 "use client"</w:t>
      </w:r>
    </w:p>
    <w:p>
      <w:pPr>
        <w:pStyle w:val="Heading1"/>
        <w:pBdr>
          <w:bottom w:val="single" w:color="1E40AF" w:sz="12"/>
        </w:pBdr>
        <w:spacing w:after="160" w:before="400"/>
        <w:rPr>
          <w:b/>
          <w:bCs/>
          <w:color w:val="1E40AF"/>
          <w:sz w:val="44"/>
          <w:szCs w:val="44"/>
        </w:rPr>
      </w:pPr>
      <w:r>
        <w:t xml:space="preserve">11. 規則檔案清單（.cursor/rules/）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  <w:gridCol w:w="100"/>
        <w:gridCol w:w="100"/>
      </w:tblGrid>
      <w:tr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檔案</w:t>
            </w:r>
          </w:p>
        </w:tc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alwaysApply</w:t>
            </w:r>
          </w:p>
        </w:tc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globs</w:t>
            </w:r>
          </w:p>
        </w:tc>
        <w:tc>
          <w:tcPr>
            <w:shd w:color="DBEAFE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40A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project-core.mdc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✅ true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核心架構、資料模型、六維能力、歸因規則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component-patterns.mdc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**/*.tsx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元件設計規範、配色系統、語言守則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reflection-insights.mdc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components/reflection-insights.tsx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三個 Tab 的計算與語氣規則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export-conventions.mdc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components/export-button.tsx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74151"/>
                <w:sz w:val="20"/>
                <w:szCs w:val="20"/>
              </w:rPr>
              <w:t xml:space="preserve">CSV / Word / PDF 匯出規格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Bdr>
          <w:top w:val="single" w:color="DBEAFE" w:sz="6"/>
        </w:pBdr>
        <w:spacing w:before="200"/>
        <w:jc w:val="center"/>
      </w:pPr>
      <w:r>
        <w:rPr>
          <w:rFonts w:ascii="Microsoft JhengHei" w:cs="Microsoft JhengHei" w:eastAsia="Microsoft JhengHei" w:hAnsi="Microsoft JhengHei"/>
          <w:color w:val="6B7280"/>
          <w:sz w:val="18"/>
          <w:szCs w:val="18"/>
        </w:rPr>
        <w:t xml:space="preserve">時間資產轉換與生活觀察系統  ·  規則文件 v1.0  ·  2026年4月28日</w:t>
      </w:r>
    </w:p>
    <w:sectPr>
      <w:headerReference w:type="default" r:id="rId7"/>
      <w:footerReference w:type="default" r:id="rId8"/>
      <w:pgSz w:w="11906" w:h="16838" w:orient="portrait"/>
      <w:pgMar w:top="1584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6B7280"/>
        <w:sz w:val="18"/>
        <w:szCs w:val="18"/>
      </w:rPr>
      <w:t xml:space="preserve">時間資產轉換系統規則文件 v1.0  ·  2026年4月28日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BEAFE" w:sz="6"/>
      </w:pBdr>
      <w:jc w:val="right"/>
    </w:pPr>
    <w:r>
      <w:rPr>
        <w:rFonts w:ascii="Microsoft JhengHei" w:cs="Microsoft JhengHei" w:eastAsia="Microsoft JhengHei" w:hAnsi="Microsoft JhengHei"/>
        <w:color w:val="6B7280"/>
        <w:sz w:val="18"/>
        <w:szCs w:val="18"/>
      </w:rPr>
      <w:t xml:space="preserve">時間資產轉換系統 — 規則文件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2026-04-28T02:36:20.934Z</dcterms:created>
  <dcterms:modified xsi:type="dcterms:W3CDTF">2026-04-28T02:36:20.945Z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