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9.jpg" ContentType="image/jpeg"/>
  <Override PartName="/word/media/rId57.png" ContentType="image/png"/>
  <Override PartName="/word/media/rId58.png" ContentType="image/png"/>
  <Override PartName="/word/media/rId41.png" ContentType="image/png"/>
  <Override PartName="/word/media/rId42.png" ContentType="image/png"/>
  <Override PartName="/word/media/rId32.png" ContentType="image/png"/>
  <Override PartName="/word/media/rId33.png" ContentType="image/png"/>
  <Override PartName="/word/media/rId56.png" ContentType="image/png"/>
  <Override PartName="/word/media/rId35.png" ContentType="image/png"/>
  <Override PartName="/word/media/rId36.png" ContentType="image/png"/>
  <Override PartName="/word/media/rId39.png" ContentType="image/png"/>
  <Override PartName="/word/media/rId40.png" ContentType="image/png"/>
  <Override PartName="/word/media/rId30.png" ContentType="image/png"/>
  <Override PartName="/word/media/rId31.png" ContentType="image/png"/>
  <Override PartName="/word/media/rId48.png" ContentType="image/png"/>
  <Override PartName="/word/media/rId49.png" ContentType="image/png"/>
  <Override PartName="/word/media/rId54.png" ContentType="image/png"/>
  <Override PartName="/word/media/rId51.png" ContentType="image/png"/>
  <Override PartName="/word/media/rId52.png" ContentType="image/png"/>
  <Override PartName="/word/media/rId34.png" ContentType="image/png"/>
  <Override PartName="/word/media/rId63.png" ContentType="image/png"/>
  <Override PartName="/word/media/rId64.png" ContentType="image/png"/>
  <Override PartName="/word/media/rId60.png" ContentType="image/png"/>
  <Override PartName="/word/media/rId61.png" ContentType="image/png"/>
  <Override PartName="/word/media/rId45.png" ContentType="image/png"/>
  <Override PartName="/word/media/rId46.png" ContentType="image/png"/>
  <Override PartName="/word/media/rId59.png" ContentType="image/png"/>
  <Override PartName="/word/media/rId37.png" ContentType="image/png"/>
  <Override PartName="/word/media/rId43.png" ContentType="image/png"/>
  <Override PartName="/word/media/rId53.png" ContentType="image/png"/>
  <Override PartName="/word/media/rId50.png" ContentType="image/png"/>
  <Override PartName="/word/media/rId65.png" ContentType="image/png"/>
  <Override PartName="/word/media/rId62.png" ContentType="image/png"/>
  <Override PartName="/word/media/rId47.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2021-09-01</w:t>
      </w:r>
    </w:p>
    <w:bookmarkStart w:id="22" w:name="presentación"/>
    <w:p>
      <w:pPr>
        <w:pStyle w:val="Ttulo1"/>
      </w:pPr>
      <w:r>
        <w:t xml:space="preserve">Presentación</w:t>
      </w:r>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0">
        <w:r>
          <w:rPr>
            <w:rStyle w:val="Hipervnculo"/>
          </w:rPr>
          <w:t xml:space="preserve">ELSOC</w:t>
        </w:r>
      </w:hyperlink>
      <w:r>
        <w:t xml:space="preserve">, producida por</w:t>
      </w:r>
      <w:r>
        <w:t xml:space="preserve"> </w:t>
      </w:r>
      <w:hyperlink r:id="rId21">
        <w:r>
          <w:rPr>
            <w:rStyle w:val="Hipervnculo"/>
          </w:rPr>
          <w:t xml:space="preserve">COES</w:t>
        </w:r>
      </w:hyperlink>
    </w:p>
    <w:p>
      <w:pPr>
        <w:pStyle w:val="Textoindependiente"/>
      </w:pPr>
      <w:r>
        <w:t xml:space="preserve">Autores:</w:t>
      </w:r>
    </w:p>
    <w:p>
      <w:pPr>
        <w:numPr>
          <w:ilvl w:val="0"/>
          <w:numId w:val="1001"/>
        </w:numPr>
        <w:pStyle w:val="Compact"/>
      </w:pPr>
      <w:r>
        <w:t xml:space="preserve">Juan Carlos Castillo</w:t>
      </w:r>
    </w:p>
    <w:p>
      <w:pPr>
        <w:numPr>
          <w:ilvl w:val="0"/>
          <w:numId w:val="1001"/>
        </w:numPr>
        <w:pStyle w:val="Compact"/>
      </w:pPr>
      <w:r>
        <w:t xml:space="preserve">Emmanuelle Barozet</w:t>
      </w:r>
    </w:p>
    <w:p>
      <w:pPr>
        <w:numPr>
          <w:ilvl w:val="0"/>
          <w:numId w:val="1001"/>
        </w:numPr>
        <w:pStyle w:val="Compact"/>
      </w:pPr>
      <w:r>
        <w:t xml:space="preserve">Vicente Espinoza</w:t>
      </w:r>
    </w:p>
    <w:p>
      <w:pPr>
        <w:pStyle w:val="FirstParagraph"/>
      </w:pPr>
      <w:r>
        <w:t xml:space="preserve">Ayudante de investigación: Kevin Carrasco.</w:t>
      </w:r>
    </w:p>
    <w:bookmarkEnd w:id="22"/>
    <w:bookmarkStart w:id="28" w:name="introducción"/>
    <w:p>
      <w:pPr>
        <w:pStyle w:val="Ttulo1"/>
      </w:pPr>
      <w:r>
        <w:t xml:space="preserve">Introducción</w:t>
      </w:r>
    </w:p>
    <w:p>
      <w:pPr>
        <w:pStyle w:val="FirstParagraph"/>
      </w:pPr>
      <w:r>
        <w:t xml:space="preserve">El presente estudio tiene por objetivo analizar los cambios en la cohesión social en Chile en los últimos años. Para ello toma como punto de partida la definición de cohesión social de la CEPAL</w:t>
      </w:r>
      <w:r>
        <w:t xml:space="preserve"> </w:t>
      </w:r>
      <w:r>
        <w:t xml:space="preserve">(</w:t>
      </w:r>
      <w:hyperlink w:anchor="ref-cepal_Cohesion_2021">
        <w:r>
          <w:rPr>
            <w:rStyle w:val="Hipervnculo"/>
            <w:bCs/>
            <w:b/>
          </w:rPr>
          <w:t xml:space="preserve">cepal_Cohesion_2021?</w:t>
        </w:r>
      </w:hyperlink>
      <w:r>
        <w:t xml:space="preserve">)</w:t>
      </w:r>
      <w:r>
        <w:t xml:space="preserve"> </w:t>
      </w:r>
      <w:r>
        <w:t xml:space="preserve">que señala que:</w:t>
      </w:r>
    </w:p>
    <w:p>
      <w:pPr>
        <w:pStyle w:val="Textoindependiente"/>
      </w:pPr>
      <w:r>
        <w:rPr>
          <w:bCs/>
          <w:b/>
        </w:rPr>
        <w:t xml:space="preserve">“</w:t>
      </w:r>
      <w:r>
        <w:rPr>
          <w:bCs/>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marc0 de un Estado de derecho y una democracia de calidad</w:t>
      </w:r>
      <w:r>
        <w:rPr>
          <w:bCs/>
          <w:b/>
        </w:rPr>
        <w:t xml:space="preserve">”</w:t>
      </w:r>
      <w:r>
        <w:t xml:space="preserve">.</w:t>
      </w:r>
      <w:r>
        <w:t xml:space="preserve"> </w:t>
      </w:r>
      <w:r>
        <w:t xml:space="preserve">(</w:t>
      </w:r>
      <w:hyperlink w:anchor="ref-cepal_Cohesion_2021">
        <w:r>
          <w:rPr>
            <w:rStyle w:val="Hipervnculo"/>
            <w:bCs/>
            <w:b/>
          </w:rPr>
          <w:t xml:space="preserve">cepal_Cohesion_2021?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3">
        <w:r>
          <w:rPr>
            <w:rStyle w:val="Hipervnculo"/>
          </w:rPr>
          <w:t xml:space="preserve">Radar de la Cohesión Social</w:t>
        </w:r>
      </w:hyperlink>
      <w:r>
        <w:t xml:space="preserve"> </w:t>
      </w:r>
      <w:r>
        <w:t xml:space="preserve">y las del</w:t>
      </w:r>
      <w:r>
        <w:t xml:space="preserve"> </w:t>
      </w:r>
      <w:hyperlink r:id="rId24">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w:t>
      </w:r>
      <w:hyperlink w:anchor="ref-valenzuela_vinculos_2008">
        <w:r>
          <w:rPr>
            <w:rStyle w:val="Hipervnculo"/>
          </w:rPr>
          <w:t xml:space="preserve">Valenzuela et al., 2008</w:t>
        </w:r>
      </w:hyperlink>
      <w:r>
        <w:t xml:space="preserve">)</w:t>
      </w:r>
      <w:r>
        <w:t xml:space="preserve"> </w:t>
      </w:r>
      <w:r>
        <w:t xml:space="preserve">y</w:t>
      </w:r>
      <w:r>
        <w:t xml:space="preserve"> </w:t>
      </w:r>
      <w:hyperlink r:id="rId20">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Argentina, Brasil, Colombia, Chile, Guatemala, México y Perú.</w:t>
      </w:r>
      <w:r>
        <w:t xml:space="preserve">”</w:t>
      </w:r>
      <w:r>
        <w:t xml:space="preserve"> </w:t>
      </w:r>
      <w:r>
        <w:t xml:space="preserve">(</w:t>
      </w:r>
      <w:hyperlink w:anchor="ref-valenzuela_vinculos_2008">
        <w:r>
          <w:rPr>
            <w:rStyle w:val="Hipervnculo"/>
          </w:rPr>
          <w:t xml:space="preserve">Valenzuela et al., 2008, p. 5</w:t>
        </w:r>
      </w:hyperlink>
      <w:r>
        <w:t xml:space="preserve">)</w:t>
      </w:r>
      <w:r>
        <w:t xml:space="preserve">. Los resultados de esta encuesta han sido publicados en libros como</w:t>
      </w:r>
      <w:r>
        <w:t xml:space="preserve"> </w:t>
      </w:r>
      <w:hyperlink r:id="rId25">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6">
        <w:r>
          <w:rPr>
            <w:rStyle w:val="Hipervnculo"/>
          </w:rPr>
          <w:t xml:space="preserve">“</w:t>
        </w:r>
        <w:r>
          <w:rPr>
            <w:rStyle w:val="Hipervnculo"/>
          </w:rPr>
          <w:t xml:space="preserve">Redes, Estado y Mercado</w:t>
        </w:r>
        <w:r>
          <w:rPr>
            <w:rStyle w:val="Hipervnculo"/>
          </w:rPr>
          <w:t xml:space="preserve">”</w:t>
        </w:r>
      </w:hyperlink>
      <w:r>
        <w:t xml:space="preserve">(2008). En cuanto a la encuesta</w:t>
      </w:r>
      <w:r>
        <w:t xml:space="preserve"> </w:t>
      </w:r>
      <w:hyperlink r:id="rId20">
        <w:r>
          <w:rPr>
            <w:rStyle w:val="Hipervnculo"/>
          </w:rPr>
          <w:t xml:space="preserve">ELSOC (Estudio Longitudinal Social de Chile)</w:t>
        </w:r>
      </w:hyperlink>
      <w:r>
        <w:t xml:space="preserve">, es un panel longitudinal desarrollado por el Centro de Estudios de Conflicto y Cohesión Social</w:t>
      </w:r>
      <w:r>
        <w:t xml:space="preserve"> </w:t>
      </w:r>
      <w:hyperlink r:id="rId27">
        <w:r>
          <w:rPr>
            <w:rStyle w:val="Hipervnculo"/>
          </w:rPr>
          <w:t xml:space="preserve">COES</w:t>
        </w:r>
      </w:hyperlink>
      <w:r>
        <w:t xml:space="preserve">, y que será la base de datos principal para el presente estudio.</w:t>
      </w:r>
    </w:p>
    <w:p>
      <w:pPr>
        <w:pStyle w:val="Textoindependiente"/>
      </w:pPr>
      <w:r>
        <w:t xml:space="preserve">El principal objetivo de la encuesta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personas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 Mayores detalles de este estudio se presentan al principio del capítulo 1.</w:t>
      </w:r>
    </w:p>
    <w:p>
      <w:pPr>
        <w:pStyle w:val="Textoindependiente"/>
      </w:pPr>
      <w:r>
        <w:t xml:space="preserve">El presente documento se estructura en tres capítulos principales. El primer capítulo está abocado a la medición de la cohesión social, donde se proponen indicadores de la encuesta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bookmarkEnd w:id="28"/>
    <w:bookmarkStart w:id="67" w:name="X16d40039807cae30872e78d593544bd6d1c7da9"/>
    <w:p>
      <w:pPr>
        <w:pStyle w:val="Ttulo1"/>
      </w:pPr>
      <w:r>
        <w:rPr>
          <w:rStyle w:val="SectionNumber"/>
        </w:rPr>
        <w:t xml:space="preserve">1</w:t>
      </w:r>
      <w:r>
        <w:tab/>
      </w:r>
      <w:r>
        <w:t xml:space="preserve">Medición de cohesión social con indicadores ELSOC</w:t>
      </w:r>
    </w:p>
    <w:p>
      <w:pPr>
        <w:pStyle w:val="FirstParagraph"/>
      </w:pPr>
      <w:r>
        <w:t xml:space="preserve">El objetivo de este primer capítulo es establecer indicadores de cohesión social basados en el modelo conceptual de CEPAL, en particular para los denominados</w:t>
      </w:r>
      <w:r>
        <w:t xml:space="preserve"> </w:t>
      </w:r>
      <w:r>
        <w:rPr>
          <w:iCs/>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29"/>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El modelo de cohesión social de la CEPAL se caracteriza por ser de naturaleza</w:t>
      </w:r>
      <w:r>
        <w:t xml:space="preserve"> </w:t>
      </w:r>
      <w:r>
        <w:rPr>
          <w:bCs/>
          <w:b/>
        </w:rPr>
        <w:t xml:space="preserve">multidimensional</w:t>
      </w:r>
      <w:r>
        <w:t xml:space="preserve">, es decir, se asume que la cohesión social no se puede reducir a una única dimensión ni medición, sino que debe ser abordado considerando distintos componentes o dimensiones. La investigación más actual sobre cohesión social asume esta perspectiva y en gran medida coincide con las dimensiones de CEPAL, como son relaciones sociales de igualdad, sentido de pertenencia y orientación hacia el bien común</w:t>
      </w:r>
      <w:r>
        <w:t xml:space="preserve"> </w:t>
      </w:r>
      <w:r>
        <w:t xml:space="preserve">(</w:t>
      </w:r>
      <w:hyperlink w:anchor="ref-schiefer_essentials_2016">
        <w:r>
          <w:rPr>
            <w:rStyle w:val="Hipervnculo"/>
          </w:rPr>
          <w:t xml:space="preserve">Schiefer y Noll, 2016</w:t>
        </w:r>
      </w:hyperlink>
      <w:r>
        <w:t xml:space="preserve">)</w:t>
      </w:r>
      <w:r>
        <w:t xml:space="preserve">. Este tipo de modelos multidimensionales también se caracterizan por el establecimiento de subdimensiones e indicadores para cada uno de ellos, que es el objetivo principal de este primer capítulo.</w:t>
      </w:r>
    </w:p>
    <w:p>
      <w:pPr>
        <w:pStyle w:val="Textoindependiente"/>
      </w:pPr>
      <w:r>
        <w:rPr>
          <w:iCs/>
          <w:i/>
        </w:rPr>
        <w:t xml:space="preserve">Datos</w:t>
      </w:r>
    </w:p>
    <w:p>
      <w:pPr>
        <w:pStyle w:val="Textoindependiente"/>
      </w:pPr>
      <w:r>
        <w:t xml:space="preserve">En este capítulo se seleccionarán indicadores de la encuesta</w:t>
      </w:r>
      <w:r>
        <w:t xml:space="preserve"> </w:t>
      </w:r>
      <w:hyperlink r:id="rId20">
        <w:r>
          <w:rPr>
            <w:rStyle w:val="Hipervnculo"/>
            <w:bCs/>
            <w:b/>
          </w:rPr>
          <w:t xml:space="preserve">ELSOC</w:t>
        </w:r>
        <w:r>
          <w:rPr>
            <w:rStyle w:val="Hipervnculo"/>
          </w:rPr>
          <w:t xml:space="preserve"> </w:t>
        </w:r>
        <w:r>
          <w:rPr>
            <w:rStyle w:val="Hipervnculo"/>
          </w:rPr>
          <w:t xml:space="preserve">(Estudio Longitudinal Social de Chile)</w:t>
        </w:r>
      </w:hyperlink>
      <w:r>
        <w:t xml:space="preserve"> </w:t>
      </w:r>
      <w:r>
        <w:t xml:space="preserve">que se asocien al contenido de cada una de las dimensiones y subdimensiones del concepto de cohesión social. La selección de esta encuesta para este estudio se basa no solamente en la presencia de indicadores de cohesión social, sino también es que permitirá analizar cambios anuales de</w:t>
      </w:r>
      <w:r>
        <w:t xml:space="preserve"> </w:t>
      </w:r>
      <w:r>
        <w:rPr>
          <w:bCs/>
          <w:b/>
        </w:rPr>
        <w:t xml:space="preserve">trayectorias individuales</w:t>
      </w:r>
      <w:r>
        <w:t xml:space="preserve"> </w:t>
      </w:r>
      <w:r>
        <w:t xml:space="preserve">en dimensiones y subdimensiones de cohesión social entre 2016 y 2020. Dado que en esta encuesta panel se entrevista a las mismas personas año a año (N=3,000 app.), es posible analizar cambios en el tiempo de mejor manera que mediante la comparación de distintas muestras en distintos momentos (donde no es posible despejar si los cambios en los indicadores se asocian a un momento distinto o a que las personas son distintas).</w:t>
      </w:r>
    </w:p>
    <w:p>
      <w:pPr>
        <w:pStyle w:val="Textoindependiente"/>
      </w:pPr>
      <w:r>
        <w:t xml:space="preserve">La encuesta 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w:t>
      </w:r>
      <w:hyperlink w:anchor="ref-coes_Radiografia_2019">
        <w:r>
          <w:rPr>
            <w:rStyle w:val="Hipervnculo"/>
            <w:bCs/>
            <w:b/>
          </w:rPr>
          <w:t xml:space="preserve">coes_Radiografia_2019?</w:t>
        </w:r>
      </w:hyperlink>
      <w:r>
        <w:t xml:space="preserve">)</w:t>
      </w:r>
      <w:r>
        <w:t xml:space="preserve"> </w:t>
      </w:r>
      <w:r>
        <w:t xml:space="preserve">{&gt;&gt;actualizar a 2020&lt;&lt;}.</w:t>
      </w:r>
    </w:p>
    <w:p>
      <w:pPr>
        <w:pStyle w:val="Textoindependiente"/>
      </w:pPr>
      <w:r>
        <w:t xml:space="preserve">Para la selección de indicadores se privilegian aquellos items que se repiten en las distintas versiones de la encuesta de manera de permitir la comparación en el tiempo. Dentro de estos items repetidos existen algunos que se repiten de manera intercalada (cada dos años), que se utilizarán en caso ne requerir mayor información para las subdimensiones de cohesión social. Los análisis de selección de items para este capítulo se realizarán con los items de la ola 2016, y en el caso de items intercalados que aparezan desde el 2017 se utilizará los correspondientes a ese año.</w:t>
      </w:r>
    </w:p>
    <w:p>
      <w:pPr>
        <w:pStyle w:val="Textoindependiente"/>
      </w:pPr>
      <w:r>
        <w:rPr>
          <w:iCs/>
          <w:i/>
        </w:rPr>
        <w:t xml:space="preserve">Sobre medición de dimensiones y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Cs/>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Cs/>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 sobre todo aquellos de naturaleza compleja y multidimensional como cohesión social - , de modo de poder identificarlo y estimarlo de una manera más robusta con técnicas específicas de análisis de constructos latentes.</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ilvl w:val="0"/>
          <w:numId w:val="1002"/>
        </w:numPr>
      </w:pPr>
      <w:r>
        <w:t xml:space="preserve">1 item: se considerará simplemente el puntaje de la variable.</w:t>
      </w:r>
    </w:p>
    <w:p>
      <w:pPr>
        <w:numPr>
          <w:ilvl w:val="0"/>
          <w:numId w:val="1002"/>
        </w:numPr>
      </w:pPr>
      <w:r>
        <w:t xml:space="preserve">2 items: se analizará la correlación entre ambas y sobre esta base se podrá proponer un promedio simple.</w:t>
      </w:r>
    </w:p>
    <w:p>
      <w:pPr>
        <w:numPr>
          <w:ilvl w:val="0"/>
          <w:numId w:val="1002"/>
        </w:numPr>
      </w:pPr>
      <w:r>
        <w:t xml:space="preserve">3 items: se analizará la matriz de correlaciones y el alfa de Cronbach como medida de consistencia interna que permita trabajar con el promedio. Esta medida otorga un número que va entre 0 y 1, donde el nivel convencional para considerar consistencia es 0.7 o mayor.</w:t>
      </w:r>
    </w:p>
    <w:p>
      <w:pPr>
        <w:numPr>
          <w:ilvl w:val="0"/>
          <w:numId w:val="1002"/>
        </w:numPr>
      </w:pPr>
      <w:r>
        <w:t xml:space="preserve">4 items o más: se realizará un análisis factorial exploratorio para evaluar la dimensionalidad subyacente a los items, y en base a este análisis se realizará un promedio con los indicadores correspondientes a el/los factor(es).</w:t>
      </w:r>
    </w:p>
    <w:p>
      <w:pPr>
        <w:pStyle w:val="FirstParagraph"/>
      </w:pPr>
      <w:r>
        <w:t xml:space="preserve">Para poder establecer el nivel de consistencia entre las subdimensiones correspondientes a una dimensión se presentará un análisis utilizando los mismos criterios presentados para subdimensiones con tres items.</w:t>
      </w:r>
    </w:p>
    <w:p>
      <w:pPr>
        <w:pStyle w:val="Textoindependiente"/>
      </w:pPr>
      <w:r>
        <w:t xml:space="preserve">A continuación se presenta el análisis ordenado por dimensiones y subdimensiones:</w:t>
      </w:r>
    </w:p>
    <w:p>
      <w:pPr>
        <w:numPr>
          <w:ilvl w:val="0"/>
          <w:numId w:val="1003"/>
        </w:numPr>
        <w:pStyle w:val="Compact"/>
      </w:pPr>
      <w:r>
        <w:t xml:space="preserve">Dimensión relaciones sociales de igualdad:</w:t>
      </w:r>
    </w:p>
    <w:p>
      <w:pPr>
        <w:numPr>
          <w:ilvl w:val="1"/>
          <w:numId w:val="1004"/>
        </w:numPr>
        <w:pStyle w:val="Compact"/>
      </w:pPr>
      <w:r>
        <w:t xml:space="preserve">lazos</w:t>
      </w:r>
    </w:p>
    <w:p>
      <w:pPr>
        <w:numPr>
          <w:ilvl w:val="1"/>
          <w:numId w:val="1004"/>
        </w:numPr>
        <w:pStyle w:val="Compact"/>
      </w:pPr>
      <w:r>
        <w:t xml:space="preserve">confianza interpersonal</w:t>
      </w:r>
    </w:p>
    <w:p>
      <w:pPr>
        <w:numPr>
          <w:ilvl w:val="1"/>
          <w:numId w:val="1004"/>
        </w:numPr>
        <w:pStyle w:val="Compact"/>
      </w:pPr>
      <w:r>
        <w:t xml:space="preserve">reconocimiento y respecto de la diversidad</w:t>
      </w:r>
    </w:p>
    <w:p>
      <w:pPr>
        <w:numPr>
          <w:ilvl w:val="0"/>
          <w:numId w:val="1003"/>
        </w:numPr>
        <w:pStyle w:val="Compact"/>
      </w:pPr>
      <w:r>
        <w:t xml:space="preserve">Dimensión sentido de pertenencia:</w:t>
      </w:r>
    </w:p>
    <w:p>
      <w:pPr>
        <w:numPr>
          <w:ilvl w:val="1"/>
          <w:numId w:val="1005"/>
        </w:numPr>
        <w:pStyle w:val="Compact"/>
      </w:pPr>
      <w:r>
        <w:t xml:space="preserve">identificación con el país</w:t>
      </w:r>
    </w:p>
    <w:p>
      <w:pPr>
        <w:numPr>
          <w:ilvl w:val="1"/>
          <w:numId w:val="1005"/>
        </w:numPr>
        <w:pStyle w:val="Compact"/>
      </w:pPr>
      <w:r>
        <w:t xml:space="preserve">percepción de justicia</w:t>
      </w:r>
    </w:p>
    <w:p>
      <w:pPr>
        <w:numPr>
          <w:ilvl w:val="1"/>
          <w:numId w:val="1005"/>
        </w:numPr>
        <w:pStyle w:val="Compact"/>
      </w:pPr>
      <w:r>
        <w:t xml:space="preserve">confianza institucional</w:t>
      </w:r>
    </w:p>
    <w:p>
      <w:pPr>
        <w:numPr>
          <w:ilvl w:val="0"/>
          <w:numId w:val="1003"/>
        </w:numPr>
        <w:pStyle w:val="Compact"/>
      </w:pPr>
      <w:r>
        <w:t xml:space="preserve">Dimensión orientación hacia el bien común:</w:t>
      </w:r>
    </w:p>
    <w:p>
      <w:pPr>
        <w:numPr>
          <w:ilvl w:val="1"/>
          <w:numId w:val="1006"/>
        </w:numPr>
        <w:pStyle w:val="Compact"/>
      </w:pPr>
      <w:r>
        <w:t xml:space="preserve">solidaridad</w:t>
      </w:r>
    </w:p>
    <w:p>
      <w:pPr>
        <w:numPr>
          <w:ilvl w:val="1"/>
          <w:numId w:val="1006"/>
        </w:numPr>
        <w:pStyle w:val="Compact"/>
      </w:pPr>
      <w:r>
        <w:t xml:space="preserve">respeto por reglas sociales</w:t>
      </w:r>
    </w:p>
    <w:p>
      <w:pPr>
        <w:numPr>
          <w:ilvl w:val="1"/>
          <w:numId w:val="1006"/>
        </w:numPr>
        <w:pStyle w:val="Compact"/>
      </w:pPr>
      <w:r>
        <w:t xml:space="preserve">participación cívica</w:t>
      </w:r>
    </w:p>
    <w:p>
      <w:pPr>
        <w:pStyle w:val="FirstParagraph"/>
      </w:pPr>
      <w:r>
        <w:t xml:space="preserve">Por ejemplo, considerando en primer lugar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items de la encuesta que representen este concepto, y con la información disponible elaboraremos una propuesta para cubrir cada una de las subdimensiones.</w:t>
      </w:r>
    </w:p>
    <w:p>
      <w:pPr>
        <w:pStyle w:val="Textoindependiente"/>
      </w:pPr>
      <w:r>
        <w:t xml:space="preserve">Estas tres dimensiones provienen desde el modelo presentado por la CEPAL, que centra su atención en el nivel nacional y que utiliza fuentes de datos que permiten una comparabilidad a nivel regional. Ya que en este caso estamos utilizando una encuesta nacional, no deja de ser relevante abordar una dimensión territorial que permita complementar y enriquecer el análisis a nivel de país. Por lo tanto, además de las dimensiones del modelo de la CEPAL se agrega una cuarta de cohesión social en el territorio, que se asocia a la confianza en vecinos, identificación barrial, sociabilidad barrial y satisfacción residencial.</w:t>
      </w:r>
    </w:p>
    <w:bookmarkStart w:id="38" w:name="relaciones-sociales-de-igualdad"/>
    <w:p>
      <w:pPr>
        <w:pStyle w:val="Ttulo2"/>
      </w:pPr>
      <w:r>
        <w:rPr>
          <w:rStyle w:val="SectionNumber"/>
        </w:rPr>
        <w:t xml:space="preserve">1.1</w:t>
      </w:r>
      <w:r>
        <w:tab/>
      </w:r>
      <w:r>
        <w:t xml:space="preserve">Relaciones sociales de igualdad</w:t>
      </w:r>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w:t>
      </w:r>
      <w:hyperlink w:anchor="ref-cepal_Cohesion_2021">
        <w:r>
          <w:rPr>
            <w:rStyle w:val="Hipervnculo"/>
            <w:bCs/>
            <w:b/>
          </w:rPr>
          <w:t xml:space="preserve">cepal_Cohesion_2021?</w:t>
        </w:r>
      </w:hyperlink>
      <w:r>
        <w:t xml:space="preserve">)</w:t>
      </w:r>
    </w:p>
    <w:p>
      <w:pPr>
        <w:pStyle w:val="Textoindependiente"/>
      </w:pPr>
      <w:r>
        <w:rPr>
          <w:bCs/>
          <w:b/>
        </w:rPr>
        <w:t xml:space="preserve">Lazos</w:t>
      </w:r>
    </w:p>
    <w:p>
      <w:pPr>
        <w:pStyle w:val="Textoindependiente"/>
      </w:pPr>
      <w:r>
        <w:t xml:space="preserve">Según</w:t>
      </w:r>
      <w:r>
        <w:t xml:space="preserve"> </w:t>
      </w:r>
      <w:r>
        <w:t xml:space="preserve">(</w:t>
      </w:r>
      <w:hyperlink w:anchor="ref-cepal_Cohesion_2021">
        <w:r>
          <w:rPr>
            <w:rStyle w:val="Hipervnculo"/>
            <w:bCs/>
            <w:b/>
          </w:rPr>
          <w:t xml:space="preserve">cepal_Cohesion_2021?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utilizado en la propuesta regional de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los indicadores más cercanos a esta operacionalización corresponden a</w:t>
      </w:r>
      <w:r>
        <w:t xml:space="preserve"> </w:t>
      </w:r>
      <w:r>
        <w:t xml:space="preserve">“</w:t>
      </w:r>
      <w:r>
        <w:t xml:space="preserve">Cantidad de amigos/as ceranos</w:t>
      </w:r>
      <w:r>
        <w:t xml:space="preserve">”</w:t>
      </w:r>
      <w:r>
        <w:t xml:space="preserve"> </w:t>
      </w:r>
      <w:r>
        <w:t xml:space="preserve">y</w:t>
      </w:r>
      <w:r>
        <w:t xml:space="preserve"> </w:t>
      </w:r>
      <w:r>
        <w:t xml:space="preserve">“</w:t>
      </w:r>
      <w:r>
        <w:t xml:space="preserve">Tamaño de la red cercana</w:t>
      </w:r>
      <w:r>
        <w:t xml:space="preserve">”</w:t>
      </w:r>
      <w:r>
        <w:t xml:space="preserve">, que están presentes solo en las olas 2 y 4 de la encuesta. Además, se incluye un indicador de</w:t>
      </w:r>
      <w:r>
        <w:t xml:space="preserve"> </w:t>
      </w:r>
      <w:r>
        <w:t xml:space="preserve">“</w:t>
      </w:r>
      <w:r>
        <w:t xml:space="preserve">Variedad de la red</w:t>
      </w:r>
      <w:r>
        <w:t xml:space="preserve">”</w:t>
      </w:r>
      <w:r>
        <w:t xml:space="preserve"> </w:t>
      </w:r>
      <w:r>
        <w:t xml:space="preserve">construido a partir de un generador de posiciones, donde se aborda la cantidad de individuos con diferentes ocupaciones que la persona encuestada conoce; este indicador está presente en las olas 1 y 3. Un análisis descriptivo de estos indicadores se presenta en la Figura</w:t>
      </w:r>
      <w:r>
        <w:t xml:space="preserve"> </w:t>
      </w:r>
      <w:r>
        <w:t xml:space="preserve">1.2</w:t>
      </w:r>
      <w:r>
        <w:t xml:space="preserve"> </w:t>
      </w:r>
      <w:r>
        <w:t xml:space="preserve">y un análisis bivariado en la Figura</w:t>
      </w:r>
      <w:r>
        <w:t xml:space="preserve"> </w:t>
      </w:r>
      <w:r>
        <w:t xml:space="preserve">1.3</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3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t xml:space="preserve">En la matriz de correlaciones de la Figura</w:t>
      </w:r>
      <w:r>
        <w:t xml:space="preserve"> </w:t>
      </w:r>
      <w:r>
        <w:t xml:space="preserve">1.3</w:t>
      </w:r>
      <w:r>
        <w:t xml:space="preserve"> </w:t>
      </w:r>
      <w:r>
        <w:t xml:space="preserve">es posible observar que las correlaciones entre los indicadores están en un rango bajo, donde los indicadores que presentan una correlación mayor son A y C. Para calcular la consistencia interna de estos tres indicadores se utilizó alpha de Cronbach, obteniendo un resultado de 0.36, muy por debajo del valor mínimo recomendado de 0.7. Por lo tanto, para esta subdimensión se considerará un promedio solo de aquellos items que poseen una mayor correlación:</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Variedad de la red</w:t>
      </w:r>
      <w:r>
        <w:t xml:space="preserve">”</w:t>
      </w:r>
      <w:r>
        <w:t xml:space="preserve">.</w:t>
      </w:r>
    </w:p>
    <w:p>
      <w:pPr>
        <w:pStyle w:val="CaptionedFigure"/>
      </w:pPr>
      <w:r>
        <w:drawing>
          <wp:inline>
            <wp:extent cx="5600700" cy="2800350"/>
            <wp:effectExtent b="0" l="0" r="0" t="0"/>
            <wp:docPr descr="Figura 1.3: Asociación indicadores lazos." title="" id="1" name="Picture"/>
            <a:graphic>
              <a:graphicData uri="http://schemas.openxmlformats.org/drawingml/2006/picture">
                <pic:pic>
                  <pic:nvPicPr>
                    <pic:cNvPr descr="output/graphs/lazos_cor.png" id="0" name="Picture"/>
                    <pic:cNvPicPr>
                      <a:picLocks noChangeArrowheads="1" noChangeAspect="1"/>
                    </pic:cNvPicPr>
                  </pic:nvPicPr>
                  <pic:blipFill>
                    <a:blip r:embed="rId3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1.3: Asociación indicadores lazos.</w:t>
      </w:r>
    </w:p>
    <w:p>
      <w:pPr>
        <w:pStyle w:val="Textoindependiente"/>
      </w:pPr>
      <w:r>
        <w:rPr>
          <w:bCs/>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la propuesta regional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1.4</w:t>
      </w:r>
      <w:r>
        <w:t xml:space="preserve"> </w:t>
      </w:r>
      <w:r>
        <w:t xml:space="preserve">y un análisis bivariado en la Figura</w:t>
      </w:r>
      <w:r>
        <w:t xml:space="preserve"> </w:t>
      </w:r>
      <w:r>
        <w:t xml:space="preserve">1.5</w:t>
      </w:r>
      <w:r>
        <w:t xml:space="preserve">.</w:t>
      </w:r>
    </w:p>
    <w:p>
      <w:pPr>
        <w:pStyle w:val="CaptionedFigure"/>
      </w:pPr>
      <w:r>
        <w:drawing>
          <wp:inline>
            <wp:extent cx="5600700" cy="2911510"/>
            <wp:effectExtent b="0" l="0" r="0" t="0"/>
            <wp:docPr descr="Figura 1.4: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1.4: Confianza interpersonal.</w:t>
      </w:r>
    </w:p>
    <w:p>
      <w:pPr>
        <w:pStyle w:val="Textoindependiente"/>
      </w:pPr>
      <w:r>
        <w:t xml:space="preserve">En la matriz de correlaciones de la Figura</w:t>
      </w:r>
      <w:r>
        <w:t xml:space="preserve"> </w:t>
      </w:r>
      <w:r>
        <w:t xml:space="preserve">1.5</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5: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1.5: Asociación indicadores Confianza interpersonal.</w:t>
      </w:r>
    </w:p>
    <w:p>
      <w:pPr>
        <w:pStyle w:val="Textoindependiente"/>
      </w:pPr>
      <w:r>
        <w:rPr>
          <w:bCs/>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la propuesta regional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en esta propuesta regional de la CEPAL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cuatro olas, adopción homoparental en olas 3 y 4 y el resto de indicadores en las olas 2 y 4. Un análisis descriptivo de estos items se presentan en la Figura</w:t>
      </w:r>
      <w:r>
        <w:t xml:space="preserve"> </w:t>
      </w:r>
      <w:r>
        <w:t xml:space="preserve">1.6</w:t>
      </w:r>
      <w:r>
        <w:t xml:space="preserve"> </w:t>
      </w:r>
      <w:r>
        <w:t xml:space="preserve">y en la Figura</w:t>
      </w:r>
      <w:r>
        <w:t xml:space="preserve"> </w:t>
      </w:r>
      <w:r>
        <w:t xml:space="preserve">1.7</w:t>
      </w:r>
      <w:r>
        <w:t xml:space="preserve"> </w:t>
      </w:r>
      <w:r>
        <w:t xml:space="preserve">y un análisis bivariado en la Figura</w:t>
      </w:r>
      <w:r>
        <w:t xml:space="preserve"> </w:t>
      </w:r>
      <w:r>
        <w:t xml:space="preserve">1.8</w:t>
      </w:r>
      <w:r>
        <w:t xml:space="preserve">.</w:t>
      </w:r>
    </w:p>
    <w:p>
      <w:pPr>
        <w:pStyle w:val="CaptionedFigure"/>
      </w:pPr>
      <w:r>
        <w:drawing>
          <wp:inline>
            <wp:extent cx="5600700" cy="2911510"/>
            <wp:effectExtent b="0" l="0" r="0" t="0"/>
            <wp:docPr descr="Figura 1.6: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Prejuicios hacia inmigrantes y adopción homoparental.</w:t>
      </w:r>
    </w:p>
    <w:p>
      <w:pPr>
        <w:pStyle w:val="CaptionedFigure"/>
      </w:pPr>
      <w:r>
        <w:drawing>
          <wp:inline>
            <wp:extent cx="5600700" cy="2911510"/>
            <wp:effectExtent b="0" l="0" r="0" t="0"/>
            <wp:docPr descr="Figura 1.7: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1.7: Grado de confianza grupos sociales.</w:t>
      </w:r>
    </w:p>
    <w:p>
      <w:pPr>
        <w:pStyle w:val="CaptionedFigure"/>
      </w:pPr>
      <w:r>
        <w:drawing>
          <wp:inline>
            <wp:extent cx="5600700" cy="2800350"/>
            <wp:effectExtent b="0" l="0" r="0" t="0"/>
            <wp:docPr descr="Figura 1.8: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1.8: Asociación indicadores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auto" w:w="0"/>
        <w:tblLook w:firstRow="0" w:lastRow="0" w:firstColumn="0" w:lastColumn="0" w:noHBand="0" w:noVBand="0" w:val="0000"/>
        <w:tblCaption w:val="Tabla 1.1: Dimensiones de reconocimiento y respeto de la diversidad."/>
      </w:tblPr>
      <w:tblGrid>
        <w:gridCol w:w="7920"/>
      </w:tblGrid>
      <w:tr>
        <w:tc>
          <w:tcPr/>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7"/>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los items que se están analizando, y las siguientes columnas que comienzan con ML se refieren a cada uno de los factores extraídos, en este caso tres. Los valores de la tabla en estas columnas nos hablan de la intensidad de la relación entre items y factores en una escala de 0 a 1, donde sobre 0.7 se asume una asociación considerable entre item y factor. La unicidad (uniqueness) se refiere a la proporción de varianza que el indicador no comparte con los factores, y la fila al final de la tabla informa la proporción de la varianza del factor que comparte con todos los indicadores.</w:t>
      </w:r>
    </w:p>
    <w:p>
      <w:pPr>
        <w:pStyle w:val="Textoindependiente"/>
      </w:pPr>
      <w:r>
        <w:t xml:space="preserve">Respecto a este análisis en particular, en la segunda columna (ML1) se observa un factor que se relaciona con las preguntas sobre el grado de confianza de la Figura</w:t>
      </w:r>
      <w:r>
        <w:t xml:space="preserve"> </w:t>
      </w:r>
      <w:r>
        <w:t xml:space="preserve">1.7</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bookmarkEnd w:id="38"/>
    <w:bookmarkStart w:id="44" w:name="sentido-de-pertenencia"/>
    <w:p>
      <w:pPr>
        <w:pStyle w:val="Ttulo2"/>
      </w:pPr>
      <w:r>
        <w:rPr>
          <w:rStyle w:val="SectionNumber"/>
        </w:rPr>
        <w:t xml:space="preserve">1.2</w:t>
      </w:r>
      <w:r>
        <w:tab/>
      </w:r>
      <w:r>
        <w:t xml:space="preserve">Sentido de pertenencia</w:t>
      </w:r>
    </w:p>
    <w:p>
      <w:pPr>
        <w:pStyle w:val="FirstParagraph"/>
      </w:pPr>
      <w:r>
        <w:t xml:space="preserve">Una segunda dimensión de la definición propuesta por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rPr>
          <w:bCs/>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1.9</w:t>
      </w:r>
      <w:r>
        <w:t xml:space="preserve">. La correlación entre estos indicadores es positiva y alta (r=0.76). Por lo tanto, en esta subdimensión se utilizará un promedio simple de ambos indicadores.</w:t>
      </w:r>
    </w:p>
    <w:p>
      <w:pPr>
        <w:pStyle w:val="CaptionedFigure"/>
      </w:pPr>
      <w:r>
        <w:drawing>
          <wp:inline>
            <wp:extent cx="5600700" cy="2911510"/>
            <wp:effectExtent b="0" l="0" r="0" t="0"/>
            <wp:docPr descr="Figura 1.9: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3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Identificación y orgullo con Chile.</w:t>
      </w:r>
    </w:p>
    <w:p>
      <w:pPr>
        <w:pStyle w:val="Textoindependiente"/>
      </w:pPr>
      <w:r>
        <w:rPr>
          <w:bCs/>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1.10</w:t>
      </w:r>
      <w:r>
        <w:t xml:space="preserve">. La correlación entre estos indicadores es positiva y alta (r=0.7). Por lo tanto, se utilizará un promedio simple de ambos indicadores en esta subdimensión.</w:t>
      </w:r>
    </w:p>
    <w:p>
      <w:pPr>
        <w:pStyle w:val="CaptionedFigure"/>
      </w:pPr>
      <w:r>
        <w:drawing>
          <wp:inline>
            <wp:extent cx="5600700" cy="2911510"/>
            <wp:effectExtent b="0" l="0" r="0" t="0"/>
            <wp:docPr descr="Figura 1.10: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Descriptivos Percepción de recompensa por esfuerzo e inteligencia.</w:t>
      </w:r>
    </w:p>
    <w:p>
      <w:pPr>
        <w:pStyle w:val="Textoindependiente"/>
      </w:pPr>
      <w:r>
        <w:rPr>
          <w:bCs/>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1.11</w:t>
      </w:r>
      <w:r>
        <w:t xml:space="preserve"> </w:t>
      </w:r>
      <w:r>
        <w:t xml:space="preserve">y un análisis bivariado en la Figura</w:t>
      </w:r>
      <w:r>
        <w:t xml:space="preserve"> </w:t>
      </w:r>
      <w:r>
        <w:t xml:space="preserve">1.12</w:t>
      </w:r>
      <w:r>
        <w:t xml:space="preserve">.</w:t>
      </w:r>
    </w:p>
    <w:p>
      <w:pPr>
        <w:pStyle w:val="CaptionedFigure"/>
      </w:pPr>
      <w:r>
        <w:drawing>
          <wp:inline>
            <wp:extent cx="5600700" cy="2911510"/>
            <wp:effectExtent b="0" l="0" r="0" t="0"/>
            <wp:docPr descr="Figura 1.11: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1.11: Confianza en instituciones.</w:t>
      </w:r>
    </w:p>
    <w:p>
      <w:pPr>
        <w:pStyle w:val="CaptionedFigure"/>
      </w:pPr>
      <w:r>
        <w:drawing>
          <wp:inline>
            <wp:extent cx="5600700" cy="2800350"/>
            <wp:effectExtent b="0" l="0" r="0" t="0"/>
            <wp:docPr descr="Figura 1.12: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2"/>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1.12: Asociación indicadores Confianza institucional.</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ocho indicadores. La Tabla</w:t>
      </w:r>
      <w:r>
        <w:t xml:space="preserve"> </w:t>
      </w:r>
      <w:r>
        <w:t xml:space="preserve">1.2</w:t>
      </w:r>
      <w:r>
        <w:t xml:space="preserve"> </w:t>
      </w:r>
      <w:r>
        <w:t xml:space="preserve">nos muestra el resultado de la extracción de tres factores:</w:t>
      </w:r>
    </w:p>
    <w:p>
      <w:pPr>
        <w:pStyle w:val="TableCaption"/>
      </w:pPr>
      <w:r>
        <w:t xml:space="preserve">Tabla 1.2: Dimensiones de confianza institucional.</w:t>
      </w:r>
    </w:p>
    <w:tbl>
      <w:tblPr>
        <w:tblStyle w:val="Table"/>
        <w:tblW w:type="auto" w:w="0"/>
        <w:tblLook w:firstRow="0" w:lastRow="0" w:firstColumn="0" w:lastColumn="0" w:noHBand="0" w:noVBand="0" w:val="0000"/>
        <w:tblCaption w:val="Tabla 1.2: Dimensiones de confianza institucional."/>
      </w:tblPr>
      <w:tblGrid>
        <w:gridCol w:w="7920"/>
      </w:tblGrid>
      <w:tr>
        <w:tc>
          <w:tcPr/>
          <w:p>
            <w:pPr>
              <w:pStyle w:val="Compact"/>
              <w:jc w:val="left"/>
            </w:pPr>
            <w:r>
              <w:drawing>
                <wp:inline>
                  <wp:extent cx="4762500" cy="4092970"/>
                  <wp:effectExtent b="0" l="0" r="0" t="0"/>
                  <wp:docPr descr="" title="" id="1" name="Picture"/>
                  <a:graphic>
                    <a:graphicData uri="http://schemas.openxmlformats.org/drawingml/2006/picture">
                      <pic:pic>
                        <pic:nvPicPr>
                          <pic:cNvPr descr="output/tables/inst_fa.png" id="0" name="Picture"/>
                          <pic:cNvPicPr>
                            <a:picLocks noChangeArrowheads="1" noChangeAspect="1"/>
                          </pic:cNvPicPr>
                        </pic:nvPicPr>
                        <pic:blipFill>
                          <a:blip r:embed="rId43"/>
                          <a:stretch>
                            <a:fillRect/>
                          </a:stretch>
                        </pic:blipFill>
                        <pic:spPr bwMode="auto">
                          <a:xfrm>
                            <a:off x="0" y="0"/>
                            <a:ext cx="4762500" cy="4092970"/>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observamos en la segunda columna (ML2) un factor que se relaciona con las preguntas sobre el grado de confianza con instituciones políticas (el gobierno, presidente/a, partidos políticos), luego un segundo factor (ML3) asociado con instituciones más cercanas a la sociedad civil (empresas privadas, carabineros, sindicatos y poder judicial) y finalmente un tercer factor (ML1) que se asocia con el poder judicial y el congreso. En relación con la varianza asociada a estos tres factores (SS loadings), el primer factor representa un 20% de la varianza, el segundo un 16% y el tercero un 15%. Por lo tanto, existe cierto grado de consistencia en los tres factores, siendo el primero de ellos -relacionado con las instituciones políticas- el que representa una mayor proporción de la varianza y por tanto el indicador de confianza institucional incluira estos tres items.</w:t>
      </w:r>
    </w:p>
    <w:bookmarkEnd w:id="44"/>
    <w:bookmarkStart w:id="55" w:name="orientación-hacia-el-bien-común"/>
    <w:p>
      <w:pPr>
        <w:pStyle w:val="Ttulo2"/>
      </w:pPr>
      <w:r>
        <w:rPr>
          <w:rStyle w:val="SectionNumber"/>
        </w:rPr>
        <w:t xml:space="preserve">1.3</w:t>
      </w:r>
      <w:r>
        <w:tab/>
      </w:r>
      <w:r>
        <w:t xml:space="preserve">Orientación hacia el bien común</w:t>
      </w:r>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w:t>
      </w:r>
      <w:hyperlink w:anchor="ref-cepal_Cohesion_2021">
        <w:r>
          <w:rPr>
            <w:rStyle w:val="Hipervnculo"/>
            <w:bCs/>
            <w:b/>
          </w:rPr>
          <w:t xml:space="preserve">cepal_Cohesion_2021?</w:t>
        </w:r>
      </w:hyperlink>
      <w:r>
        <w:t xml:space="preserve">)</w:t>
      </w:r>
    </w:p>
    <w:p>
      <w:pPr>
        <w:pStyle w:val="Textoindependiente"/>
      </w:pPr>
      <w:r>
        <w:rPr>
          <w:bCs/>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1.13</w:t>
      </w:r>
      <w:r>
        <w:t xml:space="preserve"> </w:t>
      </w:r>
      <w:r>
        <w:t xml:space="preserve">y un análisis bivariado en la Figura</w:t>
      </w:r>
      <w:r>
        <w:t xml:space="preserve"> </w:t>
      </w:r>
      <w:r>
        <w:t xml:space="preserve">1.14</w:t>
      </w:r>
      <w:r>
        <w:t xml:space="preserve">.</w:t>
      </w:r>
    </w:p>
    <w:p>
      <w:pPr>
        <w:pStyle w:val="CaptionedFigure"/>
      </w:pPr>
      <w:r>
        <w:drawing>
          <wp:inline>
            <wp:extent cx="5600700" cy="2911510"/>
            <wp:effectExtent b="0" l="0" r="0" t="0"/>
            <wp:docPr descr="Figura 1.13: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1.13: Acciones de solidaridad.</w:t>
      </w:r>
    </w:p>
    <w:p>
      <w:pPr>
        <w:pStyle w:val="CaptionedFigure"/>
      </w:pPr>
      <w:r>
        <w:drawing>
          <wp:inline>
            <wp:extent cx="5600700" cy="2800350"/>
            <wp:effectExtent b="0" l="0" r="0" t="0"/>
            <wp:docPr descr="Figura 1.14: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1.14: Asociación indicadores de solidaridad.</w:t>
      </w:r>
    </w:p>
    <w:p>
      <w:pPr>
        <w:pStyle w:val="Textoindependiente"/>
      </w:pPr>
      <w:r>
        <w:t xml:space="preserve">Como esta subdimensión posee ocho indicadores, se volvió a realizar un análisis factorial exploratorio para construir un índice a partir de la información de las dimensiones comunes entre este conjunto de indicadores. La Tabla</w:t>
      </w:r>
      <w:r>
        <w:t xml:space="preserve"> </w:t>
      </w:r>
      <w:r>
        <w:t xml:space="preserve">1.3</w:t>
      </w:r>
      <w:r>
        <w:t xml:space="preserve"> </w:t>
      </w:r>
      <w:r>
        <w:t xml:space="preserve">nos muestra el resultado de la extracción de tres factores:</w:t>
      </w:r>
    </w:p>
    <w:p>
      <w:pPr>
        <w:pStyle w:val="TableCaption"/>
      </w:pPr>
      <w:r>
        <w:t xml:space="preserve">Tabla 1.3: Dimensiones de solidaridad.</w:t>
      </w:r>
    </w:p>
    <w:tbl>
      <w:tblPr>
        <w:tblStyle w:val="Table"/>
        <w:tblW w:type="auto" w:w="0"/>
        <w:tblLook w:firstRow="0" w:lastRow="0" w:firstColumn="0" w:lastColumn="0" w:noHBand="0" w:noVBand="0" w:val="0000"/>
        <w:tblCaption w:val="Tabla 1.3: Dimensiones de solidaridad."/>
      </w:tblPr>
      <w:tblGrid>
        <w:gridCol w:w="7920"/>
      </w:tblGrid>
      <w:tr>
        <w:tc>
          <w:tcPr/>
          <w:p>
            <w:pPr>
              <w:pStyle w:val="Compact"/>
              <w:jc w:val="left"/>
            </w:pPr>
            <w:r>
              <w:drawing>
                <wp:inline>
                  <wp:extent cx="4762500" cy="3160163"/>
                  <wp:effectExtent b="0" l="0" r="0" t="0"/>
                  <wp:docPr descr="" title="" id="1" name="Picture"/>
                  <a:graphic>
                    <a:graphicData uri="http://schemas.openxmlformats.org/drawingml/2006/picture">
                      <pic:pic>
                        <pic:nvPicPr>
                          <pic:cNvPr descr="output/tables/solidaridad_fa.png" id="0" name="Picture"/>
                          <pic:cNvPicPr>
                            <a:picLocks noChangeArrowheads="1" noChangeAspect="1"/>
                          </pic:cNvPicPr>
                        </pic:nvPicPr>
                        <pic:blipFill>
                          <a:blip r:embed="rId47"/>
                          <a:stretch>
                            <a:fillRect/>
                          </a:stretch>
                        </pic:blipFill>
                        <pic:spPr bwMode="auto">
                          <a:xfrm>
                            <a:off x="0" y="0"/>
                            <a:ext cx="4762500" cy="3160163"/>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es posible observar en la segunda columna (ML1) un factor relacionado con acciones de solidaridad como prestar o donar dinero, ayudar a una persona a conseguir trabajo y conversar con una persona con problemas o deprimida, luego en la tercera columna (ML3) se presenta un segundo factor asociado con la participación en reuniones sociales, como visitar casas de vecinos, recibir visitas de amigos o asistir a reuniones donde se traten problemas relevantes para la comunidad. Finalmente, en la cuarta columna (ML2) se observa un tercer factor que posee un indicador sobre realizar trabajo voluntario. En relación con la varianza que se asocia a cada uno de estos factores (SS loadings), el primer factor representa un 19% de la varianza, el segundo un 12% y el tercero un 9%. Por lo tanto, los dos primeros presentan un mayor grado de consistencia con respecto al factor asociado al trabajo voluntario. Así, se propone utilizar dos índices asociados a estos dos primeros factores y que serán calculados mediante puntajes factoriales.</w:t>
      </w:r>
    </w:p>
    <w:p>
      <w:pPr>
        <w:pStyle w:val="Textoindependiente"/>
      </w:pPr>
      <w:r>
        <w:rPr>
          <w:bCs/>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w:t>
      </w:r>
      <w:hyperlink w:anchor="ref-cepal_Cohesion_2021">
        <w:r>
          <w:rPr>
            <w:rStyle w:val="Hipervnculo"/>
            <w:bCs/>
            <w:b/>
          </w:rPr>
          <w:t xml:space="preserve">cepal_Cohesion_2021?</w:t>
        </w:r>
      </w:hyperlink>
      <w:r>
        <w:t xml:space="preserve">)</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1.15</w:t>
      </w:r>
      <w:r>
        <w:t xml:space="preserve">, en la Figura</w:t>
      </w:r>
      <w:r>
        <w:t xml:space="preserve"> </w:t>
      </w:r>
      <w:r>
        <w:t xml:space="preserve">1.17</w:t>
      </w:r>
      <w:r>
        <w:t xml:space="preserve"> </w:t>
      </w:r>
      <w:r>
        <w:t xml:space="preserve">y en la Figura</w:t>
      </w:r>
      <w:r>
        <w:t xml:space="preserve"> </w:t>
      </w:r>
      <w:r>
        <w:t xml:space="preserve">1.19</w:t>
      </w:r>
      <w:r>
        <w:t xml:space="preserve">, mientras que un análisis bivariado en la Figura</w:t>
      </w:r>
      <w:r>
        <w:t xml:space="preserve"> </w:t>
      </w:r>
      <w:r>
        <w:t xml:space="preserve">1.16</w:t>
      </w:r>
      <w:r>
        <w:t xml:space="preserve"> </w:t>
      </w:r>
      <w:r>
        <w:t xml:space="preserve">y en la Figura</w:t>
      </w:r>
      <w:r>
        <w:t xml:space="preserve"> </w:t>
      </w:r>
      <w:r>
        <w:t xml:space="preserve">1.18</w:t>
      </w:r>
      <w:r>
        <w:t xml:space="preserve">.</w:t>
      </w:r>
    </w:p>
    <w:p>
      <w:pPr>
        <w:pStyle w:val="CaptionedFigure"/>
      </w:pPr>
      <w:r>
        <w:drawing>
          <wp:inline>
            <wp:extent cx="5600700" cy="2911510"/>
            <wp:effectExtent b="0" l="0" r="0" t="0"/>
            <wp:docPr descr="Figura 1.15: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1.15: Participación en actividades cívicas.</w:t>
      </w:r>
    </w:p>
    <w:p>
      <w:pPr>
        <w:pStyle w:val="CaptionedFigure"/>
      </w:pPr>
      <w:r>
        <w:drawing>
          <wp:inline>
            <wp:extent cx="5600700" cy="2800350"/>
            <wp:effectExtent b="0" l="0" r="0" t="0"/>
            <wp:docPr descr="Figura 1.16: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9"/>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1.16: Asociación indicadores participación cívica.</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cuatro indicadores. La Tabla</w:t>
      </w:r>
      <w:r>
        <w:t xml:space="preserve"> </w:t>
      </w:r>
      <w:r>
        <w:t xml:space="preserve">1.4</w:t>
      </w:r>
      <w:r>
        <w:t xml:space="preserve"> </w:t>
      </w:r>
      <w:r>
        <w:t xml:space="preserve">nos muestra el resultado de la extracción de tres factores:</w:t>
      </w:r>
    </w:p>
    <w:p>
      <w:pPr>
        <w:pStyle w:val="TableCaption"/>
      </w:pPr>
      <w:r>
        <w:t xml:space="preserve">Tabla 1.4: Dimensiones de Participación cívica.</w:t>
      </w:r>
    </w:p>
    <w:tbl>
      <w:tblPr>
        <w:tblStyle w:val="Table"/>
        <w:tblW w:type="auto" w:w="0"/>
        <w:tblLook w:firstRow="0" w:lastRow="0" w:firstColumn="0" w:lastColumn="0" w:noHBand="0" w:noVBand="0" w:val="0000"/>
        <w:tblCaption w:val="Tabla 1.4: Dimensiones de Participación cívica."/>
      </w:tblPr>
      <w:tblGrid>
        <w:gridCol w:w="7920"/>
      </w:tblGrid>
      <w:tr>
        <w:tc>
          <w:tcPr/>
          <w:p>
            <w:pPr>
              <w:pStyle w:val="Compact"/>
              <w:jc w:val="left"/>
            </w:pPr>
            <w:r>
              <w:drawing>
                <wp:inline>
                  <wp:extent cx="4762500" cy="2205295"/>
                  <wp:effectExtent b="0" l="0" r="0" t="0"/>
                  <wp:docPr descr="" title="" id="1" name="Picture"/>
                  <a:graphic>
                    <a:graphicData uri="http://schemas.openxmlformats.org/drawingml/2006/picture">
                      <pic:pic>
                        <pic:nvPicPr>
                          <pic:cNvPr descr="output/tables/part_civica_fa.png" id="0" name="Picture"/>
                          <pic:cNvPicPr>
                            <a:picLocks noChangeArrowheads="1" noChangeAspect="1"/>
                          </pic:cNvPicPr>
                        </pic:nvPicPr>
                        <pic:blipFill>
                          <a:blip r:embed="rId50"/>
                          <a:stretch>
                            <a:fillRect/>
                          </a:stretch>
                        </pic:blipFill>
                        <pic:spPr bwMode="auto">
                          <a:xfrm>
                            <a:off x="0" y="0"/>
                            <a:ext cx="4762500" cy="2205295"/>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1.4</w:t>
      </w:r>
      <w:r>
        <w:t xml:space="preserve"> </w:t>
      </w:r>
      <w:r>
        <w:t xml:space="preserve">observamos un primer factor que agrupa tres indicadores: firmar una carta o petición, expresar su opinión por redes sociales y asistir a una marcha o manifestación. Luego se observa un segundo factor que posee solo el indicador de asistir a una marcha o manifestación y un tercer factor que posee solo el indicador de participar en una huelga. Por lo tanto, se propone utilizar un solo índice asociado al primer factor, que representa un 19% de la varianza, y que será calculado a partir de puntajes factoriales.</w:t>
      </w:r>
    </w:p>
    <w:p>
      <w:pPr>
        <w:pStyle w:val="Textoindependiente"/>
      </w:pPr>
      <w:r>
        <w:rPr>
          <w:bCs/>
          <w:b/>
        </w:rPr>
        <w:t xml:space="preserve">Participación en organizaciones</w:t>
      </w:r>
    </w:p>
    <w:p>
      <w:pPr>
        <w:pStyle w:val="CaptionedFigure"/>
      </w:pPr>
      <w:r>
        <w:drawing>
          <wp:inline>
            <wp:extent cx="5600700" cy="2911510"/>
            <wp:effectExtent b="0" l="0" r="0" t="0"/>
            <wp:docPr descr="Figura 1.17: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5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1.17: Participación en organizaciones sociales.</w:t>
      </w:r>
    </w:p>
    <w:p>
      <w:pPr>
        <w:pStyle w:val="CaptionedFigure"/>
      </w:pPr>
      <w:r>
        <w:drawing>
          <wp:inline>
            <wp:extent cx="5600700" cy="2800350"/>
            <wp:effectExtent b="0" l="0" r="0" t="0"/>
            <wp:docPr descr="Figura 1.18: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2"/>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1.18: Asociación indicadores participación en organizaciones.</w:t>
      </w:r>
    </w:p>
    <w:p>
      <w:pPr>
        <w:pStyle w:val="Textoindependiente"/>
      </w:pPr>
      <w:r>
        <w:t xml:space="preserve">En cuanto a la participación en organizaciones, se estimó un segundo análisis factorial exploratorio sobre los ocho tipos de organizaciones presentes en ELSOC. La Tabla</w:t>
      </w:r>
      <w:r>
        <w:t xml:space="preserve"> </w:t>
      </w:r>
      <w:r>
        <w:t xml:space="preserve">1.5</w:t>
      </w:r>
      <w:r>
        <w:t xml:space="preserve"> </w:t>
      </w:r>
      <w:r>
        <w:t xml:space="preserve">muestra el resultado de la extracción de tres factores:</w:t>
      </w:r>
    </w:p>
    <w:p>
      <w:pPr>
        <w:pStyle w:val="TableCaption"/>
      </w:pPr>
      <w:r>
        <w:t xml:space="preserve">Tabla 1.5: Dimensiones de Participación en organizaciones.</w:t>
      </w:r>
    </w:p>
    <w:tbl>
      <w:tblPr>
        <w:tblStyle w:val="Table"/>
        <w:tblW w:type="auto" w:w="0"/>
        <w:tblLook w:firstRow="0" w:lastRow="0" w:firstColumn="0" w:lastColumn="0" w:noHBand="0" w:noVBand="0" w:val="0000"/>
        <w:tblCaption w:val="Tabla 1.5: Dimensiones de Participación en organizaciones."/>
      </w:tblPr>
      <w:tblGrid>
        <w:gridCol w:w="7920"/>
      </w:tblGrid>
      <w:tr>
        <w:tc>
          <w:tcPr/>
          <w:p>
            <w:pPr>
              <w:pStyle w:val="Compact"/>
              <w:jc w:val="left"/>
            </w:pPr>
            <w:r>
              <w:drawing>
                <wp:inline>
                  <wp:extent cx="4762500" cy="3025838"/>
                  <wp:effectExtent b="0" l="0" r="0" t="0"/>
                  <wp:docPr descr="" title="" id="1" name="Picture"/>
                  <a:graphic>
                    <a:graphicData uri="http://schemas.openxmlformats.org/drawingml/2006/picture">
                      <pic:pic>
                        <pic:nvPicPr>
                          <pic:cNvPr descr="output/tables/organizaciones_fa.png" id="0" name="Picture"/>
                          <pic:cNvPicPr>
                            <a:picLocks noChangeArrowheads="1" noChangeAspect="1"/>
                          </pic:cNvPicPr>
                        </pic:nvPicPr>
                        <pic:blipFill>
                          <a:blip r:embed="rId53"/>
                          <a:stretch>
                            <a:fillRect/>
                          </a:stretch>
                        </pic:blipFill>
                        <pic:spPr bwMode="auto">
                          <a:xfrm>
                            <a:off x="0" y="0"/>
                            <a:ext cx="4762500" cy="3025838"/>
                          </a:xfrm>
                          <a:prstGeom prst="rect">
                            <a:avLst/>
                          </a:prstGeom>
                          <a:noFill/>
                          <a:ln w="9525">
                            <a:noFill/>
                            <a:headEnd/>
                            <a:tailEnd/>
                          </a:ln>
                        </pic:spPr>
                      </pic:pic>
                    </a:graphicData>
                  </a:graphic>
                </wp:inline>
              </w:drawing>
            </w:r>
          </w:p>
        </w:tc>
      </w:tr>
    </w:tbl>
    <w:p>
      <w:pPr>
        <w:pStyle w:val="Textoindependiente"/>
      </w:pPr>
      <w:r>
        <w:t xml:space="preserve">Podemos observar en la Tabla</w:t>
      </w:r>
      <w:r>
        <w:t xml:space="preserve"> </w:t>
      </w:r>
      <w:r>
        <w:t xml:space="preserve">1.5</w:t>
      </w:r>
      <w:r>
        <w:t xml:space="preserve"> </w:t>
      </w:r>
      <w:r>
        <w:t xml:space="preserve">un primer factor asociado con la participación en asociaciones profesionales, sindicatos y partidos políticos, luego un segundo factor relacionado con la participación en organizaciones religiosas y juntas de vecinos y, finalmente, un tercer factor relacionado con organizaciones deportivas, ecológicas y centros de estudiantes. En cuanto a la varianza asociada a cada uno de estos factores (SS loadings), el primer y segundo factor representan un 9% de la varianza cada uno, mientras que el tercer factor representa un 6% de la varianza. Por lo tanto, no existe un grado de consistencia relevante en ninguno de estos tres factores. Así, basándonos en este análisis, se propone no incluir los indicadores asociados a la participación en organizaciones y trabajar sólo con los indicadores referentes a participación cívica.</w:t>
      </w:r>
    </w:p>
    <w:p>
      <w:pPr>
        <w:pStyle w:val="Textoindependiente"/>
      </w:pPr>
      <w:r>
        <w:rPr>
          <w:bCs/>
          <w:b/>
        </w:rPr>
        <w:t xml:space="preserve">Participación electoral</w:t>
      </w:r>
    </w:p>
    <w:p>
      <w:pPr>
        <w:pStyle w:val="CaptionedFigure"/>
      </w:pPr>
      <w:r>
        <w:drawing>
          <wp:inline>
            <wp:extent cx="5600700" cy="2911510"/>
            <wp:effectExtent b="0" l="0" r="0" t="0"/>
            <wp:docPr descr="Figura 1.19: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Participación en elecciones 2013 y 2017.</w:t>
      </w:r>
    </w:p>
    <w:bookmarkEnd w:id="55"/>
    <w:bookmarkStart w:id="66" w:name="cohesión-territorial"/>
    <w:p>
      <w:pPr>
        <w:pStyle w:val="Ttulo2"/>
      </w:pPr>
      <w:r>
        <w:rPr>
          <w:rStyle w:val="SectionNumber"/>
        </w:rPr>
        <w:t xml:space="preserve">1.4</w:t>
      </w:r>
      <w:r>
        <w:tab/>
      </w:r>
      <w:r>
        <w:t xml:space="preserve">Cohesión territorial</w:t>
      </w:r>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Cs/>
          <w:b/>
        </w:rPr>
        <w:t xml:space="preserve">Confianza en vecinos</w:t>
      </w:r>
    </w:p>
    <w:p>
      <w:pPr>
        <w:pStyle w:val="Textoindependiente"/>
      </w:pPr>
      <w:r>
        <w:t xml:space="preserve">En la encuesta ELSOC se incluye un indicador territorial sobre el grado de confianza en vecinos. Un análisis descriptivo de este indicador, que sería el único representante de esta subdimensión, se presenta en laFfigura</w:t>
      </w:r>
      <w:r>
        <w:t xml:space="preserve"> </w:t>
      </w:r>
      <w:r>
        <w:t xml:space="preserve">1.20</w:t>
      </w:r>
    </w:p>
    <w:p>
      <w:pPr>
        <w:pStyle w:val="CaptionedFigure"/>
      </w:pPr>
      <w:r>
        <w:drawing>
          <wp:inline>
            <wp:extent cx="5600700" cy="2911510"/>
            <wp:effectExtent b="0" l="0" r="0" t="0"/>
            <wp:docPr descr="Figura 1.20: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Confianza en vecinos.</w:t>
      </w:r>
    </w:p>
    <w:p>
      <w:pPr>
        <w:pStyle w:val="Textoindependiente"/>
      </w:pPr>
      <w:r>
        <w:rPr>
          <w:bCs/>
          <w:b/>
        </w:rPr>
        <w:t xml:space="preserve">Cohesión barrial</w:t>
      </w:r>
    </w:p>
    <w:p>
      <w:pPr>
        <w:pStyle w:val="Textoindependiente"/>
      </w:pPr>
      <w:r>
        <w:t xml:space="preserve">Otros indicadores territoriales presentes en ELSOC están asociados con la subdimensión de Cohesión barrial. Estos indicadores identifican si las personas se sienten identificadas con la gente del barrio, si se sienten integrados, si se sienten parte del barrio y si creen que es su barrio ideal. Un análisis descriptivo de estos cuatro indicadores se presenta en la Figura</w:t>
      </w:r>
      <w:r>
        <w:t xml:space="preserve"> </w:t>
      </w:r>
      <w:r>
        <w:t xml:space="preserve">1.21</w:t>
      </w:r>
      <w:r>
        <w:t xml:space="preserve"> </w:t>
      </w:r>
      <w:r>
        <w:t xml:space="preserve">y un análisis bivariado en la Figura</w:t>
      </w:r>
      <w:r>
        <w:t xml:space="preserve"> </w:t>
      </w:r>
      <w:r>
        <w:t xml:space="preserve">1.22</w:t>
      </w:r>
    </w:p>
    <w:p>
      <w:pPr>
        <w:pStyle w:val="CaptionedFigure"/>
      </w:pPr>
      <w:r>
        <w:drawing>
          <wp:inline>
            <wp:extent cx="5600700" cy="2911510"/>
            <wp:effectExtent b="0" l="0" r="0" t="0"/>
            <wp:docPr descr="Figura 1.21: Cohesión e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1.21: Cohesión en el barrio.</w:t>
      </w:r>
    </w:p>
    <w:p>
      <w:pPr>
        <w:pStyle w:val="CaptionedFigure"/>
      </w:pPr>
      <w:r>
        <w:drawing>
          <wp:inline>
            <wp:extent cx="5600700" cy="2800350"/>
            <wp:effectExtent b="0" l="0" r="0" t="0"/>
            <wp:docPr descr="Figura 1.22: Asociación indicadores cohes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1.22: Asociación indicadores cohesión barrial.</w:t>
      </w:r>
    </w:p>
    <w:p>
      <w:pPr>
        <w:pStyle w:val="Textoindependiente"/>
      </w:pPr>
      <w:r>
        <w:t xml:space="preserve">Como esta subdimensión posee cuatro indicadores, se utilizó un análisis factorial exploratorio para construir un índice sobre las dimensiones que los subyacen. La Tabla</w:t>
      </w:r>
      <w:r>
        <w:t xml:space="preserve"> </w:t>
      </w:r>
      <w:r>
        <w:t xml:space="preserve">1.6</w:t>
      </w:r>
      <w:r>
        <w:t xml:space="preserve"> </w:t>
      </w:r>
      <w:r>
        <w:t xml:space="preserve">nos muestra el resultado de este análisis. En las segunda y tercera columna se observan dos factores que incluyen los cuatro indicadores y que representan un 26% y 24% de la varianza respectivamente. En la cuarta columna podemos observar un factor que agrupa tres indicadores y que representa un 21% de la varianza.</w:t>
      </w:r>
    </w:p>
    <w:p>
      <w:pPr>
        <w:pStyle w:val="TableCaption"/>
      </w:pPr>
      <w:r>
        <w:t xml:space="preserve">Tabla 1.6: Dimensiones de Cohesión barrial.</w:t>
      </w:r>
    </w:p>
    <w:tbl>
      <w:tblPr>
        <w:tblStyle w:val="Table"/>
        <w:tblW w:type="auto" w:w="0"/>
        <w:tblLook w:firstRow="0" w:lastRow="0" w:firstColumn="0" w:lastColumn="0" w:noHBand="0" w:noVBand="0" w:val="0000"/>
        <w:tblCaption w:val="Tabla 1.6: Dimensiones de Cohesión barrial."/>
      </w:tblPr>
      <w:tblGrid>
        <w:gridCol w:w="7920"/>
      </w:tblGrid>
      <w:tr>
        <w:tc>
          <w:tcPr/>
          <w:p>
            <w:pPr>
              <w:pStyle w:val="Compact"/>
              <w:jc w:val="left"/>
            </w:pPr>
            <w:r>
              <w:drawing>
                <wp:inline>
                  <wp:extent cx="4762500" cy="2131785"/>
                  <wp:effectExtent b="0" l="0" r="0" t="0"/>
                  <wp:docPr descr="" title="" id="1" name="Picture"/>
                  <a:graphic>
                    <a:graphicData uri="http://schemas.openxmlformats.org/drawingml/2006/picture">
                      <pic:pic>
                        <pic:nvPicPr>
                          <pic:cNvPr descr="output/tables/cohesion_barrial_fa.png" id="0" name="Picture"/>
                          <pic:cNvPicPr>
                            <a:picLocks noChangeArrowheads="1" noChangeAspect="1"/>
                          </pic:cNvPicPr>
                        </pic:nvPicPr>
                        <pic:blipFill>
                          <a:blip r:embed="rId59"/>
                          <a:stretch>
                            <a:fillRect/>
                          </a:stretch>
                        </pic:blipFill>
                        <pic:spPr bwMode="auto">
                          <a:xfrm>
                            <a:off x="0" y="0"/>
                            <a:ext cx="4762500" cy="2131785"/>
                          </a:xfrm>
                          <a:prstGeom prst="rect">
                            <a:avLst/>
                          </a:prstGeom>
                          <a:noFill/>
                          <a:ln w="9525">
                            <a:noFill/>
                            <a:headEnd/>
                            <a:tailEnd/>
                          </a:ln>
                        </pic:spPr>
                      </pic:pic>
                    </a:graphicData>
                  </a:graphic>
                </wp:inline>
              </w:drawing>
            </w:r>
          </w:p>
        </w:tc>
      </w:tr>
    </w:tbl>
    <w:p>
      <w:pPr>
        <w:pStyle w:val="Textoindependiente"/>
      </w:pPr>
      <w:r>
        <w:rPr>
          <w:bCs/>
          <w:b/>
        </w:rPr>
        <w:t xml:space="preserve">Sociabilidad barrial</w:t>
      </w:r>
    </w:p>
    <w:p>
      <w:pPr>
        <w:pStyle w:val="Textoindependiente"/>
      </w:pPr>
      <w:r>
        <w:t xml:space="preserve">Esta subdimensión de indicadores territoriales aborda la percepción que se tiene sobre el barrio en relación con si las demás personas son sociables, si es fácil hacer amigos, si las personas son cordiales y si son colaboradoras. Un análisis descriptivo de estos cuatro indicadores se presenta en la Figura</w:t>
      </w:r>
      <w:r>
        <w:t xml:space="preserve"> </w:t>
      </w:r>
      <w:r>
        <w:t xml:space="preserve">1.23</w:t>
      </w:r>
      <w:r>
        <w:t xml:space="preserve"> </w:t>
      </w:r>
      <w:r>
        <w:t xml:space="preserve">y un análisis bivariado en la Figura</w:t>
      </w:r>
      <w:r>
        <w:t xml:space="preserve"> </w:t>
      </w:r>
      <w:r>
        <w:t xml:space="preserve">1.24</w:t>
      </w:r>
      <w:r>
        <w:t xml:space="preserve">.</w:t>
      </w:r>
    </w:p>
    <w:p>
      <w:pPr>
        <w:pStyle w:val="CaptionedFigure"/>
      </w:pPr>
      <w:r>
        <w:drawing>
          <wp:inline>
            <wp:extent cx="5600700" cy="2911510"/>
            <wp:effectExtent b="0" l="0" r="0" t="0"/>
            <wp:docPr descr="Figura 1.23: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6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1.23: Sociabilidad barrial.</w:t>
      </w:r>
    </w:p>
    <w:p>
      <w:pPr>
        <w:pStyle w:val="CaptionedFigure"/>
      </w:pPr>
      <w:r>
        <w:drawing>
          <wp:inline>
            <wp:extent cx="5600700" cy="2800350"/>
            <wp:effectExtent b="0" l="0" r="0" t="0"/>
            <wp:docPr descr="Figura 1.24: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6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1.24: Asociación indicadores sociabilidad barrial.</w:t>
      </w:r>
    </w:p>
    <w:p>
      <w:pPr>
        <w:pStyle w:val="Textoindependiente"/>
      </w:pPr>
      <w:r>
        <w:t xml:space="preserve">Igual que en el caso anterior, se realizó un análisis factorial exploratorio sobre estos cuatro indicadores. Los resultados se muestran en la Tabla</w:t>
      </w:r>
      <w:r>
        <w:t xml:space="preserve"> </w:t>
      </w:r>
      <w:r>
        <w:t xml:space="preserve">1.7</w:t>
      </w:r>
      <w:r>
        <w:t xml:space="preserve">. En esta tabla podemos observar dos factores que incluyen tres indicadores y que cada uno representa un 24% de la varianza. Además, podemos observar un tercer factor que incluye dos indicadores y que representa un 15% de la varianza.</w:t>
      </w:r>
    </w:p>
    <w:p>
      <w:pPr>
        <w:pStyle w:val="TableCaption"/>
      </w:pPr>
      <w:r>
        <w:t xml:space="preserve">Tabla 1.7: Dimensiones de sociabilidad barrial.</w:t>
      </w:r>
    </w:p>
    <w:tbl>
      <w:tblPr>
        <w:tblStyle w:val="Table"/>
        <w:tblW w:type="auto" w:w="0"/>
        <w:tblLook w:firstRow="0" w:lastRow="0" w:firstColumn="0" w:lastColumn="0" w:noHBand="0" w:noVBand="0" w:val="0000"/>
        <w:tblCaption w:val="Tabla 1.7: Dimensiones de sociabilidad barrial."/>
      </w:tblPr>
      <w:tblGrid>
        <w:gridCol w:w="7920"/>
      </w:tblGrid>
      <w:tr>
        <w:tc>
          <w:tcPr/>
          <w:p>
            <w:pPr>
              <w:pStyle w:val="Compact"/>
              <w:jc w:val="left"/>
            </w:pPr>
            <w:r>
              <w:drawing>
                <wp:inline>
                  <wp:extent cx="4762500" cy="2106705"/>
                  <wp:effectExtent b="0" l="0" r="0" t="0"/>
                  <wp:docPr descr="" title="" id="1" name="Picture"/>
                  <a:graphic>
                    <a:graphicData uri="http://schemas.openxmlformats.org/drawingml/2006/picture">
                      <pic:pic>
                        <pic:nvPicPr>
                          <pic:cNvPr descr="output/tables/sociabilidad_barrial_fa.png" id="0" name="Picture"/>
                          <pic:cNvPicPr>
                            <a:picLocks noChangeArrowheads="1" noChangeAspect="1"/>
                          </pic:cNvPicPr>
                        </pic:nvPicPr>
                        <pic:blipFill>
                          <a:blip r:embed="rId62"/>
                          <a:stretch>
                            <a:fillRect/>
                          </a:stretch>
                        </pic:blipFill>
                        <pic:spPr bwMode="auto">
                          <a:xfrm>
                            <a:off x="0" y="0"/>
                            <a:ext cx="4762500" cy="2106705"/>
                          </a:xfrm>
                          <a:prstGeom prst="rect">
                            <a:avLst/>
                          </a:prstGeom>
                          <a:noFill/>
                          <a:ln w="9525">
                            <a:noFill/>
                            <a:headEnd/>
                            <a:tailEnd/>
                          </a:ln>
                        </pic:spPr>
                      </pic:pic>
                    </a:graphicData>
                  </a:graphic>
                </wp:inline>
              </w:drawing>
            </w:r>
          </w:p>
        </w:tc>
      </w:tr>
    </w:tbl>
    <w:p>
      <w:pPr>
        <w:pStyle w:val="Textoindependiente"/>
      </w:pPr>
      <w:r>
        <w:rPr>
          <w:bCs/>
          <w:b/>
        </w:rPr>
        <w:t xml:space="preserve">Satisfacción residencial</w:t>
      </w:r>
    </w:p>
    <w:p>
      <w:pPr>
        <w:pStyle w:val="Textoindependiente"/>
      </w:pPr>
      <w:r>
        <w:t xml:space="preserve">Finalmente, se incluye una subdimensión de Satisfacción residencial presente en ELSOC y que está relacionada con indicadores que miden la conectividad del barrio, la proximidad con el comercio, colegios, familiares y la principal actividad de trabajo, la limpieza del barrio, la cantidad de áreas verdes y la seguridad del barrio. Se incluye un análisis descriptivo de estos ocho indicadores en la Figura</w:t>
      </w:r>
      <w:r>
        <w:t xml:space="preserve"> </w:t>
      </w:r>
      <w:r>
        <w:t xml:space="preserve">1.25</w:t>
      </w:r>
      <w:r>
        <w:t xml:space="preserve"> </w:t>
      </w:r>
      <w:r>
        <w:t xml:space="preserve">y un análisis bivariado en la Figura</w:t>
      </w:r>
      <w:r>
        <w:t xml:space="preserve"> </w:t>
      </w:r>
      <w:r>
        <w:t xml:space="preserve">1.26</w:t>
      </w:r>
      <w:r>
        <w:t xml:space="preserve">.</w:t>
      </w:r>
    </w:p>
    <w:p>
      <w:pPr>
        <w:pStyle w:val="CaptionedFigure"/>
      </w:pPr>
      <w:r>
        <w:drawing>
          <wp:inline>
            <wp:extent cx="5600700" cy="2911510"/>
            <wp:effectExtent b="0" l="0" r="0" t="0"/>
            <wp:docPr descr="Figura 1.25: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6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1.25: Satisfacción con el barrio.</w:t>
      </w:r>
    </w:p>
    <w:p>
      <w:pPr>
        <w:pStyle w:val="CaptionedFigure"/>
      </w:pPr>
      <w:r>
        <w:drawing>
          <wp:inline>
            <wp:extent cx="5600700" cy="2800350"/>
            <wp:effectExtent b="0" l="0" r="0" t="0"/>
            <wp:docPr descr="Figura 1.26: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64"/>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1.26: Asociación indicadores satisfacción residencial.</w:t>
      </w:r>
    </w:p>
    <w:p>
      <w:pPr>
        <w:pStyle w:val="Textoindependiente"/>
      </w:pPr>
      <w:r>
        <w:t xml:space="preserve">En esta subdimensión se volvió a realizar un análisis factorial exploratorio. Como observamos en la Tabla</w:t>
      </w:r>
      <w:r>
        <w:t xml:space="preserve"> </w:t>
      </w:r>
      <w:r>
        <w:t xml:space="preserve">1.8</w:t>
      </w:r>
      <w:r>
        <w:t xml:space="preserve">, en la segunda columna se presenta un factor que incluye los indicadores referidos a la conectividad y proximidad del barrio con algunos servicios, luego un segundo factor que incluye los indicadores sobre limpieza y áreas verdes y finalmente un tercer factor que incluye el indicador sobre seguridad. El primero de estos factores representa un 20% de la varianza, el segundo un 14% y el tercer factor representa un 13% de la varianza.</w:t>
      </w:r>
    </w:p>
    <w:p>
      <w:pPr>
        <w:pStyle w:val="TableCaption"/>
      </w:pPr>
      <w:r>
        <w:t xml:space="preserve">Tabla 1.8: Dimensiones de satisfaccion residencial.</w:t>
      </w:r>
    </w:p>
    <w:tbl>
      <w:tblPr>
        <w:tblStyle w:val="Table"/>
        <w:tblW w:type="auto" w:w="0"/>
        <w:tblLook w:firstRow="0" w:lastRow="0" w:firstColumn="0" w:lastColumn="0" w:noHBand="0" w:noVBand="0" w:val="0000"/>
        <w:tblCaption w:val="Tabla 1.8: Dimensiones de satisfaccion residencial."/>
      </w:tblPr>
      <w:tblGrid>
        <w:gridCol w:w="7920"/>
      </w:tblGrid>
      <w:tr>
        <w:tc>
          <w:tcPr/>
          <w:p>
            <w:pPr>
              <w:pStyle w:val="Compact"/>
              <w:jc w:val="left"/>
            </w:pPr>
            <w:r>
              <w:drawing>
                <wp:inline>
                  <wp:extent cx="4762500" cy="3080979"/>
                  <wp:effectExtent b="0" l="0" r="0" t="0"/>
                  <wp:docPr descr="" title="" id="1" name="Picture"/>
                  <a:graphic>
                    <a:graphicData uri="http://schemas.openxmlformats.org/drawingml/2006/picture">
                      <pic:pic>
                        <pic:nvPicPr>
                          <pic:cNvPr descr="output/tables/sat_residencial_fa.png" id="0" name="Picture"/>
                          <pic:cNvPicPr>
                            <a:picLocks noChangeArrowheads="1" noChangeAspect="1"/>
                          </pic:cNvPicPr>
                        </pic:nvPicPr>
                        <pic:blipFill>
                          <a:blip r:embed="rId65"/>
                          <a:stretch>
                            <a:fillRect/>
                          </a:stretch>
                        </pic:blipFill>
                        <pic:spPr bwMode="auto">
                          <a:xfrm>
                            <a:off x="0" y="0"/>
                            <a:ext cx="4762500" cy="3080979"/>
                          </a:xfrm>
                          <a:prstGeom prst="rect">
                            <a:avLst/>
                          </a:prstGeom>
                          <a:noFill/>
                          <a:ln w="9525">
                            <a:noFill/>
                            <a:headEnd/>
                            <a:tailEnd/>
                          </a:ln>
                        </pic:spPr>
                      </pic:pic>
                    </a:graphicData>
                  </a:graphic>
                </wp:inline>
              </w:drawing>
            </w:r>
          </w:p>
        </w:tc>
      </w:tr>
    </w:tbl>
    <w:bookmarkEnd w:id="66"/>
    <w:bookmarkEnd w:id="67"/>
    <w:bookmarkStart w:id="68" w:name="capítulo-ii"/>
    <w:p>
      <w:pPr>
        <w:pStyle w:val="Ttulo1"/>
      </w:pPr>
      <w:r>
        <w:rPr>
          <w:rStyle w:val="SectionNumber"/>
        </w:rPr>
        <w:t xml:space="preserve">2</w:t>
      </w:r>
      <w:r>
        <w:tab/>
      </w:r>
      <w:r>
        <w:t xml:space="preserve">Capítulo II —</w:t>
      </w:r>
    </w:p>
    <w:bookmarkEnd w:id="68"/>
    <w:bookmarkStart w:id="69" w:name="capítulo-iii"/>
    <w:p>
      <w:pPr>
        <w:pStyle w:val="Ttulo1"/>
      </w:pPr>
      <w:r>
        <w:rPr>
          <w:rStyle w:val="SectionNumber"/>
        </w:rPr>
        <w:t xml:space="preserve">3</w:t>
      </w:r>
      <w:r>
        <w:tab/>
      </w:r>
      <w:r>
        <w:t xml:space="preserve">Capítulo III —</w:t>
      </w:r>
    </w:p>
    <w:bookmarkEnd w:id="69"/>
    <w:bookmarkStart w:id="74" w:name="bibliografía"/>
    <w:p>
      <w:pPr>
        <w:pStyle w:val="Ttulo1"/>
      </w:pPr>
      <w:r>
        <w:t xml:space="preserve">Bibliografía</w:t>
      </w:r>
    </w:p>
    <w:bookmarkStart w:id="73" w:name="refs"/>
    <w:bookmarkStart w:id="71" w:name="ref-schiefer_essentials_2016"/>
    <w:p>
      <w:pPr>
        <w:pStyle w:val="Bibliografa"/>
      </w:pPr>
      <w:r>
        <w:t xml:space="preserve">Schiefer, D., y Noll, J. van der. (2016). The</w:t>
      </w:r>
      <w:r>
        <w:t xml:space="preserve"> </w:t>
      </w:r>
      <w:r>
        <w:t xml:space="preserve">Essentials</w:t>
      </w:r>
      <w:r>
        <w:t xml:space="preserve"> </w:t>
      </w:r>
      <w:r>
        <w:t xml:space="preserve">of</w:t>
      </w:r>
      <w:r>
        <w:t xml:space="preserve"> </w:t>
      </w:r>
      <w:r>
        <w:t xml:space="preserve">Social Cohesion</w:t>
      </w:r>
      <w:r>
        <w:t xml:space="preserve">:</w:t>
      </w:r>
      <w:r>
        <w:t xml:space="preserve"> </w:t>
      </w:r>
      <w:r>
        <w:t xml:space="preserve">A Literature Review</w:t>
      </w:r>
      <w:r>
        <w:t xml:space="preserve">.</w:t>
      </w:r>
      <w:r>
        <w:t xml:space="preserve"> </w:t>
      </w:r>
      <w:r>
        <w:rPr>
          <w:iCs/>
          <w:i/>
        </w:rPr>
        <w:t xml:space="preserve">Social Indicators Research</w:t>
      </w:r>
      <w:r>
        <w:t xml:space="preserve">, 1-25.</w:t>
      </w:r>
      <w:r>
        <w:t xml:space="preserve"> </w:t>
      </w:r>
      <w:hyperlink r:id="rId70">
        <w:r>
          <w:rPr>
            <w:rStyle w:val="Hipervnculo"/>
          </w:rPr>
          <w:t xml:space="preserve">https://doi.org/10.1007/s11205-016-1314-5</w:t>
        </w:r>
      </w:hyperlink>
    </w:p>
    <w:bookmarkEnd w:id="71"/>
    <w:bookmarkStart w:id="72" w:name="ref-valenzuela_vinculos_2008"/>
    <w:p>
      <w:pPr>
        <w:pStyle w:val="Bibliografa"/>
      </w:pPr>
      <w:r>
        <w:t xml:space="preserve">Valenzuela, E., Schwartzman, S., Valenzuela, S., Scully, T., Somma, N., y Biehl, A. (2008).</w:t>
      </w:r>
      <w:r>
        <w:t xml:space="preserve"> </w:t>
      </w:r>
      <w:r>
        <w:rPr>
          <w:iCs/>
          <w:i/>
        </w:rPr>
        <w:t xml:space="preserve">Vínculos, creencias e ilusiones. La cohesión social de los latinoamericanos</w:t>
      </w:r>
      <w:r>
        <w:rPr>
          <w:iCs/>
          <w:i/>
        </w:rPr>
        <w:t xml:space="preserve"> </w:t>
      </w:r>
      <w:r>
        <w:rPr>
          <w:iCs/>
          <w:i/>
        </w:rPr>
        <w:t xml:space="preserve"> </w:t>
      </w:r>
      <w:r>
        <w:rPr>
          <w:iCs/>
          <w:i/>
        </w:rPr>
        <w:t xml:space="preserve">Cieplan</w:t>
      </w:r>
      <w:r>
        <w:t xml:space="preserve"> </w:t>
      </w:r>
      <w:r>
        <w:t xml:space="preserve">(Uqbar).</w:t>
      </w:r>
      <w:r>
        <w:t xml:space="preserve"> </w:t>
      </w:r>
      <w:r>
        <w:t xml:space="preserve">Santiago</w:t>
      </w:r>
      <w:r>
        <w:t xml:space="preserve">.</w:t>
      </w:r>
    </w:p>
    <w:bookmarkEnd w:id="72"/>
    <w:bookmarkEnd w:id="73"/>
    <w:bookmarkEnd w:id="74"/>
    <w:sectPr w:rsidR="00E871F2" w:rsidSect="00F07E07">
      <w:headerReference r:id="rId9" w:type="default"/>
      <w:footerReference r:id="rId10" w:type="even"/>
      <w:footerReference r:id="rId11" w:type="default"/>
      <w:pgSz w:h="15840" w:w="12240"/>
      <w:pgMar w:bottom="1417" w:footer="720" w:gutter="0" w:header="720" w:left="1701" w:right="1701" w:top="1417"/>
      <w:pgNumType w:chapStyle="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B3CBBDEE"/>
    <w:multiLevelType w:val="multilevel"/>
    <w:tmpl w:val="E04082BA"/>
    <w:lvl w:ilvl="0">
      <w:start w:val="3"/>
      <w:numFmt w:val="decimal"/>
      <w:lvlText w:val="%1."/>
      <w:lvlJc w:val="left"/>
      <w:pPr>
        <w:tabs>
          <w:tab w:pos="0" w:val="num"/>
        </w:tabs>
        <w:ind w:hanging="480" w:left="480"/>
      </w:pPr>
    </w:lvl>
    <w:lvl w:ilvl="1">
      <w:start w:val="3"/>
      <w:numFmt w:val="decimal"/>
      <w:lvlText w:val="%2."/>
      <w:lvlJc w:val="left"/>
      <w:pPr>
        <w:tabs>
          <w:tab w:pos="720" w:val="num"/>
        </w:tabs>
        <w:ind w:hanging="480" w:left="1200"/>
      </w:pPr>
    </w:lvl>
    <w:lvl w:ilvl="2">
      <w:start w:val="3"/>
      <w:numFmt w:val="decimal"/>
      <w:lvlText w:val="%3."/>
      <w:lvlJc w:val="left"/>
      <w:pPr>
        <w:tabs>
          <w:tab w:pos="1440" w:val="num"/>
        </w:tabs>
        <w:ind w:hanging="480" w:left="1920"/>
      </w:pPr>
    </w:lvl>
    <w:lvl w:ilvl="3">
      <w:start w:val="3"/>
      <w:numFmt w:val="decimal"/>
      <w:lvlText w:val="%4."/>
      <w:lvlJc w:val="left"/>
      <w:pPr>
        <w:tabs>
          <w:tab w:pos="2160" w:val="num"/>
        </w:tabs>
        <w:ind w:hanging="480" w:left="2640"/>
      </w:pPr>
    </w:lvl>
    <w:lvl w:ilvl="4">
      <w:start w:val="3"/>
      <w:numFmt w:val="decimal"/>
      <w:lvlText w:val="%5."/>
      <w:lvlJc w:val="left"/>
      <w:pPr>
        <w:tabs>
          <w:tab w:pos="2880" w:val="num"/>
        </w:tabs>
        <w:ind w:hanging="480" w:left="3360"/>
      </w:pPr>
    </w:lvl>
    <w:lvl w:ilvl="5">
      <w:start w:val="3"/>
      <w:numFmt w:val="decimal"/>
      <w:lvlText w:val="%6."/>
      <w:lvlJc w:val="left"/>
      <w:pPr>
        <w:tabs>
          <w:tab w:pos="3600" w:val="num"/>
        </w:tabs>
        <w:ind w:hanging="480" w:left="4080"/>
      </w:pPr>
    </w:lvl>
    <w:lvl w:ilvl="6">
      <w:start w:val="3"/>
      <w:numFmt w:val="decimal"/>
      <w:lvlText w:val="%7."/>
      <w:lvlJc w:val="left"/>
      <w:pPr>
        <w:tabs>
          <w:tab w:pos="4320" w:val="num"/>
        </w:tabs>
        <w:ind w:hanging="480" w:left="4800"/>
      </w:pPr>
    </w:lvl>
    <w:lvl w:ilvl="7">
      <w:start w:val="3"/>
      <w:numFmt w:val="decimal"/>
      <w:lvlText w:val="%8."/>
      <w:lvlJc w:val="left"/>
      <w:pPr>
        <w:tabs>
          <w:tab w:pos="5040" w:val="num"/>
        </w:tabs>
        <w:ind w:hanging="480" w:left="5520"/>
      </w:pPr>
    </w:lvl>
    <w:lvl w:ilvl="8">
      <w:start w:val="3"/>
      <w:numFmt w:val="decimal"/>
      <w:lvlText w:val="%9."/>
      <w:lvlJc w:val="left"/>
      <w:pPr>
        <w:tabs>
          <w:tab w:pos="5760" w:val="num"/>
        </w:tabs>
        <w:ind w:hanging="480" w:left="6240"/>
      </w:pPr>
    </w:lvl>
  </w:abstractNum>
  <w:abstractNum w15:restartNumberingAfterBreak="0" w:abstractNumId="1">
    <w:nsid w:val="08640A82"/>
    <w:multiLevelType w:val="hybridMultilevel"/>
    <w:tmpl w:val="425E8A6A"/>
    <w:lvl w:ilvl="0" w:tplc="AF24A5A4">
      <w:start w:val="1"/>
      <w:numFmt w:val="decimal"/>
      <w:pStyle w:val="DT221N1ENUM"/>
      <w:lvlText w:val="%1."/>
      <w:lvlJc w:val="left"/>
      <w:pPr>
        <w:ind w:hanging="397" w:left="397"/>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2">
    <w:nsid w:val="0F1B1FC2"/>
    <w:multiLevelType w:val="hybridMultilevel"/>
    <w:tmpl w:val="ADCCF51E"/>
    <w:lvl w:ilvl="0" w:tplc="01962846">
      <w:start w:val="1"/>
      <w:numFmt w:val="decimal"/>
      <w:pStyle w:val="DT22ENUMERACIN"/>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3">
    <w:nsid w:val="12004808"/>
    <w:multiLevelType w:val="hybridMultilevel"/>
    <w:tmpl w:val="1598D932"/>
    <w:lvl w:ilvl="0" w:tplc="72849494">
      <w:start w:val="1"/>
      <w:numFmt w:val="bullet"/>
      <w:pStyle w:val="DT-3VIETAS"/>
      <w:lvlText w:val=""/>
      <w:lvlJc w:val="left"/>
      <w:pPr>
        <w:ind w:hanging="360" w:left="720"/>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4">
    <w:nsid w:val="18C61C57"/>
    <w:multiLevelType w:val="hybridMultilevel"/>
    <w:tmpl w:val="D92AAEA0"/>
    <w:lvl w:ilvl="0" w:tplc="1A5458DC">
      <w:start w:val="1"/>
      <w:numFmt w:val="bullet"/>
      <w:lvlText w:val=""/>
      <w:lvlJc w:val="left"/>
      <w:pPr>
        <w:ind w:hanging="360" w:left="720"/>
      </w:pPr>
      <w:rPr>
        <w:rFonts w:ascii="Wingdings" w:hAnsi="Wingdings" w:hint="default"/>
      </w:rPr>
    </w:lvl>
    <w:lvl w:ilvl="1" w:tentative="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5">
    <w:nsid w:val="21050461"/>
    <w:multiLevelType w:val="multilevel"/>
    <w:tmpl w:val="E75AFCD2"/>
    <w:lvl w:ilvl="0">
      <w:start w:val="1"/>
      <w:numFmt w:val="bullet"/>
      <w:lvlText w:val=""/>
      <w:lvlJc w:val="left"/>
      <w:pPr>
        <w:ind w:hanging="360" w:left="717"/>
      </w:pPr>
      <w:rPr>
        <w:rFonts w:ascii="Wingdings" w:hAnsi="Wingdings" w:hint="default"/>
      </w:rPr>
    </w:lvl>
    <w:lvl w:ilvl="1">
      <w:start w:val="1"/>
      <w:numFmt w:val="bullet"/>
      <w:lvlText w:val="o"/>
      <w:lvlJc w:val="left"/>
      <w:pPr>
        <w:ind w:hanging="360" w:left="1440"/>
      </w:pPr>
      <w:rPr>
        <w:rFonts w:ascii="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22C648B2"/>
    <w:multiLevelType w:val="hybridMultilevel"/>
    <w:tmpl w:val="C1F6AC16"/>
    <w:lvl w:ilvl="0" w:tplc="5E520E8A">
      <w:start w:val="1"/>
      <w:numFmt w:val="bullet"/>
      <w:pStyle w:val="DTVIETREFERENCIAS"/>
      <w:lvlText w:val=""/>
      <w:lvlJc w:val="left"/>
      <w:pPr>
        <w:ind w:hanging="360" w:left="1077"/>
      </w:pPr>
      <w:rPr>
        <w:rFonts w:ascii="Wingdings" w:hAnsi="Wingdings" w:hint="default"/>
      </w:rPr>
    </w:lvl>
    <w:lvl w:ilvl="1" w:tentative="1" w:tplc="080A0003">
      <w:start w:val="1"/>
      <w:numFmt w:val="bullet"/>
      <w:lvlText w:val="o"/>
      <w:lvlJc w:val="left"/>
      <w:pPr>
        <w:ind w:hanging="360" w:left="1797"/>
      </w:pPr>
      <w:rPr>
        <w:rFonts w:ascii="Courier New" w:hAnsi="Courier New" w:hint="default"/>
      </w:rPr>
    </w:lvl>
    <w:lvl w:ilvl="2" w:tentative="1" w:tplc="080A0005">
      <w:start w:val="1"/>
      <w:numFmt w:val="bullet"/>
      <w:lvlText w:val=""/>
      <w:lvlJc w:val="left"/>
      <w:pPr>
        <w:ind w:hanging="360" w:left="2517"/>
      </w:pPr>
      <w:rPr>
        <w:rFonts w:ascii="Wingdings" w:hAnsi="Wingdings" w:hint="default"/>
      </w:rPr>
    </w:lvl>
    <w:lvl w:ilvl="3" w:tentative="1" w:tplc="080A0001">
      <w:start w:val="1"/>
      <w:numFmt w:val="bullet"/>
      <w:lvlText w:val=""/>
      <w:lvlJc w:val="left"/>
      <w:pPr>
        <w:ind w:hanging="360" w:left="3237"/>
      </w:pPr>
      <w:rPr>
        <w:rFonts w:ascii="Symbol" w:hAnsi="Symbol" w:hint="default"/>
      </w:rPr>
    </w:lvl>
    <w:lvl w:ilvl="4" w:tentative="1" w:tplc="080A0003">
      <w:start w:val="1"/>
      <w:numFmt w:val="bullet"/>
      <w:lvlText w:val="o"/>
      <w:lvlJc w:val="left"/>
      <w:pPr>
        <w:ind w:hanging="360" w:left="3957"/>
      </w:pPr>
      <w:rPr>
        <w:rFonts w:ascii="Courier New" w:hAnsi="Courier New" w:hint="default"/>
      </w:rPr>
    </w:lvl>
    <w:lvl w:ilvl="5" w:tentative="1" w:tplc="080A0005">
      <w:start w:val="1"/>
      <w:numFmt w:val="bullet"/>
      <w:lvlText w:val=""/>
      <w:lvlJc w:val="left"/>
      <w:pPr>
        <w:ind w:hanging="360" w:left="4677"/>
      </w:pPr>
      <w:rPr>
        <w:rFonts w:ascii="Wingdings" w:hAnsi="Wingdings" w:hint="default"/>
      </w:rPr>
    </w:lvl>
    <w:lvl w:ilvl="6" w:tentative="1" w:tplc="080A0001">
      <w:start w:val="1"/>
      <w:numFmt w:val="bullet"/>
      <w:lvlText w:val=""/>
      <w:lvlJc w:val="left"/>
      <w:pPr>
        <w:ind w:hanging="360" w:left="5397"/>
      </w:pPr>
      <w:rPr>
        <w:rFonts w:ascii="Symbol" w:hAnsi="Symbol" w:hint="default"/>
      </w:rPr>
    </w:lvl>
    <w:lvl w:ilvl="7" w:tentative="1" w:tplc="080A0003">
      <w:start w:val="1"/>
      <w:numFmt w:val="bullet"/>
      <w:lvlText w:val="o"/>
      <w:lvlJc w:val="left"/>
      <w:pPr>
        <w:ind w:hanging="360" w:left="6117"/>
      </w:pPr>
      <w:rPr>
        <w:rFonts w:ascii="Courier New" w:hAnsi="Courier New" w:hint="default"/>
      </w:rPr>
    </w:lvl>
    <w:lvl w:ilvl="8" w:tentative="1" w:tplc="080A0005">
      <w:start w:val="1"/>
      <w:numFmt w:val="bullet"/>
      <w:lvlText w:val=""/>
      <w:lvlJc w:val="left"/>
      <w:pPr>
        <w:ind w:hanging="360" w:left="6837"/>
      </w:pPr>
      <w:rPr>
        <w:rFonts w:ascii="Wingdings" w:hAnsi="Wingdings" w:hint="default"/>
      </w:rPr>
    </w:lvl>
  </w:abstractNum>
  <w:abstractNum w15:restartNumberingAfterBreak="0" w:abstractNumId="7">
    <w:nsid w:val="2C1AE401"/>
    <w:multiLevelType w:val="multilevel"/>
    <w:tmpl w:val="CC1A90D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8">
    <w:nsid w:val="322A2D46"/>
    <w:multiLevelType w:val="hybridMultilevel"/>
    <w:tmpl w:val="17E4DBE8"/>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9">
    <w:nsid w:val="36784AFE"/>
    <w:multiLevelType w:val="multilevel"/>
    <w:tmpl w:val="C0FABE96"/>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0">
    <w:nsid w:val="45DD7983"/>
    <w:multiLevelType w:val="multilevel"/>
    <w:tmpl w:val="5F326FF4"/>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1">
    <w:nsid w:val="46487CC0"/>
    <w:multiLevelType w:val="hybridMultilevel"/>
    <w:tmpl w:val="674095A6"/>
    <w:lvl w:ilvl="0" w:tplc="040A000F">
      <w:start w:val="1"/>
      <w:numFmt w:val="decimal"/>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47261BAD"/>
    <w:multiLevelType w:val="multilevel"/>
    <w:tmpl w:val="480441BA"/>
    <w:lvl w:ilvl="0">
      <w:start w:val="2"/>
      <w:numFmt w:val="decimal"/>
      <w:lvlText w:val="%1."/>
      <w:lvlJc w:val="left"/>
      <w:pPr>
        <w:tabs>
          <w:tab w:pos="0" w:val="num"/>
        </w:tabs>
        <w:ind w:hanging="480" w:left="480"/>
      </w:pPr>
    </w:lvl>
    <w:lvl w:ilvl="1">
      <w:start w:val="2"/>
      <w:numFmt w:val="decimal"/>
      <w:lvlText w:val="%2."/>
      <w:lvlJc w:val="left"/>
      <w:pPr>
        <w:tabs>
          <w:tab w:pos="720" w:val="num"/>
        </w:tabs>
        <w:ind w:hanging="480" w:left="1200"/>
      </w:pPr>
    </w:lvl>
    <w:lvl w:ilvl="2">
      <w:start w:val="2"/>
      <w:numFmt w:val="decimal"/>
      <w:lvlText w:val="%3."/>
      <w:lvlJc w:val="left"/>
      <w:pPr>
        <w:tabs>
          <w:tab w:pos="1440" w:val="num"/>
        </w:tabs>
        <w:ind w:hanging="480" w:left="1920"/>
      </w:pPr>
    </w:lvl>
    <w:lvl w:ilvl="3">
      <w:start w:val="2"/>
      <w:numFmt w:val="decimal"/>
      <w:lvlText w:val="%4."/>
      <w:lvlJc w:val="left"/>
      <w:pPr>
        <w:tabs>
          <w:tab w:pos="2160" w:val="num"/>
        </w:tabs>
        <w:ind w:hanging="480" w:left="2640"/>
      </w:pPr>
    </w:lvl>
    <w:lvl w:ilvl="4">
      <w:start w:val="2"/>
      <w:numFmt w:val="decimal"/>
      <w:lvlText w:val="%5."/>
      <w:lvlJc w:val="left"/>
      <w:pPr>
        <w:tabs>
          <w:tab w:pos="2880" w:val="num"/>
        </w:tabs>
        <w:ind w:hanging="480" w:left="3360"/>
      </w:pPr>
    </w:lvl>
    <w:lvl w:ilvl="5">
      <w:start w:val="2"/>
      <w:numFmt w:val="decimal"/>
      <w:lvlText w:val="%6."/>
      <w:lvlJc w:val="left"/>
      <w:pPr>
        <w:tabs>
          <w:tab w:pos="3600" w:val="num"/>
        </w:tabs>
        <w:ind w:hanging="480" w:left="4080"/>
      </w:pPr>
    </w:lvl>
    <w:lvl w:ilvl="6">
      <w:start w:val="2"/>
      <w:numFmt w:val="decimal"/>
      <w:lvlText w:val="%7."/>
      <w:lvlJc w:val="left"/>
      <w:pPr>
        <w:tabs>
          <w:tab w:pos="4320" w:val="num"/>
        </w:tabs>
        <w:ind w:hanging="480" w:left="4800"/>
      </w:pPr>
    </w:lvl>
    <w:lvl w:ilvl="7">
      <w:start w:val="2"/>
      <w:numFmt w:val="decimal"/>
      <w:lvlText w:val="%8."/>
      <w:lvlJc w:val="left"/>
      <w:pPr>
        <w:tabs>
          <w:tab w:pos="5040" w:val="num"/>
        </w:tabs>
        <w:ind w:hanging="480" w:left="5520"/>
      </w:pPr>
    </w:lvl>
    <w:lvl w:ilvl="8">
      <w:start w:val="2"/>
      <w:numFmt w:val="decimal"/>
      <w:lvlText w:val="%9."/>
      <w:lvlJc w:val="left"/>
      <w:pPr>
        <w:tabs>
          <w:tab w:pos="5760" w:val="num"/>
        </w:tabs>
        <w:ind w:hanging="480" w:left="6240"/>
      </w:pPr>
    </w:lvl>
  </w:abstractNum>
  <w:abstractNum w15:restartNumberingAfterBreak="0" w:abstractNumId="13">
    <w:nsid w:val="5869099C"/>
    <w:multiLevelType w:val="hybridMultilevel"/>
    <w:tmpl w:val="A748E314"/>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B9B668E"/>
    <w:multiLevelType w:val="hybridMultilevel"/>
    <w:tmpl w:val="E26CFA6C"/>
    <w:lvl w:ilvl="0" w:tplc="CDF6E3BE">
      <w:start w:val="1"/>
      <w:numFmt w:val="bullet"/>
      <w:pStyle w:val="DT-vietas"/>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5">
    <w:nsid w:val="6D8C5397"/>
    <w:multiLevelType w:val="multilevel"/>
    <w:tmpl w:val="487401B4"/>
    <w:lvl w:ilvl="0">
      <w:start w:val="1"/>
      <w:numFmt w:val="decimal"/>
      <w:lvlText w:val="%1."/>
      <w:lvlJc w:val="left"/>
      <w:pPr>
        <w:ind w:hanging="360" w:left="360"/>
      </w:pPr>
      <w:rPr>
        <w:rFonts w:hint="default"/>
      </w:r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15:restartNumberingAfterBreak="0" w:abstractNumId="16">
    <w:nsid w:val="71315DCA"/>
    <w:multiLevelType w:val="multilevel"/>
    <w:tmpl w:val="F0163E02"/>
    <w:lvl w:ilvl="0">
      <w:start w:val="1"/>
      <w:numFmt w:val="decimal"/>
      <w:lvlText w:val="%1."/>
      <w:lvlJc w:val="left"/>
      <w:pPr>
        <w:tabs>
          <w:tab w:pos="0" w:val="num"/>
        </w:tabs>
        <w:ind w:hanging="480" w:left="480"/>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7">
    <w:nsid w:val="775C4918"/>
    <w:multiLevelType w:val="hybridMultilevel"/>
    <w:tmpl w:val="487401B4"/>
    <w:lvl w:ilvl="0" w:tplc="CD8C161A">
      <w:start w:val="1"/>
      <w:numFmt w:val="decimal"/>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18">
    <w:nsid w:val="79C24D16"/>
    <w:multiLevelType w:val="hybridMultilevel"/>
    <w:tmpl w:val="014C044E"/>
    <w:lvl w:ilvl="0" w:tplc="6F9ADE84">
      <w:start w:val="1"/>
      <w:numFmt w:val="bullet"/>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9">
    <w:nsid w:val="7E277F0C"/>
    <w:multiLevelType w:val="hybridMultilevel"/>
    <w:tmpl w:val="A3AA4C12"/>
    <w:lvl w:ilvl="0" w:tplc="B04AAF06">
      <w:start w:val="1"/>
      <w:numFmt w:val="decimal"/>
      <w:pStyle w:val="DT221ENUMERACIN"/>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rsid w:val="00543F19"/>
    <w:pPr>
      <w:spacing w:after="180" w:before="180"/>
      <w:jc w:val="both"/>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Ttul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link w:val="TextonotapieCar"/>
    <w:uiPriority w:val="9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VietasDT" w:type="paragraph">
    <w:name w:val="Viñetas DT"/>
    <w:basedOn w:val="Compact"/>
    <w:autoRedefine/>
    <w:qFormat/>
    <w:rsid w:val="006B75B2"/>
    <w:rPr>
      <w:rFonts w:ascii="DINPro-Regular" w:cs="Times New Roman" w:eastAsia="Times New Roman" w:hAnsi="DINPro-Regular"/>
      <w:color w:themeColor="text1" w:themeTint="D9" w:val="262626"/>
      <w:lang w:eastAsia="es-ES_tradnl" w:val="es"/>
    </w:rPr>
  </w:style>
  <w:style w:customStyle="1" w:styleId="TextoindependienteCar" w:type="character">
    <w:name w:val="Texto independiente Car"/>
    <w:basedOn w:val="Fuentedeprrafopredeter"/>
    <w:link w:val="Textoindependiente"/>
    <w:rsid w:val="00543F19"/>
  </w:style>
  <w:style w:customStyle="1" w:styleId="DT-vietas" w:type="paragraph">
    <w:name w:val="DT - viñetas"/>
    <w:basedOn w:val="Compact"/>
    <w:autoRedefine/>
    <w:rsid w:val="00E54DE8"/>
    <w:pPr>
      <w:numPr>
        <w:numId w:val="6"/>
      </w:numPr>
      <w:spacing w:after="156" w:before="156"/>
    </w:pPr>
    <w:rPr>
      <w:rFonts w:ascii="DINPro-Regular" w:cs="Times New Roman" w:eastAsia="Times New Roman" w:hAnsi="DINPro-Regular"/>
      <w:color w:themeColor="text1" w:themeTint="D9" w:val="262626"/>
      <w:lang w:eastAsia="es-ES_tradnl" w:val="es"/>
    </w:rPr>
  </w:style>
  <w:style w:styleId="Prrafodelista" w:type="paragraph">
    <w:name w:val="List Paragraph"/>
    <w:basedOn w:val="Normal"/>
    <w:rsid w:val="006B75B2"/>
    <w:pPr>
      <w:ind w:left="720"/>
      <w:contextualSpacing/>
    </w:pPr>
  </w:style>
  <w:style w:customStyle="1" w:styleId="DT-3VIETAS" w:type="paragraph">
    <w:name w:val="DT - 3. VIÑETAS"/>
    <w:basedOn w:val="Prrafodelista"/>
    <w:qFormat/>
    <w:rsid w:val="006B75B2"/>
    <w:pPr>
      <w:numPr>
        <w:numId w:val="7"/>
      </w:numPr>
    </w:pPr>
    <w:rPr>
      <w:rFonts w:ascii="DINPro-Regular" w:cs="Times New Roman" w:eastAsia="Times New Roman" w:hAnsi="DINPro-Regular"/>
      <w:color w:themeColor="text1" w:themeTint="D9" w:val="262626"/>
      <w:lang w:eastAsia="es-ES_tradnl" w:val="es"/>
    </w:rPr>
  </w:style>
  <w:style w:customStyle="1" w:styleId="DT22ENUMERACIN" w:type="paragraph">
    <w:name w:val="DT. 2.2. ENUMERACIÓN"/>
    <w:basedOn w:val="FirstParagraph"/>
    <w:autoRedefine/>
    <w:qFormat/>
    <w:rsid w:val="000C5E19"/>
    <w:pPr>
      <w:numPr>
        <w:numId w:val="20"/>
      </w:numPr>
      <w:textboxTightWrap w:val="lastLineOnly"/>
    </w:pPr>
    <w:rPr>
      <w:rFonts w:ascii="DINPro-Regular" w:cs="Times New Roman" w:eastAsia="Times New Roman" w:hAnsi="DINPro-Regular"/>
      <w:color w:themeColor="text1" w:themeTint="D9" w:val="262626"/>
      <w:lang w:eastAsia="es-ES_tradnl" w:val="es"/>
    </w:rPr>
  </w:style>
  <w:style w:customStyle="1" w:styleId="DT11SUBTTULOS" w:type="paragraph">
    <w:name w:val="DT 1.1 SUBTÍTULOS"/>
    <w:basedOn w:val="Ttulo2"/>
    <w:autoRedefine/>
    <w:qFormat/>
    <w:rsid w:val="00631B63"/>
    <w:pPr>
      <w:jc w:val="both"/>
    </w:pPr>
    <w:rPr>
      <w:rFonts w:ascii="DINPro-Medium" w:hAnsi="DINPro-Medium"/>
      <w:b w:val="0"/>
      <w:bCs w:val="0"/>
      <w:color w:themeColor="text1" w:themeTint="D9" w:val="262626"/>
      <w:lang w:val="es"/>
    </w:rPr>
  </w:style>
  <w:style w:customStyle="1" w:styleId="DT1TTULOS" w:type="paragraph">
    <w:name w:val="DT 1. TÍTULOS"/>
    <w:basedOn w:val="Ttulo1"/>
    <w:autoRedefine/>
    <w:qFormat/>
    <w:rsid w:val="00631B63"/>
    <w:pPr>
      <w:jc w:val="both"/>
    </w:pPr>
    <w:rPr>
      <w:rFonts w:ascii="DINPro-Medium" w:cs="Times New Roman (Títulos en alf" w:hAnsi="DINPro-Medium"/>
      <w:caps/>
      <w:color w:themeColor="text1" w:themeTint="D9" w:val="262626"/>
      <w:sz w:val="28"/>
      <w:szCs w:val="28"/>
      <w:lang w:val="es"/>
    </w:rPr>
  </w:style>
  <w:style w:customStyle="1" w:styleId="DT221ENUMERACIN" w:type="paragraph">
    <w:name w:val="DT. 2.2. (1) ENUMERACIÓN"/>
    <w:basedOn w:val="DT22ENUMERACIN"/>
    <w:autoRedefine/>
    <w:qFormat/>
    <w:rsid w:val="00FE00AA"/>
    <w:pPr>
      <w:numPr>
        <w:numId w:val="8"/>
      </w:numPr>
    </w:pPr>
  </w:style>
  <w:style w:styleId="Mencinsinresolver" w:type="character">
    <w:name w:val="Unresolved Mention"/>
    <w:basedOn w:val="Fuentedeprrafopredeter"/>
    <w:uiPriority w:val="99"/>
    <w:semiHidden/>
    <w:unhideWhenUsed/>
    <w:rsid w:val="00002EA0"/>
    <w:rPr>
      <w:color w:val="605E5C"/>
      <w:shd w:color="auto" w:fill="E1DFDD" w:val="clear"/>
    </w:rPr>
  </w:style>
  <w:style w:styleId="Hipervnculovisitado" w:type="character">
    <w:name w:val="FollowedHyperlink"/>
    <w:basedOn w:val="Fuentedeprrafopredeter"/>
    <w:semiHidden/>
    <w:unhideWhenUsed/>
    <w:rsid w:val="00002EA0"/>
    <w:rPr>
      <w:color w:themeColor="followedHyperlink" w:val="800080"/>
      <w:u w:val="single"/>
    </w:rPr>
  </w:style>
  <w:style w:customStyle="1" w:styleId="DTLINKSYREFERENCIAS" w:type="paragraph">
    <w:name w:val="DT. LINKS Y REFERENCIAS"/>
    <w:basedOn w:val="Textoindependiente"/>
    <w:autoRedefine/>
    <w:qFormat/>
    <w:rsid w:val="007235F9"/>
    <w:rPr>
      <w:rFonts w:ascii="DINPro-Regular" w:cs="Times New Roman" w:eastAsia="Times New Roman" w:hAnsi="DINPro-Regular"/>
      <w:color w:val="0070C0"/>
      <w:lang w:eastAsia="es-ES_tradnl" w:val="es"/>
    </w:rPr>
  </w:style>
  <w:style w:customStyle="1" w:styleId="DT221N1ENUM" w:type="paragraph">
    <w:name w:val="DT.2.2 (1*) N1. ENUM"/>
    <w:basedOn w:val="DT221ENUMERACIN"/>
    <w:autoRedefine/>
    <w:qFormat/>
    <w:rsid w:val="000C5E19"/>
    <w:pPr>
      <w:numPr>
        <w:numId w:val="9"/>
      </w:numPr>
    </w:pPr>
  </w:style>
  <w:style w:styleId="Piedepgina" w:type="paragraph">
    <w:name w:val="footer"/>
    <w:basedOn w:val="Normal"/>
    <w:link w:val="PiedepginaCar"/>
    <w:unhideWhenUsed/>
    <w:rsid w:val="00F07E07"/>
    <w:pPr>
      <w:tabs>
        <w:tab w:pos="4419" w:val="center"/>
        <w:tab w:pos="8838" w:val="right"/>
      </w:tabs>
      <w:spacing w:after="0"/>
    </w:pPr>
  </w:style>
  <w:style w:customStyle="1" w:styleId="PiedepginaCar" w:type="character">
    <w:name w:val="Pie de página Car"/>
    <w:basedOn w:val="Fuentedeprrafopredeter"/>
    <w:link w:val="Piedepgina"/>
    <w:rsid w:val="00F07E07"/>
  </w:style>
  <w:style w:styleId="Nmerodepgina" w:type="character">
    <w:name w:val="page number"/>
    <w:basedOn w:val="Fuentedeprrafopredeter"/>
    <w:semiHidden/>
    <w:unhideWhenUsed/>
    <w:rsid w:val="00F07E07"/>
  </w:style>
  <w:style w:styleId="Encabezado" w:type="paragraph">
    <w:name w:val="header"/>
    <w:basedOn w:val="Normal"/>
    <w:link w:val="EncabezadoCar"/>
    <w:unhideWhenUsed/>
    <w:rsid w:val="00F07E07"/>
    <w:pPr>
      <w:tabs>
        <w:tab w:pos="4419" w:val="center"/>
        <w:tab w:pos="8838" w:val="right"/>
      </w:tabs>
      <w:spacing w:after="0"/>
    </w:pPr>
  </w:style>
  <w:style w:customStyle="1" w:styleId="EncabezadoCar" w:type="character">
    <w:name w:val="Encabezado Car"/>
    <w:basedOn w:val="Fuentedeprrafopredeter"/>
    <w:link w:val="Encabezado"/>
    <w:rsid w:val="00F07E07"/>
  </w:style>
  <w:style w:customStyle="1" w:styleId="TextonotapieCar" w:type="character">
    <w:name w:val="Texto nota pie Car"/>
    <w:basedOn w:val="Fuentedeprrafopredeter"/>
    <w:link w:val="Textonotapie"/>
    <w:uiPriority w:val="99"/>
    <w:rsid w:val="00F07E07"/>
  </w:style>
  <w:style w:customStyle="1" w:styleId="DTFiguras" w:type="paragraph">
    <w:name w:val="DT. Figuras"/>
    <w:basedOn w:val="ImageCaption"/>
    <w:autoRedefine/>
    <w:qFormat/>
    <w:rsid w:val="00E54DE8"/>
    <w:pPr>
      <w:jc w:val="both"/>
    </w:pPr>
    <w:rPr>
      <w:rFonts w:ascii="DINPro-Regular" w:hAnsi="DINPro-Regular"/>
      <w:sz w:val="22"/>
      <w:szCs w:val="22"/>
      <w:lang w:val="es"/>
    </w:rPr>
  </w:style>
  <w:style w:customStyle="1" w:styleId="DTVIETREFERENCIAS" w:type="paragraph">
    <w:name w:val="DT. VIÑET. REFERENCIAS"/>
    <w:basedOn w:val="DT-vietas"/>
    <w:autoRedefine/>
    <w:qFormat/>
    <w:rsid w:val="00AC0280"/>
    <w:pPr>
      <w:keepLines/>
      <w:numPr>
        <w:numId w:val="12"/>
      </w:numPr>
      <w:spacing w:after="276" w:before="276"/>
      <w:ind w:hanging="357" w:left="1071"/>
    </w:pPr>
    <w:rPr>
      <w:lang w:val="es"/>
    </w:rPr>
  </w:style>
  <w:style w:customStyle="1" w:styleId="DTprraforef" w:type="paragraph">
    <w:name w:val="DT. párrafo ref."/>
    <w:basedOn w:val="DTVIETREFERENCIAS"/>
    <w:autoRedefine/>
    <w:qFormat/>
    <w:rsid w:val="00AC0280"/>
    <w:pPr>
      <w:numPr>
        <w:numId w:val="0"/>
      </w:numPr>
      <w:spacing w:line="240" w:lineRule="atLeast"/>
      <w:ind w:left="714"/>
      <w:contextualSpacing/>
      <w:textboxTightWrap w:val="allLines"/>
    </w:pPr>
    <w:rPr>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9" Target="media/rId29.jp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47" Target="media/rId47.png" /><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70" Target="https://doi.org/10.1007/s11205-016-1314-5"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footnotes.xml.rels><?xml version="1.0" encoding="UTF-8"?><Relationships xmlns="http://schemas.openxmlformats.org/package/2006/relationships"><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70" Target="https://doi.org/10.1007/s11205-016-1314-5"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2021-09-01T19:55:32Z</dcterms:created>
  <dcterms:modified xsi:type="dcterms:W3CDTF">2021-09-01T19:55:32Z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2021-09-01</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