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0.jpg" ContentType="image/jpeg"/>
  <Override PartName="/word/media/rId59.png" ContentType="image/png"/>
  <Override PartName="/word/media/rId60.png" ContentType="image/png"/>
  <Override PartName="/word/media/rId43.png" ContentType="image/png"/>
  <Override PartName="/word/media/rId44.png" ContentType="image/png"/>
  <Override PartName="/word/media/rId34.png" ContentType="image/png"/>
  <Override PartName="/word/media/rId35.png" ContentType="image/png"/>
  <Override PartName="/word/media/rId58.png" ContentType="image/png"/>
  <Override PartName="/word/media/rId37.png" ContentType="image/png"/>
  <Override PartName="/word/media/rId38.png" ContentType="image/png"/>
  <Override PartName="/word/media/rId41.png" ContentType="image/png"/>
  <Override PartName="/word/media/rId42.png" ContentType="image/png"/>
  <Override PartName="/word/media/rId32.png" ContentType="image/png"/>
  <Override PartName="/word/media/rId33.png" ContentType="image/png"/>
  <Override PartName="/word/media/rId50.png" ContentType="image/png"/>
  <Override PartName="/word/media/rId51.png" ContentType="image/png"/>
  <Override PartName="/word/media/rId56.png" ContentType="image/png"/>
  <Override PartName="/word/media/rId53.png" ContentType="image/png"/>
  <Override PartName="/word/media/rId54.png" ContentType="image/png"/>
  <Override PartName="/word/media/rId36.png" ContentType="image/png"/>
  <Override PartName="/word/media/rId65.png" ContentType="image/png"/>
  <Override PartName="/word/media/rId66.png" ContentType="image/png"/>
  <Override PartName="/word/media/rId62.png" ContentType="image/png"/>
  <Override PartName="/word/media/rId63.png" ContentType="image/png"/>
  <Override PartName="/word/media/rId47.png" ContentType="image/png"/>
  <Override PartName="/word/media/rId48.png" ContentType="image/png"/>
  <Override PartName="/word/media/rId61.png" ContentType="image/png"/>
  <Override PartName="/word/media/rId39.png" ContentType="image/png"/>
  <Override PartName="/word/media/rId45.png" ContentType="image/png"/>
  <Override PartName="/word/media/rId55.png" ContentType="image/png"/>
  <Override PartName="/word/media/rId52.png" ContentType="image/png"/>
  <Override PartName="/word/media/rId67.png" ContentType="image/png"/>
  <Override PartName="/word/media/rId64.png" ContentType="image/png"/>
  <Override PartName="/word/media/rId49.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Cambios</w:t>
      </w:r>
      <w:r>
        <w:t xml:space="preserve"> </w:t>
      </w:r>
      <w:r>
        <w:t xml:space="preserve">en</w:t>
      </w:r>
      <w:r>
        <w:t xml:space="preserve"> </w:t>
      </w:r>
      <w:r>
        <w:t xml:space="preserve">la</w:t>
      </w:r>
      <w:r>
        <w:t xml:space="preserve"> </w:t>
      </w:r>
      <w:r>
        <w:t xml:space="preserve">Cohesión</w:t>
      </w:r>
      <w:r>
        <w:t xml:space="preserve"> </w:t>
      </w:r>
      <w:r>
        <w:t xml:space="preserve">Social</w:t>
      </w:r>
      <w:r>
        <w:t xml:space="preserve"> </w:t>
      </w:r>
      <w:r>
        <w:t xml:space="preserve">en</w:t>
      </w:r>
      <w:r>
        <w:t xml:space="preserve"> </w:t>
      </w:r>
      <w:r>
        <w:t xml:space="preserve">Chile</w:t>
      </w:r>
    </w:p>
    <w:p>
      <w:pPr>
        <w:pStyle w:val="Author"/>
      </w:pPr>
      <w:r>
        <w:t xml:space="preserve">Equipo</w:t>
      </w:r>
      <w:r>
        <w:t xml:space="preserve"> </w:t>
      </w:r>
      <w:r>
        <w:t xml:space="preserve">CEPAL-ELSOC</w:t>
      </w:r>
    </w:p>
    <w:p>
      <w:pPr>
        <w:pStyle w:val="Fecha"/>
      </w:pPr>
      <w:r>
        <w:t xml:space="preserve">2021-08-27</w:t>
      </w:r>
    </w:p>
    <w:p>
      <w:pPr>
        <w:pStyle w:val="Ttulo1"/>
      </w:pPr>
      <w:bookmarkStart w:id="20" w:name="presentación"/>
      <w:r>
        <w:t xml:space="preserve">Presentación</w:t>
      </w:r>
      <w:bookmarkEnd w:id="20"/>
    </w:p>
    <w:p>
      <w:pPr>
        <w:pStyle w:val="FirstParagraph"/>
      </w:pPr>
      <w:r>
        <w:t xml:space="preserve">Este reporte de investigación consiste en un análisis de medición y cambios en la cohesión social en Chile en base a indicadores de la Encuesta Longitudinal Social de Chile -</w:t>
      </w:r>
      <w:r>
        <w:t xml:space="preserve"> </w:t>
      </w:r>
      <w:hyperlink r:id="rId21">
        <w:r>
          <w:rPr>
            <w:rStyle w:val="Hipervnculo"/>
          </w:rPr>
          <w:t xml:space="preserve">ELSOC</w:t>
        </w:r>
      </w:hyperlink>
      <w:r>
        <w:t xml:space="preserve">, producida por</w:t>
      </w:r>
      <w:r>
        <w:t xml:space="preserve"> </w:t>
      </w:r>
      <w:hyperlink r:id="rId22">
        <w:r>
          <w:rPr>
            <w:rStyle w:val="Hipervnculo"/>
          </w:rPr>
          <w:t xml:space="preserve">COES</w:t>
        </w:r>
      </w:hyperlink>
    </w:p>
    <w:p>
      <w:pPr>
        <w:pStyle w:val="Textoindependiente"/>
      </w:pPr>
      <w:r>
        <w:t xml:space="preserve">Autores:</w:t>
      </w:r>
    </w:p>
    <w:p>
      <w:pPr>
        <w:pStyle w:val="Compact"/>
        <w:numPr>
          <w:numId w:val="1001"/>
          <w:ilvl w:val="0"/>
        </w:numPr>
      </w:pPr>
      <w:r>
        <w:t xml:space="preserve">Juan Carlos Castillo</w:t>
      </w:r>
    </w:p>
    <w:p>
      <w:pPr>
        <w:pStyle w:val="Compact"/>
        <w:numPr>
          <w:numId w:val="1001"/>
          <w:ilvl w:val="0"/>
        </w:numPr>
      </w:pPr>
      <w:r>
        <w:t xml:space="preserve">Emmanuelle Barozet</w:t>
      </w:r>
    </w:p>
    <w:p>
      <w:pPr>
        <w:pStyle w:val="Compact"/>
        <w:numPr>
          <w:numId w:val="1001"/>
          <w:ilvl w:val="0"/>
        </w:numPr>
      </w:pPr>
      <w:r>
        <w:t xml:space="preserve">Vicente Espinoza</w:t>
      </w:r>
    </w:p>
    <w:p>
      <w:pPr>
        <w:pStyle w:val="FirstParagraph"/>
      </w:pPr>
      <w:r>
        <w:t xml:space="preserve">Ayudante de investigación: Kevin Carrasco.</w:t>
      </w:r>
    </w:p>
    <w:p>
      <w:pPr>
        <w:pStyle w:val="Ttulo1"/>
      </w:pPr>
      <w:bookmarkStart w:id="23" w:name="introducción"/>
      <w:r>
        <w:t xml:space="preserve">Introducción</w:t>
      </w:r>
      <w:bookmarkEnd w:id="23"/>
    </w:p>
    <w:p>
      <w:pPr>
        <w:pStyle w:val="FirstParagraph"/>
      </w:pPr>
      <w:r>
        <w:t xml:space="preserve">El presente estudio tiene por objetivo analizar los cambios en la cohesión social en Chile en los últimos años. Para ello toma como punto de partida la definición de cohesión social de la CEPAL</w:t>
      </w:r>
      <w:r>
        <w:t xml:space="preserve"> </w:t>
      </w:r>
      <w:r>
        <w:t xml:space="preserve">(CEPAL,</w:t>
      </w:r>
      <w:r>
        <w:t xml:space="preserve"> </w:t>
      </w:r>
      <w:hyperlink w:anchor="ref-cepal_Cohesion_2021">
        <w:r>
          <w:rPr>
            <w:rStyle w:val="Hipervnculo"/>
          </w:rPr>
          <w:t xml:space="preserve">2021</w:t>
        </w:r>
      </w:hyperlink>
      <w:r>
        <w:t xml:space="preserve">)</w:t>
      </w:r>
      <w:r>
        <w:t xml:space="preserve"> </w:t>
      </w:r>
      <w:r>
        <w:t xml:space="preserve">que señala que:</w:t>
      </w:r>
    </w:p>
    <w:p>
      <w:pPr>
        <w:pStyle w:val="Textoindependiente"/>
      </w:pPr>
      <w:r>
        <w:rPr>
          <w:b/>
        </w:rPr>
        <w:t xml:space="preserve">“</w:t>
      </w:r>
      <w:r>
        <w:rPr>
          <w:b/>
        </w:rPr>
        <w:t xml:space="preserve">la cohesión social puede ser comprendida como la capacidad de una sociedad y sus instituciones democráticas de promover relaciones sociales de igualdad y generar un sentido de pertenencia y una orientación hacia el bien común de una forma percibida como legítima por sus miembros. Esa capacidad requiere de la existencia de garantías de bienestar, la promoción activa de una cultura de la igualdad, de mecanismos para la reducción de las desigualdades, de reconocimiento, de participación y para la resolución pacífica de conflictos y adaptación a cambios, en el marc0 de un Estado de derecho y una democracia de calidad</w:t>
      </w:r>
      <w:r>
        <w:rPr>
          <w:b/>
        </w:rP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w:t>
      </w:r>
    </w:p>
    <w:p>
      <w:pPr>
        <w:pStyle w:val="Textoindependiente"/>
      </w:pPr>
      <w:r>
        <w:t xml:space="preserve">La primera parte de esta definición de cohesión social como capacidad hace referencia a una serie de elementos constitutivos del concepto de cohesión social, y que se pueden encontrar en otras definiciones contemporáneas de cohesión como las del</w:t>
      </w:r>
      <w:r>
        <w:t xml:space="preserve"> </w:t>
      </w:r>
      <w:hyperlink r:id="rId24">
        <w:r>
          <w:rPr>
            <w:rStyle w:val="Hipervnculo"/>
          </w:rPr>
          <w:t xml:space="preserve">Radar de la Cohesión Social</w:t>
        </w:r>
      </w:hyperlink>
      <w:r>
        <w:t xml:space="preserve"> </w:t>
      </w:r>
      <w:r>
        <w:t xml:space="preserve">y las del</w:t>
      </w:r>
      <w:r>
        <w:t xml:space="preserve"> </w:t>
      </w:r>
      <w:hyperlink r:id="rId25">
        <w:r>
          <w:rPr>
            <w:rStyle w:val="Hipervnculo"/>
          </w:rPr>
          <w:t xml:space="preserve">Consejo Asesor para la Cohesión Social</w:t>
        </w:r>
      </w:hyperlink>
      <w:r>
        <w:t xml:space="preserve"> </w:t>
      </w:r>
      <w:r>
        <w:t xml:space="preserve">desarrollada en Chile el año 2020, y que entienden la cohesión como un fenómeno multidimensional. Gran parte de la literatura y estudios empíricos a la fecha en el área se han enfocado en intentar generar mediciones e indicadores para cada una de estas subdimensiones basándose en datos secundarios de encuestas nacionales e internacionales, de modo de poder entregar un diagnóstico del estado de la cohesión social.</w:t>
      </w:r>
    </w:p>
    <w:p>
      <w:pPr>
        <w:pStyle w:val="Textoindependiente"/>
      </w:pPr>
      <w:r>
        <w:t xml:space="preserve">En Chile es posible identificar dos estudios específicos que se han abocado a la medición de los elementos constitutivos de la cohesión social basados en encuestas: Ecosocial</w:t>
      </w:r>
      <w:r>
        <w:t xml:space="preserve"> </w:t>
      </w:r>
      <w:r>
        <w:t xml:space="preserve">(Valenzuela et al.,</w:t>
      </w:r>
      <w:r>
        <w:t xml:space="preserve"> </w:t>
      </w:r>
      <w:hyperlink w:anchor="ref-valenzuela_vinculos_2008">
        <w:r>
          <w:rPr>
            <w:rStyle w:val="Hipervnculo"/>
          </w:rPr>
          <w:t xml:space="preserve">2008</w:t>
        </w:r>
      </w:hyperlink>
      <w:r>
        <w:t xml:space="preserve">)</w:t>
      </w:r>
      <w:r>
        <w:t xml:space="preserve"> </w:t>
      </w:r>
      <w:r>
        <w:t xml:space="preserve">y</w:t>
      </w:r>
      <w:r>
        <w:t xml:space="preserve"> </w:t>
      </w:r>
      <w:hyperlink r:id="rId21">
        <w:r>
          <w:rPr>
            <w:rStyle w:val="Hipervnculo"/>
          </w:rPr>
          <w:t xml:space="preserve">ELSOC</w:t>
        </w:r>
      </w:hyperlink>
      <w:r>
        <w:t xml:space="preserve">. Ecosocial es una encuesta</w:t>
      </w:r>
      <w:r>
        <w:t xml:space="preserve"> </w:t>
      </w:r>
      <w:r>
        <w:t xml:space="preserve">“</w:t>
      </w:r>
      <w:r>
        <w:t xml:space="preserve">construida con el propósito de medir y documentar una serie de aspectos relacionados con el estado de la cohesión social en la población de las principales ciudades de siete países Latinoamericanos: México, Guatemala, Colombia, Brasil, Perú, Argentina y Chile.</w:t>
      </w:r>
      <w:r>
        <w:t xml:space="preserve">”</w:t>
      </w:r>
      <w:r>
        <w:t xml:space="preserve"> </w:t>
      </w:r>
      <w:r>
        <w:t xml:space="preserve">(Valenzuela et al.,</w:t>
      </w:r>
      <w:r>
        <w:t xml:space="preserve"> </w:t>
      </w:r>
      <w:hyperlink w:anchor="ref-valenzuela_vinculos_2008">
        <w:r>
          <w:rPr>
            <w:rStyle w:val="Hipervnculo"/>
          </w:rPr>
          <w:t xml:space="preserve">2008</w:t>
        </w:r>
      </w:hyperlink>
      <w:r>
        <w:t xml:space="preserve">, p. 5)</w:t>
      </w:r>
      <w:r>
        <w:t xml:space="preserve">. Los resultados de esta encuesta han sido publicados en libros como</w:t>
      </w:r>
      <w:r>
        <w:t xml:space="preserve"> </w:t>
      </w:r>
      <w:hyperlink r:id="rId26">
        <w:r>
          <w:rPr>
            <w:rStyle w:val="Hipervnculo"/>
          </w:rPr>
          <w:t xml:space="preserve">“</w:t>
        </w:r>
        <w:r>
          <w:rPr>
            <w:rStyle w:val="Hipervnculo"/>
          </w:rPr>
          <w:t xml:space="preserve">Vínculos, Creencias e Ilusiones</w:t>
        </w:r>
        <w:r>
          <w:rPr>
            <w:rStyle w:val="Hipervnculo"/>
          </w:rPr>
          <w:t xml:space="preserve">”</w:t>
        </w:r>
      </w:hyperlink>
      <w:r>
        <w:t xml:space="preserve"> </w:t>
      </w:r>
      <w:r>
        <w:t xml:space="preserve">(2008), en conexión con otros trabajos también de CIEPLAN centrados en cohesión como el libro</w:t>
      </w:r>
      <w:r>
        <w:t xml:space="preserve"> </w:t>
      </w:r>
      <w:hyperlink r:id="rId27">
        <w:r>
          <w:rPr>
            <w:rStyle w:val="Hipervnculo"/>
          </w:rPr>
          <w:t xml:space="preserve">“</w:t>
        </w:r>
        <w:r>
          <w:rPr>
            <w:rStyle w:val="Hipervnculo"/>
          </w:rPr>
          <w:t xml:space="preserve">Redes, Estado y Mercado</w:t>
        </w:r>
        <w:r>
          <w:rPr>
            <w:rStyle w:val="Hipervnculo"/>
          </w:rPr>
          <w:t xml:space="preserve">”</w:t>
        </w:r>
      </w:hyperlink>
      <w:r>
        <w:t xml:space="preserve">(2008). En cuanto a ELSOC (Estudio Longitudinal Social de Chile), es una encuesta longitudinal panel desarrollada por el Centro de Estudios de Conflicto y Cohesión Social</w:t>
      </w:r>
      <w:r>
        <w:t xml:space="preserve"> </w:t>
      </w:r>
      <w:hyperlink r:id="rId28">
        <w:r>
          <w:rPr>
            <w:rStyle w:val="Hipervnculo"/>
          </w:rPr>
          <w:t xml:space="preserve">COES</w:t>
        </w:r>
      </w:hyperlink>
      <w:r>
        <w:t xml:space="preserve">, y que será la base de datos principal para el presente estudio.</w:t>
      </w:r>
    </w:p>
    <w:p>
      <w:pPr>
        <w:pStyle w:val="Textoindependiente"/>
      </w:pPr>
      <w:r>
        <w:t xml:space="preserve">El principal objetivo de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 Para ello se encuesta anualmente desde el año 2016 a alrededor de 3.000 casos de manera longitudinal panel, es decir, todos los años se encuesta a las mismas personas de manera de poder analizar cambios en trayectorias individuales en distintos temas. Su naturaleza longitudinal es única en el país y permite despejar una serie de preguntas sobre cambio social que no pueden ser abordadas con precisión con la comparación de encuestas repetidas en el tiempo a distintos sujetos.</w:t>
      </w:r>
    </w:p>
    <w:p>
      <w:pPr>
        <w:pStyle w:val="Textoindependiente"/>
      </w:pPr>
      <w:r>
        <w:t xml:space="preserve">ELSOC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Se eligieron aleatoriamente 40 ciudades con más de 10.000 habitantes (92 comunas de 13 regiones), dentro de estas se escogieron aleatoriamente 1067 manzanas. Dentro de cada manzana se escogieron hogares aleatoriamente y dentro de cada hogar fueron elegidos aleatoriamente individuos con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(COES,</w:t>
      </w:r>
      <w:r>
        <w:t xml:space="preserve"> </w:t>
      </w:r>
      <w:hyperlink w:anchor="ref-coes_Radiografia_2019">
        <w:r>
          <w:rPr>
            <w:rStyle w:val="Hipervnculo"/>
          </w:rPr>
          <w:t xml:space="preserve">2019</w:t>
        </w:r>
      </w:hyperlink>
      <w:r>
        <w:t xml:space="preserve">)</w:t>
      </w:r>
      <w:r>
        <w:t xml:space="preserve">.</w:t>
      </w:r>
    </w:p>
    <w:p>
      <w:pPr>
        <w:pStyle w:val="Textoindependiente"/>
      </w:pPr>
      <w:r>
        <w:t xml:space="preserve">[aquí más detalles sobre el diseño longitudinal ELSOC]</w:t>
      </w:r>
    </w:p>
    <w:p>
      <w:pPr>
        <w:pStyle w:val="Textoindependiente"/>
      </w:pPr>
      <w:r>
        <w:t xml:space="preserve">El presente documento se estructura en tres capítulos principales. El primer capítulo está abocado a medición de cohesión social, donde se proponen indicadores de ELSOC para las distintas subdimensiones de cohesión social propuestas por CEPAL. EL segundo capítulo toma estos indicadores por dimensión y subdimensión y analiza su cambio/estabilidad en el tiempo en Chile entre 2016 y 2020. Finalmente, el capítulo 3 ahonda en los determinantes sociales de los posibles cambios detectados en el capítulo 2.</w:t>
      </w:r>
    </w:p>
    <w:p>
      <w:pPr>
        <w:pStyle w:val="Ttulo1"/>
      </w:pPr>
      <w:bookmarkStart w:id="29" w:name="X16d40039807cae30872e78d593544bd6d1c7da9"/>
      <w:r>
        <w:t xml:space="preserve">1	Medición de cohesión social con indicadores ELSOC</w:t>
      </w:r>
      <w:bookmarkEnd w:id="29"/>
    </w:p>
    <w:p>
      <w:pPr>
        <w:pStyle w:val="FirstParagraph"/>
      </w:pPr>
      <w:r>
        <w:t xml:space="preserve">El objetivo de este primer capítulo es generar indicadores de cohesión social basados en el modelo conceptual de CEPAL, en particular para los denominados</w:t>
      </w:r>
      <w:r>
        <w:t xml:space="preserve"> </w:t>
      </w:r>
      <w:r>
        <w:rPr>
          <w:i/>
        </w:rPr>
        <w:t xml:space="preserve">elementos constitutivos de la cohesión social</w:t>
      </w:r>
      <w:r>
        <w:t xml:space="preserve"> </w:t>
      </w:r>
      <w:r>
        <w:t xml:space="preserve">y que se presentan en la Figura</w:t>
      </w:r>
      <w:r>
        <w:t xml:space="preserve"> </w:t>
      </w:r>
      <w:r>
        <w:t xml:space="preserve">1.1</w:t>
      </w:r>
      <w:r>
        <w:t xml:space="preserve">.</w:t>
      </w:r>
    </w:p>
    <w:p>
      <w:pPr>
        <w:pStyle w:val="CaptionedFigure"/>
      </w:pPr>
      <w:r>
        <w:drawing>
          <wp:inline>
            <wp:extent cx="4743450" cy="2838450"/>
            <wp:effectExtent b="0" l="0" r="0" t="0"/>
            <wp:docPr descr="Figura 1.1: Resumen dimensiones CEPAL." title="" id="1" name="Picture"/>
            <a:graphic>
              <a:graphicData uri="http://schemas.openxmlformats.org/drawingml/2006/picture">
                <pic:pic>
                  <pic:nvPicPr>
                    <pic:cNvPr descr="images/dimensiones-cepal.jpg" id="0" name="Picture"/>
                    <pic:cNvPicPr>
                      <a:picLocks noChangeArrowheads="1" noChangeAspect="1"/>
                    </pic:cNvPicPr>
                  </pic:nvPicPr>
                  <pic:blipFill>
                    <a:blip r:embed="rId30"/>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1.1: Resumen dimensiones CEPAL.</w:t>
      </w:r>
    </w:p>
    <w:p>
      <w:pPr>
        <w:pStyle w:val="Textoindependiente"/>
      </w:pPr>
      <w:r>
        <w:t xml:space="preserve">En este capítulo se seleccionarán indicadores de la encuesta</w:t>
      </w:r>
      <w:r>
        <w:t xml:space="preserve"> </w:t>
      </w:r>
      <w:hyperlink r:id="rId21">
        <w:r>
          <w:rPr>
            <w:rStyle w:val="Hipervnculo"/>
          </w:rPr>
          <w:t xml:space="preserve">ELSOC</w:t>
        </w:r>
      </w:hyperlink>
      <w:r>
        <w:t xml:space="preserve"> </w:t>
      </w:r>
      <w:r>
        <w:t xml:space="preserve">(Estudio Longitudinal Social de Chile) que se asocien al contenido de cada una de las subdimensiones del concepto de cohesión social. Por ejemplo, si consideramos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indicadores de la encuesta que representen este concepto, y con la información disponible elaboraremos una propuesta para cubrir cada una de las subdimensiones.</w:t>
      </w:r>
    </w:p>
    <w:p>
      <w:pPr>
        <w:pStyle w:val="Textoindependiente"/>
      </w:pPr>
      <w:r>
        <w:t xml:space="preserve">Antes de comenzar con el trabajo de análisis de subdimensiones e indicadores, es pertinente hacer algunos alcances sobre lo que vamos a entender por</w:t>
      </w:r>
      <w:r>
        <w:t xml:space="preserve"> </w:t>
      </w:r>
      <w:r>
        <w:rPr>
          <w:i/>
        </w:rPr>
        <w:t xml:space="preserve">medición</w:t>
      </w:r>
      <w:r>
        <w:t xml:space="preserve">. En este contexto medición hace referencia a otorgar propiedades numéricas a ciertos atributos individuales.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buscar evidencia de validez de las mediciones se trata justamente de poder cuantificar y minimizar este error. Para esto no solo basta con un análisis de</w:t>
      </w:r>
      <w:r>
        <w:t xml:space="preserve"> </w:t>
      </w:r>
      <w:r>
        <w:rPr>
          <w:i/>
        </w:rPr>
        <w:t xml:space="preserve">validez aparente</w:t>
      </w:r>
      <w:r>
        <w:t xml:space="preserve">, referido a que el contenido de los items preguntas de un cuestionario parezcan relacionarse con el concepto que se desea medir, sino también con las propiedades métricas del indicador, como son la variabilidad y covariabilidad/correlación con otras medidas asociadas. Es por ello que en medición muchas veces se utilizan indicadores múltiples para un mismo concepto, de modo de poder identificarlo y estimarlo de una manera más robusta con técnicas específicas de análisis de constructos latentes.</w:t>
      </w:r>
    </w:p>
    <w:p>
      <w:pPr>
        <w:pStyle w:val="Textoindependiente"/>
      </w:pPr>
      <w:r>
        <w:t xml:space="preserve">[evaluar si es necesario dar más detalles de medición]</w:t>
      </w:r>
    </w:p>
    <w:p>
      <w:pPr>
        <w:pStyle w:val="Textoindependiente"/>
      </w:pPr>
      <w:r>
        <w:t xml:space="preserve">La breve mención a aspectos de medición del párrafo anterior nos permite aclarar el orden y el sentido del análisis que se presenta a continuación. En algunos casos encontraremos items únicos para las subdimensiones, y en este caso no tenemos mayor alternativa que discutir su validez aparente y esperar un bajo nivel de error de medición. En otros casos existen baterías de items múltiples, donde se propondrán índices que representen de mejor manera los elementos comunes (covarianza) y que subyacen a la batería, para lo que se utilizarán técnicas de análisis factorial.</w:t>
      </w:r>
    </w:p>
    <w:p>
      <w:pPr>
        <w:pStyle w:val="Textoindependiente"/>
      </w:pPr>
      <w:r>
        <w:t xml:space="preserve">Las decisiones respecto de los indicadores de cohesión social variarán según sea el número de items presentes por subdimension:</w:t>
      </w:r>
    </w:p>
    <w:p>
      <w:pPr>
        <w:numPr>
          <w:numId w:val="1002"/>
          <w:ilvl w:val="0"/>
        </w:numPr>
      </w:pPr>
      <w:r>
        <w:t xml:space="preserve">1 item: se considerará simplemente el puntaje de la variable.</w:t>
      </w:r>
    </w:p>
    <w:p>
      <w:pPr>
        <w:numPr>
          <w:numId w:val="1002"/>
          <w:ilvl w:val="0"/>
        </w:numPr>
      </w:pPr>
      <w:r>
        <w:t xml:space="preserve">2 items: se analizará la correlación entre ambas y sobre esta base se podrá proponer un promedio simple.</w:t>
      </w:r>
    </w:p>
    <w:p>
      <w:pPr>
        <w:numPr>
          <w:numId w:val="1002"/>
          <w:ilvl w:val="0"/>
        </w:numPr>
      </w:pPr>
      <w:r>
        <w:t xml:space="preserve">3 items: se analizará la matriz de correlaciones y el alfa de Cronbach como medida de consistencia interna que permita trabajar con el promedio. Esta medida otorga un número que va entre 0 y 1, donde el nivel convencional para considerar consistencia es 0.7 o mayor.</w:t>
      </w:r>
    </w:p>
    <w:p>
      <w:pPr>
        <w:numPr>
          <w:numId w:val="1002"/>
          <w:ilvl w:val="0"/>
        </w:numPr>
      </w:pPr>
      <w:r>
        <w:t xml:space="preserve">4 items o más: se realizará un análisis factorial exploratorio para evaluar la dimensionalidad subyacente a los items, y en base a este análisis se podrán proponer puntajes factoriales como índices.</w:t>
      </w:r>
    </w:p>
    <w:p>
      <w:pPr>
        <w:pStyle w:val="FirstParagraph"/>
      </w:pPr>
      <w:r>
        <w:t xml:space="preserve">A continuación se presenta el análisis ordenado por dimensiones:</w:t>
      </w:r>
    </w:p>
    <w:p>
      <w:pPr>
        <w:pStyle w:val="Compact"/>
        <w:numPr>
          <w:numId w:val="1003"/>
          <w:ilvl w:val="0"/>
        </w:numPr>
      </w:pPr>
      <w:r>
        <w:t xml:space="preserve">Relaciones sociales de igualdad</w:t>
      </w:r>
    </w:p>
    <w:p>
      <w:pPr>
        <w:pStyle w:val="Compact"/>
        <w:numPr>
          <w:numId w:val="1003"/>
          <w:ilvl w:val="0"/>
        </w:numPr>
      </w:pPr>
      <w:r>
        <w:t xml:space="preserve">Sentido de pertenencia</w:t>
      </w:r>
    </w:p>
    <w:p>
      <w:pPr>
        <w:pStyle w:val="Compact"/>
        <w:numPr>
          <w:numId w:val="1003"/>
          <w:ilvl w:val="0"/>
        </w:numPr>
      </w:pPr>
      <w:r>
        <w:t xml:space="preserve">Orientación hacia el bien común</w:t>
      </w:r>
    </w:p>
    <w:p>
      <w:pPr>
        <w:pStyle w:val="FirstParagraph"/>
      </w:pPr>
      <w:r>
        <w:t xml:space="preserve">Estas tres dimensiones provienen desde el modelo presentado por la CEPAL, que centra su atención en el nivel nacional, utilizando fuentes de datos que permitan una comparabilidad a nivel regional. Sin embargo, no deja de ser relevante abordar una dimensión territorial que permita complementar y enriquecer el análisis a nivel de país. Por lo tanto, además de estas dimensiones del modelo de la CEPAL también se agrega una cuarta de cohesión social en el territorio, que se asocia a la confianza en vecinos, identificación barrial, sociabilidad barrial y satisfacción residencial.</w:t>
      </w:r>
    </w:p>
    <w:p>
      <w:pPr>
        <w:pStyle w:val="Ttulo2"/>
      </w:pPr>
      <w:bookmarkStart w:id="31" w:name="relaciones-sociales-de-igualdad"/>
      <w:r>
        <w:t xml:space="preserve">1.1	Relaciones sociales de igualdad</w:t>
      </w:r>
      <w:bookmarkEnd w:id="31"/>
    </w:p>
    <w:p>
      <w:pPr>
        <w:pStyle w:val="FirstParagraph"/>
      </w:pPr>
      <w:r>
        <w:t xml:space="preserve">De acuerdo 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(CEPAL,</w:t>
      </w:r>
      <w:r>
        <w:t xml:space="preserve"> </w:t>
      </w:r>
      <w:hyperlink w:anchor="ref-cepal_Cohesion_2021">
        <w:r>
          <w:rPr>
            <w:rStyle w:val="Hipervnculo"/>
          </w:rPr>
          <w:t xml:space="preserve">2021</w:t>
        </w:r>
      </w:hyperlink>
      <w:r>
        <w:t xml:space="preserve">, p. 45)</w:t>
      </w:r>
    </w:p>
    <w:p>
      <w:pPr>
        <w:pStyle w:val="Textoindependiente"/>
      </w:pPr>
      <w:r>
        <w:rPr>
          <w:b/>
        </w:rPr>
        <w:t xml:space="preserve">Lazos</w:t>
      </w:r>
    </w:p>
    <w:p>
      <w:pPr>
        <w:pStyle w:val="Textoindependiente"/>
      </w:pPr>
      <w:r>
        <w:t xml:space="preserve">Según</w:t>
      </w:r>
      <w:r>
        <w:t xml:space="preserve"> </w:t>
      </w:r>
      <w:r>
        <w:t xml:space="preserve">CEPAL (</w:t>
      </w:r>
      <w:hyperlink w:anchor="ref-cepal_Cohesion_2021">
        <w:r>
          <w:rPr>
            <w:rStyle w:val="Hipervnculo"/>
          </w:rPr>
          <w:t xml:space="preserve">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utilizado en la propuesta regional de CEPAL para esta subdimensión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los indicadores más cercanos a esta operacionalización corresponden a</w:t>
      </w:r>
      <w:r>
        <w:t xml:space="preserve"> </w:t>
      </w:r>
      <w:r>
        <w:t xml:space="preserve">“</w:t>
      </w:r>
      <w:r>
        <w:t xml:space="preserve">Cantidad de amigos/as ceranos</w:t>
      </w:r>
      <w:r>
        <w:t xml:space="preserve">”</w:t>
      </w:r>
      <w:r>
        <w:t xml:space="preserve"> </w:t>
      </w:r>
      <w:r>
        <w:t xml:space="preserve">y</w:t>
      </w:r>
      <w:r>
        <w:t xml:space="preserve"> </w:t>
      </w:r>
      <w:r>
        <w:t xml:space="preserve">“</w:t>
      </w:r>
      <w:r>
        <w:t xml:space="preserve">Tamaño de la red cercana</w:t>
      </w:r>
      <w:r>
        <w:t xml:space="preserve">”</w:t>
      </w:r>
      <w:r>
        <w:t xml:space="preserve">, que están presentes solo en las olas 2 y 4 de la encuesta. Además, se incluye un indicador de</w:t>
      </w:r>
      <w:r>
        <w:t xml:space="preserve"> </w:t>
      </w:r>
      <w:r>
        <w:t xml:space="preserve">“</w:t>
      </w:r>
      <w:r>
        <w:t xml:space="preserve">Variedad de la red</w:t>
      </w:r>
      <w:r>
        <w:t xml:space="preserve">”</w:t>
      </w:r>
      <w:r>
        <w:t xml:space="preserve"> </w:t>
      </w:r>
      <w:r>
        <w:t xml:space="preserve">construido a partir de un generador de posiciones, donde se aborda la cantidad de individuos con diferentes ocupaciones que la persona encuestada conoce; este indicador está presente en las olas 1 y 3. Un análisis descriptivo de estos indicadores se presenta en la Figura</w:t>
      </w:r>
      <w:r>
        <w:t xml:space="preserve"> </w:t>
      </w:r>
      <w:r>
        <w:t xml:space="preserve">1.2</w:t>
      </w:r>
      <w:r>
        <w:t xml:space="preserve"> </w:t>
      </w:r>
      <w:r>
        <w:t xml:space="preserve">y un análisis bivariado en la Figura</w:t>
      </w:r>
      <w:r>
        <w:t xml:space="preserve"> </w:t>
      </w:r>
      <w:r>
        <w:t xml:space="preserve">1.3</w:t>
      </w:r>
      <w:r>
        <w:t xml:space="preserve">.</w:t>
      </w:r>
    </w:p>
    <w:p>
      <w:pPr>
        <w:pStyle w:val="CaptionedFigure"/>
      </w:pPr>
      <w:r>
        <w:drawing>
          <wp:inline>
            <wp:extent cx="5600700" cy="2911510"/>
            <wp:effectExtent b="0" l="0" r="0" t="0"/>
            <wp:docPr descr="Figura 1.2: Cantidad de amigos cercanos." title="" id="1" name="Picture"/>
            <a:graphic>
              <a:graphicData uri="http://schemas.openxmlformats.org/drawingml/2006/picture">
                <pic:pic>
                  <pic:nvPicPr>
                    <pic:cNvPr descr="output/graphs/lazos.png" id="0" name="Picture"/>
                    <pic:cNvPicPr>
                      <a:picLocks noChangeArrowheads="1" noChangeAspect="1"/>
                    </pic:cNvPicPr>
                  </pic:nvPicPr>
                  <pic:blipFill>
                    <a:blip r:embed="rId3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 Cantidad de amigos cercanos.</w:t>
      </w:r>
    </w:p>
    <w:p>
      <w:pPr>
        <w:pStyle w:val="Textoindependiente"/>
      </w:pPr>
      <w:r>
        <w:t xml:space="preserve">En la matriz de correlaciones de la Figura</w:t>
      </w:r>
      <w:r>
        <w:t xml:space="preserve"> </w:t>
      </w:r>
      <w:r>
        <w:t xml:space="preserve">1.3</w:t>
      </w:r>
      <w:r>
        <w:t xml:space="preserve"> </w:t>
      </w:r>
      <w:r>
        <w:t xml:space="preserve">es posible observar que las correlaciones entre los indicadores están en un rango bajo, donde los indicadores que presentan una correlación mayor son A y C. Para calcular la consistencia interna de estos tres indicadores se utilizó alpha de Cronbach, obteniendo un resultado de 0.36, muy por debajo del valor mínimo recomendado de 0.7. Por lo tanto, para esta subdimensión se considerará un promedio solo de aquellos items que poseen una mayor correlación:</w:t>
      </w:r>
      <w:r>
        <w:t xml:space="preserve"> </w:t>
      </w:r>
      <w:r>
        <w:t xml:space="preserve">“</w:t>
      </w:r>
      <w:r>
        <w:t xml:space="preserve">Cantidad de amigos/as cercanos</w:t>
      </w:r>
      <w:r>
        <w:t xml:space="preserve">”</w:t>
      </w:r>
      <w:r>
        <w:t xml:space="preserve"> </w:t>
      </w:r>
      <w:r>
        <w:t xml:space="preserve">y</w:t>
      </w:r>
      <w:r>
        <w:t xml:space="preserve"> </w:t>
      </w:r>
      <w:r>
        <w:t xml:space="preserve">“</w:t>
      </w:r>
      <w:r>
        <w:t xml:space="preserve">Variedad de la red</w:t>
      </w:r>
      <w:r>
        <w:t xml:space="preserve">”</w:t>
      </w:r>
      <w:r>
        <w:t xml:space="preserve">.</w:t>
      </w:r>
    </w:p>
    <w:p>
      <w:pPr>
        <w:pStyle w:val="CaptionedFigure"/>
      </w:pPr>
      <w:r>
        <w:drawing>
          <wp:inline>
            <wp:extent cx="5600700" cy="2800350"/>
            <wp:effectExtent b="0" l="0" r="0" t="0"/>
            <wp:docPr descr="Figura 1.3: Asociación indicadores lazos." title="" id="1" name="Picture"/>
            <a:graphic>
              <a:graphicData uri="http://schemas.openxmlformats.org/drawingml/2006/picture">
                <pic:pic>
                  <pic:nvPicPr>
                    <pic:cNvPr descr="output/graphs/lazos_cor.png" id="0" name="Picture"/>
                    <pic:cNvPicPr>
                      <a:picLocks noChangeArrowheads="1" noChangeAspect="1"/>
                    </pic:cNvPicPr>
                  </pic:nvPicPr>
                  <pic:blipFill>
                    <a:blip r:embed="rId3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1.3: Asociación indicadores lazos.</w:t>
      </w:r>
    </w:p>
    <w:p>
      <w:pPr>
        <w:pStyle w:val="Textoindependiente"/>
      </w:pPr>
      <w:r>
        <w:rPr>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(CEPAL,</w:t>
      </w:r>
      <w:r>
        <w:t xml:space="preserve"> </w:t>
      </w:r>
      <w:hyperlink w:anchor="ref-cepal_Cohesion_2021">
        <w:r>
          <w:rPr>
            <w:rStyle w:val="Hipervnculo"/>
          </w:rPr>
          <w:t xml:space="preserve">2021</w:t>
        </w:r>
      </w:hyperlink>
      <w:r>
        <w:t xml:space="preserve">, p. 74)</w:t>
      </w:r>
      <w:r>
        <w:t xml:space="preserve">.</w:t>
      </w:r>
    </w:p>
    <w:p>
      <w:pPr>
        <w:pStyle w:val="Textoindependiente"/>
      </w:pPr>
      <w:r>
        <w:t xml:space="preserve">En el informe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los indicadores que van en esta línea son</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tratan de ayudar a las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cuatro olas. Un análisis descriptivo de estos indicadores se presentan en la Figura</w:t>
      </w:r>
      <w:r>
        <w:t xml:space="preserve"> </w:t>
      </w:r>
      <w:r>
        <w:t xml:space="preserve">1.4</w:t>
      </w:r>
      <w:r>
        <w:t xml:space="preserve"> </w:t>
      </w:r>
      <w:r>
        <w:t xml:space="preserve">y un análisis bivariado en la Figura</w:t>
      </w:r>
      <w:r>
        <w:t xml:space="preserve"> </w:t>
      </w:r>
      <w:r>
        <w:t xml:space="preserve">1.5</w:t>
      </w:r>
      <w:r>
        <w:t xml:space="preserve">.</w:t>
      </w:r>
    </w:p>
    <w:p>
      <w:pPr>
        <w:pStyle w:val="CaptionedFigure"/>
      </w:pPr>
      <w:r>
        <w:drawing>
          <wp:inline>
            <wp:extent cx="5600700" cy="2911510"/>
            <wp:effectExtent b="0" l="0" r="0" t="0"/>
            <wp:docPr descr="Figura 1.4: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3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1.4: Confianza interpersonal.</w:t>
      </w:r>
    </w:p>
    <w:p>
      <w:pPr>
        <w:pStyle w:val="Textoindependiente"/>
      </w:pPr>
      <w:r>
        <w:t xml:space="preserve">En la matriz de correlaciones de la Figura</w:t>
      </w:r>
      <w:r>
        <w:t xml:space="preserve"> </w:t>
      </w:r>
      <w:r>
        <w:t xml:space="preserve">1.5</w:t>
      </w:r>
      <w:r>
        <w:t xml:space="preserve"> </w:t>
      </w:r>
      <w:r>
        <w:t xml:space="preserve">vemos que las correlaciones entre los indicadores van en el rango bajo a moderado, donde los indicadores más correlacionados son A y B. Al calcular la consistencia interna de estos indicadores mediante alpha de Cronbach el resultado arroja 0.45, bastante por debajo del límite recomendable de 0.7. Por lo tanto, el índice sugerido para esta subdimensión considera un promedio solo de aquellos items que presentan una correlación mayor:</w:t>
      </w:r>
      <w:r>
        <w:t xml:space="preserve"> </w:t>
      </w:r>
      <w:r>
        <w:t xml:space="preserve">“</w:t>
      </w:r>
      <w:r>
        <w:t xml:space="preserve">Se puede confiar en la mayoría de las personas</w:t>
      </w:r>
      <w:r>
        <w:t xml:space="preserve">”</w:t>
      </w:r>
      <w:r>
        <w:t xml:space="preserve"> </w:t>
      </w:r>
      <w:r>
        <w:t xml:space="preserve">y</w:t>
      </w:r>
      <w:r>
        <w:t xml:space="preserve"> </w:t>
      </w:r>
      <w:r>
        <w:t xml:space="preserve">“</w:t>
      </w:r>
      <w:r>
        <w:t xml:space="preserve">la mayoría de las personas trata de ayudar a los demás</w:t>
      </w:r>
      <w:r>
        <w:t xml:space="preserve">”</w:t>
      </w:r>
      <w:r>
        <w:t xml:space="preserve">.</w:t>
      </w:r>
    </w:p>
    <w:p>
      <w:pPr>
        <w:pStyle w:val="CaptionedFigure"/>
      </w:pPr>
      <w:r>
        <w:drawing>
          <wp:inline>
            <wp:extent cx="5600700" cy="2800350"/>
            <wp:effectExtent b="0" l="0" r="0" t="0"/>
            <wp:docPr descr="Figura 1.5: Asociación indicador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35"/>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1.5: Asociación indicadores Confianza interpersonal.</w:t>
      </w:r>
    </w:p>
    <w:p>
      <w:pPr>
        <w:pStyle w:val="Textoindependiente"/>
      </w:pPr>
      <w:r>
        <w:rPr>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la propuesta regional de CEPAL se utilizan dos indicadores en esta subdimensión:</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en esta propuesta regional de la CEPAL se deja como pendiente la construcción de un indicador sobre tolerancia a personas de distinta raza y etnia, así como de percepción de discriminación. En el caso de ELSOC encontramos items distintos pero relacionados con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items están presentes en las cuatro olas, adopción homoparental en olas 3 y 4 y el resto de indicadores en las olas 2 y 4. Un análisis descriptivo de estos items se presentan en la Figura</w:t>
      </w:r>
      <w:r>
        <w:t xml:space="preserve"> </w:t>
      </w:r>
      <w:r>
        <w:t xml:space="preserve">1.6</w:t>
      </w:r>
      <w:r>
        <w:t xml:space="preserve"> </w:t>
      </w:r>
      <w:r>
        <w:t xml:space="preserve">y en la Figura</w:t>
      </w:r>
      <w:r>
        <w:t xml:space="preserve"> </w:t>
      </w:r>
      <w:r>
        <w:t xml:space="preserve">1.7</w:t>
      </w:r>
      <w:r>
        <w:t xml:space="preserve"> </w:t>
      </w:r>
      <w:r>
        <w:t xml:space="preserve">y un análisis bivariado en la Figura</w:t>
      </w:r>
      <w:r>
        <w:t xml:space="preserve"> </w:t>
      </w:r>
      <w:r>
        <w:t xml:space="preserve">1.8</w:t>
      </w:r>
      <w:r>
        <w:t xml:space="preserve">.</w:t>
      </w:r>
    </w:p>
    <w:p>
      <w:pPr>
        <w:pStyle w:val="CaptionedFigure"/>
      </w:pPr>
      <w:r>
        <w:drawing>
          <wp:inline>
            <wp:extent cx="5600700" cy="2911510"/>
            <wp:effectExtent b="0" l="0" r="0" t="0"/>
            <wp:docPr descr="Figura 1.6: Prejuicios hacia inmigrantes y adopción homoparental." title="" id="1" name="Picture"/>
            <a:graphic>
              <a:graphicData uri="http://schemas.openxmlformats.org/drawingml/2006/picture">
                <pic:pic>
                  <pic:nvPicPr>
                    <pic:cNvPr descr="output/graphs/prejuicios.png" id="0" name="Picture"/>
                    <pic:cNvPicPr>
                      <a:picLocks noChangeArrowheads="1" noChangeAspect="1"/>
                    </pic:cNvPicPr>
                  </pic:nvPicPr>
                  <pic:blipFill>
                    <a:blip r:embed="rId3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1.6: Prejuicios hacia inmigrantes y adopción homoparental.</w:t>
      </w:r>
    </w:p>
    <w:p>
      <w:pPr>
        <w:pStyle w:val="CaptionedFigure"/>
      </w:pPr>
      <w:r>
        <w:drawing>
          <wp:inline>
            <wp:extent cx="5600700" cy="2911510"/>
            <wp:effectExtent b="0" l="0" r="0" t="0"/>
            <wp:docPr descr="Figura 1.7: Grado de confianza grupos sociales." title="" id="1" name="Picture"/>
            <a:graphic>
              <a:graphicData uri="http://schemas.openxmlformats.org/drawingml/2006/picture">
                <pic:pic>
                  <pic:nvPicPr>
                    <pic:cNvPr descr="output/graphs/diversidad.png" id="0" name="Picture"/>
                    <pic:cNvPicPr>
                      <a:picLocks noChangeArrowheads="1" noChangeAspect="1"/>
                    </pic:cNvPicPr>
                  </pic:nvPicPr>
                  <pic:blipFill>
                    <a:blip r:embed="rId3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1.7: Grado de confianza grupos sociales.</w:t>
      </w:r>
    </w:p>
    <w:p>
      <w:pPr>
        <w:pStyle w:val="CaptionedFigure"/>
      </w:pPr>
      <w:r>
        <w:drawing>
          <wp:inline>
            <wp:extent cx="5600700" cy="2800350"/>
            <wp:effectExtent b="0" l="0" r="0" t="0"/>
            <wp:docPr descr="Figura 1.8: Asociación indicadores Reconocimiento y respeto de la diversidad."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1.8: Asociación indicadores Reconocimiento y respeto de la diversidad.</w:t>
      </w:r>
    </w:p>
    <w:p>
      <w:pPr>
        <w:pStyle w:val="Textoindependiente"/>
      </w:pPr>
      <w:r>
        <w:t xml:space="preserve">Para poder avanzar hacia la construcción de un índice basado en esta serie de items utilizaremos análisis factorial exploratorio, que nos entrega información de las dimensiones comunes que subyacen a un conjunto de indicadores. La Tabla</w:t>
      </w:r>
      <w:r>
        <w:t xml:space="preserve"> </w:t>
      </w:r>
      <w:r>
        <w:t xml:space="preserve">1.1</w:t>
      </w:r>
      <w:r>
        <w:t xml:space="preserve"> </w:t>
      </w:r>
      <w:r>
        <w:t xml:space="preserve">nos muestra el resultado de la extracción de tres factores:</w:t>
      </w:r>
    </w:p>
    <w:p>
      <w:pPr>
        <w:pStyle w:val="TableCaption"/>
      </w:pPr>
      <w:r>
        <w:t xml:space="preserve">Tabla 1.1: Dimensiones de reconocimiento y respeto de la diversidad.</w:t>
      </w:r>
    </w:p>
    <w:tbl>
      <w:tblPr>
        <w:tblStyle w:val="Table"/>
        <w:tblW w:type="pct" w:w="0.0"/>
        <w:tblLook w:firstRow="0"/>
        <w:tblCaption w:val="Tabla 1.1: Dimensiones de reconocimiento y respeto de la diversidad."/>
      </w:tblPr>
      <w:tblGrid/>
      <w:tr>
        <w:tc>
          <w:p>
            <w:pPr>
              <w:pStyle w:val="Compact"/>
              <w:jc w:val="left"/>
            </w:pPr>
            <w:r>
              <w:drawing>
                <wp:inline>
                  <wp:extent cx="4762500" cy="2470219"/>
                  <wp:effectExtent b="0" l="0" r="0" t="0"/>
                  <wp:docPr descr="" title="" id="1" name="Picture"/>
                  <a:graphic>
                    <a:graphicData uri="http://schemas.openxmlformats.org/drawingml/2006/picture">
                      <pic:pic>
                        <pic:nvPicPr>
                          <pic:cNvPr descr="output/tables/div_fa.png" id="0" name="Picture"/>
                          <pic:cNvPicPr>
                            <a:picLocks noChangeArrowheads="1" noChangeAspect="1"/>
                          </pic:cNvPicPr>
                        </pic:nvPicPr>
                        <pic:blipFill>
                          <a:blip r:embed="rId39"/>
                          <a:stretch>
                            <a:fillRect/>
                          </a:stretch>
                        </pic:blipFill>
                        <pic:spPr bwMode="auto">
                          <a:xfrm>
                            <a:off x="0" y="0"/>
                            <a:ext cx="4762500" cy="2470219"/>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1.1</w:t>
      </w:r>
      <w:r>
        <w:t xml:space="preserve"> </w:t>
      </w:r>
      <w:r>
        <w:t xml:space="preserve">observamos en la segunda columna (ML1) un factor que se relaciona con las preguntas sobre el grado de confianza de la Figura</w:t>
      </w:r>
      <w:r>
        <w:t xml:space="preserve"> </w:t>
      </w:r>
      <w:r>
        <w:t xml:space="preserve">1.7</w:t>
      </w:r>
      <w:r>
        <w:t xml:space="preserve">, luego un segundo factor asociado a las preguntas de inmigrantes, y finalmente un tercer factor asociado a la pregunta de adopción homoparental. Atendiendo ahora a la varianza asociada a estos factores (SS loadings), el primer factor representa casi un 30% de la varianza, el segundo alrededor de 20% y el tercero muy por debajo con 8%. Por lo tanto podemos decir que hay mayor consistencia en los dos primeros factores, y entre ellos dos el asociado a diversidad es el más claro. Basándose en este análisis es posible proponer dos índices asociados a esta subdimensión y que serán calculados mediante puntajes factoriales: uno sobre diversidad y el otro sobre migrantes.</w:t>
      </w:r>
    </w:p>
    <w:p>
      <w:pPr>
        <w:pStyle w:val="Ttulo2"/>
      </w:pPr>
      <w:bookmarkStart w:id="40" w:name="sentido-de-pertenencia"/>
      <w:r>
        <w:t xml:space="preserve">1.2	Sentido de pertenencia</w:t>
      </w:r>
      <w:bookmarkEnd w:id="40"/>
    </w:p>
    <w:p>
      <w:pPr>
        <w:pStyle w:val="FirstParagraph"/>
      </w:pPr>
      <w:r>
        <w:t xml:space="preserve">Una segunda dimensión de la definición propuesta por CEPAL para cohesión social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w:t>
      </w:r>
    </w:p>
    <w:p>
      <w:pPr>
        <w:pStyle w:val="Textoindependiente"/>
      </w:pPr>
      <w:r>
        <w:rPr>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el informe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indicadores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cuatro olas. Un análisis descriptivo de estos indicadores se presentan en la Figura</w:t>
      </w:r>
      <w:r>
        <w:t xml:space="preserve"> </w:t>
      </w:r>
      <w:r>
        <w:t xml:space="preserve">1.9</w:t>
      </w:r>
      <w:r>
        <w:t xml:space="preserve">. La correlación entre estos indicadores es positiva y alta (r=0.76). Por lo tanto, en esta subdimensión se utilizará un promedio simple de ambos indicadores.</w:t>
      </w:r>
    </w:p>
    <w:p>
      <w:pPr>
        <w:pStyle w:val="CaptionedFigure"/>
      </w:pPr>
      <w:r>
        <w:drawing>
          <wp:inline>
            <wp:extent cx="5600700" cy="2911510"/>
            <wp:effectExtent b="0" l="0" r="0" t="0"/>
            <wp:docPr descr="Figura 1.9: Identificación y orgullo con Chile."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4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1.9: Identificación y orgullo con Chile.</w:t>
      </w:r>
    </w:p>
    <w:p>
      <w:pPr>
        <w:pStyle w:val="Textoindependiente"/>
      </w:pPr>
      <w:r>
        <w:rPr>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indicadores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indicadores se presentan en la Figura</w:t>
      </w:r>
      <w:r>
        <w:t xml:space="preserve"> </w:t>
      </w:r>
      <w:r>
        <w:t xml:space="preserve">1.10</w:t>
      </w:r>
      <w:r>
        <w:t xml:space="preserve">. La correlación entre estos indicadores es positiva y alta (r=0.7). Por lo tanto, se utilizará un promedio simple de ambos indicadores en esta subdimensión.</w:t>
      </w:r>
    </w:p>
    <w:p>
      <w:pPr>
        <w:pStyle w:val="CaptionedFigure"/>
      </w:pPr>
      <w:r>
        <w:drawing>
          <wp:inline>
            <wp:extent cx="5600700" cy="2911510"/>
            <wp:effectExtent b="0" l="0" r="0" t="0"/>
            <wp:docPr descr="Figura 1.10: Descriptivos Percepción de recompensa por esfuerzo e inteligen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4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1.10: Descriptivos Percepción de recompensa por esfuerzo e inteligencia.</w:t>
      </w:r>
    </w:p>
    <w:p>
      <w:pPr>
        <w:pStyle w:val="Textoindependiente"/>
      </w:pPr>
      <w:r>
        <w:rPr>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grado de confianza en (a) las cortes, (b) el Congreso Nacional, (c) la Policía Nacional, (d) los partidos políticos, (e) el ejecutivo y (f) las elecciones. Al trabajar con ELSOC se utilizan los siguientes ocho indicadores que están presentes en las cuatro olas: grado de confianza en (a) el gobierno, (b) los partidos políticos; (c) carabineros; (d) los sindicatos; (e) el poder judicial; (f) las empresas privadas; (g) el congreso nacional; y (h) el presidente/a de la república. Un análisis descriptivo de estos indicadores se presentan en la Figura</w:t>
      </w:r>
      <w:r>
        <w:t xml:space="preserve"> </w:t>
      </w:r>
      <w:r>
        <w:t xml:space="preserve">1.11</w:t>
      </w:r>
      <w:r>
        <w:t xml:space="preserve"> </w:t>
      </w:r>
      <w:r>
        <w:t xml:space="preserve">y un análisis bivariado en la Figura</w:t>
      </w:r>
      <w:r>
        <w:t xml:space="preserve"> </w:t>
      </w:r>
      <w:r>
        <w:t xml:space="preserve">1.12</w:t>
      </w:r>
      <w:r>
        <w:t xml:space="preserve">.</w:t>
      </w:r>
    </w:p>
    <w:p>
      <w:pPr>
        <w:pStyle w:val="CaptionedFigure"/>
      </w:pPr>
      <w:r>
        <w:drawing>
          <wp:inline>
            <wp:extent cx="5600700" cy="2911510"/>
            <wp:effectExtent b="0" l="0" r="0" t="0"/>
            <wp:docPr descr="Figura 1.11: Confianza en instituciones."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4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1.11: Confianza en instituciones.</w:t>
      </w:r>
    </w:p>
    <w:p>
      <w:pPr>
        <w:pStyle w:val="CaptionedFigure"/>
      </w:pPr>
      <w:r>
        <w:drawing>
          <wp:inline>
            <wp:extent cx="5600700" cy="2800350"/>
            <wp:effectExtent b="0" l="0" r="0" t="0"/>
            <wp:docPr descr="Figura 1.12: Asociación indicador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44"/>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1.12: Asociación indicadores Confianza institucional.</w:t>
      </w:r>
    </w:p>
    <w:p>
      <w:pPr>
        <w:pStyle w:val="Textoindependiente"/>
      </w:pPr>
      <w:r>
        <w:t xml:space="preserve">En esta oportunidad, nuevamente se utilizó un análisis factorial exploratorio con el objetivo de construir un índice a partir de la información de las dimensiones comunes que subyacen a este conjunto de ocho indicadores. La Tabla</w:t>
      </w:r>
      <w:r>
        <w:t xml:space="preserve"> </w:t>
      </w:r>
      <w:r>
        <w:t xml:space="preserve">1.2</w:t>
      </w:r>
      <w:r>
        <w:t xml:space="preserve"> </w:t>
      </w:r>
      <w:r>
        <w:t xml:space="preserve">nos muestra el resultado de la extracción de tres factores:</w:t>
      </w:r>
    </w:p>
    <w:p>
      <w:pPr>
        <w:pStyle w:val="TableCaption"/>
      </w:pPr>
      <w:r>
        <w:t xml:space="preserve">Tabla 1.2: Dimensiones de confianza institucional.</w:t>
      </w:r>
    </w:p>
    <w:tbl>
      <w:tblPr>
        <w:tblStyle w:val="Table"/>
        <w:tblW w:type="pct" w:w="0.0"/>
        <w:tblLook w:firstRow="0"/>
        <w:tblCaption w:val="Tabla 1.2: Dimensiones de confianza institucional."/>
      </w:tblPr>
      <w:tblGrid/>
      <w:tr>
        <w:tc>
          <w:p>
            <w:pPr>
              <w:pStyle w:val="Compact"/>
              <w:jc w:val="left"/>
            </w:pPr>
            <w:r>
              <w:drawing>
                <wp:inline>
                  <wp:extent cx="4762500" cy="4092970"/>
                  <wp:effectExtent b="0" l="0" r="0" t="0"/>
                  <wp:docPr descr="" title="" id="1" name="Picture"/>
                  <a:graphic>
                    <a:graphicData uri="http://schemas.openxmlformats.org/drawingml/2006/picture">
                      <pic:pic>
                        <pic:nvPicPr>
                          <pic:cNvPr descr="output/tables/inst_fa.png" id="0" name="Picture"/>
                          <pic:cNvPicPr>
                            <a:picLocks noChangeArrowheads="1" noChangeAspect="1"/>
                          </pic:cNvPicPr>
                        </pic:nvPicPr>
                        <pic:blipFill>
                          <a:blip r:embed="rId45"/>
                          <a:stretch>
                            <a:fillRect/>
                          </a:stretch>
                        </pic:blipFill>
                        <pic:spPr bwMode="auto">
                          <a:xfrm>
                            <a:off x="0" y="0"/>
                            <a:ext cx="4762500" cy="4092970"/>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observamos en la segunda columna (ML2) un factor que se relaciona con las preguntas sobre el grado de confianza con instituciones políticas (el gobierno, presidente/a, partidos políticos), luego un segundo factor (ML3) asociado con instituciones más cercanas a la sociedad civil (empresas privadas, carabineros, sindicatos y poder judicial) y finalmente un tercer factor (ML1) que se asocia con el poder judicial y el congreso. En relación con la varianza asociada a estos tres factores (SS loadings), el primer factor representa un 20% de la varianza, el segundo un 16% y el tercero un 15%. Por lo tanto, existe cierto grado de consistencia en los tres factores, siendo el primero de ellos -relacionado con las instituciones políticas- el que representa una mayor proporción de la varianza.</w:t>
      </w:r>
    </w:p>
    <w:p>
      <w:pPr>
        <w:pStyle w:val="Ttulo2"/>
      </w:pPr>
      <w:bookmarkStart w:id="46" w:name="orientación-hacia-el-bien-común"/>
      <w:r>
        <w:t xml:space="preserve">1.3	Orientación hacia el bien común</w:t>
      </w:r>
      <w:bookmarkEnd w:id="46"/>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 p. 46)</w:t>
      </w:r>
    </w:p>
    <w:p>
      <w:pPr>
        <w:pStyle w:val="Textoindependiente"/>
      </w:pPr>
      <w:r>
        <w:rPr>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indicador y otros siete que abordan un comportamiento prosocial y que están presentes en las cuatro olas. Un análisis descriptivo de estos indicadores se presentan en la Figura</w:t>
      </w:r>
      <w:r>
        <w:t xml:space="preserve"> </w:t>
      </w:r>
      <w:r>
        <w:t xml:space="preserve">1.13</w:t>
      </w:r>
      <w:r>
        <w:t xml:space="preserve"> </w:t>
      </w:r>
      <w:r>
        <w:t xml:space="preserve">y un análisis bivariado en la Figura</w:t>
      </w:r>
      <w:r>
        <w:t xml:space="preserve"> </w:t>
      </w:r>
      <w:r>
        <w:t xml:space="preserve">1.14</w:t>
      </w:r>
      <w:r>
        <w:t xml:space="preserve">.</w:t>
      </w:r>
    </w:p>
    <w:p>
      <w:pPr>
        <w:pStyle w:val="CaptionedFigure"/>
      </w:pPr>
      <w:r>
        <w:drawing>
          <wp:inline>
            <wp:extent cx="5600700" cy="2911510"/>
            <wp:effectExtent b="0" l="0" r="0" t="0"/>
            <wp:docPr descr="Figura 1.13: Acciones de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4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1.13: Acciones de solidaridad.</w:t>
      </w:r>
    </w:p>
    <w:p>
      <w:pPr>
        <w:pStyle w:val="CaptionedFigure"/>
      </w:pPr>
      <w:r>
        <w:drawing>
          <wp:inline>
            <wp:extent cx="5600700" cy="2800350"/>
            <wp:effectExtent b="0" l="0" r="0" t="0"/>
            <wp:docPr descr="Figura 1.14: Asociación indicadores de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4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1.14: Asociación indicadores de solidaridad.</w:t>
      </w:r>
    </w:p>
    <w:p>
      <w:pPr>
        <w:pStyle w:val="Textoindependiente"/>
      </w:pPr>
      <w:r>
        <w:t xml:space="preserve">Como esta subdimensión posee ocho indicadores, se volvió a realizar un análisis factorial exploratorio para construir un índice a partir de la información de las dimensiones comunes entre este conjunto de indicadores. La Tabla</w:t>
      </w:r>
      <w:r>
        <w:t xml:space="preserve"> </w:t>
      </w:r>
      <w:r>
        <w:t xml:space="preserve">1.3</w:t>
      </w:r>
      <w:r>
        <w:t xml:space="preserve"> </w:t>
      </w:r>
      <w:r>
        <w:t xml:space="preserve">nos muestra el resultado de la extracción de tres factores:</w:t>
      </w:r>
    </w:p>
    <w:p>
      <w:pPr>
        <w:pStyle w:val="TableCaption"/>
      </w:pPr>
      <w:r>
        <w:t xml:space="preserve">Tabla 1.3: Dimensiones de solidaridad.</w:t>
      </w:r>
    </w:p>
    <w:tbl>
      <w:tblPr>
        <w:tblStyle w:val="Table"/>
        <w:tblW w:type="pct" w:w="0.0"/>
        <w:tblLook w:firstRow="0"/>
        <w:tblCaption w:val="Tabla 1.3: Dimensiones de solidaridad."/>
      </w:tblPr>
      <w:tblGrid/>
      <w:tr>
        <w:tc>
          <w:p>
            <w:pPr>
              <w:pStyle w:val="Compact"/>
              <w:jc w:val="left"/>
            </w:pPr>
            <w:r>
              <w:drawing>
                <wp:inline>
                  <wp:extent cx="4762500" cy="3160163"/>
                  <wp:effectExtent b="0" l="0" r="0" t="0"/>
                  <wp:docPr descr="" title="" id="1" name="Picture"/>
                  <a:graphic>
                    <a:graphicData uri="http://schemas.openxmlformats.org/drawingml/2006/picture">
                      <pic:pic>
                        <pic:nvPicPr>
                          <pic:cNvPr descr="output/tables/solidaridad_fa.png" id="0" name="Picture"/>
                          <pic:cNvPicPr>
                            <a:picLocks noChangeArrowheads="1" noChangeAspect="1"/>
                          </pic:cNvPicPr>
                        </pic:nvPicPr>
                        <pic:blipFill>
                          <a:blip r:embed="rId49"/>
                          <a:stretch>
                            <a:fillRect/>
                          </a:stretch>
                        </pic:blipFill>
                        <pic:spPr bwMode="auto">
                          <a:xfrm>
                            <a:off x="0" y="0"/>
                            <a:ext cx="4762500" cy="3160163"/>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es posible observar en la segunda columna (ML1) un factor relacionado con acciones de solidaridad como prestar o donar dinero, ayudar a una persona a conseguir trabajo y conversar con una persona con problemas o deprimida, luego en la tercera columna (ML3) se presenta un segundo factor asociado con la participación en reuniones sociales, como visitar casas de vecinos, recibir visitas de amigos o asistir a reuniones donde se traten problemas relevantes para la comunidad. Finalmente, en la cuarta columna (ML2) se observa un tercer factor que posee un indicador sobre realizar trabajo voluntario. En relación con la varianza que se asocia a cada uno de estos factores (SS loadings), el primer factor representa un 19% de la varianza, el segundo un 12% y el tercero un 9%. Por lo tanto, los dos primeros presentan un mayor grado de consistencia con respecto al factor asociado al trabajo voluntario. Así, se propone utilizar dos índices asociados a estos dos primeros factores y que serán calculados mediante puntajes factoriales.</w:t>
      </w:r>
    </w:p>
    <w:p>
      <w:pPr>
        <w:pStyle w:val="Textoindependiente"/>
      </w:pPr>
      <w:r>
        <w:rPr>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indicadores de actividad política presentes en las cuatro olas, ocho indicadores de participación en organizaciones presentes en ola 1 y 3 y voto en elecciones 2013 y 2017 (ola 1 y 3). Un análisis descriptivo de estos indicadores se presentan en la Figura</w:t>
      </w:r>
      <w:r>
        <w:t xml:space="preserve"> </w:t>
      </w:r>
      <w:r>
        <w:t xml:space="preserve">1.15</w:t>
      </w:r>
      <w:r>
        <w:t xml:space="preserve">, en la Figura</w:t>
      </w:r>
      <w:r>
        <w:t xml:space="preserve"> </w:t>
      </w:r>
      <w:r>
        <w:t xml:space="preserve">1.17</w:t>
      </w:r>
      <w:r>
        <w:t xml:space="preserve"> </w:t>
      </w:r>
      <w:r>
        <w:t xml:space="preserve">y en la Figura</w:t>
      </w:r>
      <w:r>
        <w:t xml:space="preserve"> </w:t>
      </w:r>
      <w:r>
        <w:t xml:space="preserve">1.19</w:t>
      </w:r>
      <w:r>
        <w:t xml:space="preserve">, mientras que un análisis bivariado en la Figura</w:t>
      </w:r>
      <w:r>
        <w:t xml:space="preserve"> </w:t>
      </w:r>
      <w:r>
        <w:t xml:space="preserve">1.16</w:t>
      </w:r>
      <w:r>
        <w:t xml:space="preserve"> </w:t>
      </w:r>
      <w:r>
        <w:t xml:space="preserve">y en la Figura</w:t>
      </w:r>
      <w:r>
        <w:t xml:space="preserve"> </w:t>
      </w:r>
      <w:r>
        <w:t xml:space="preserve">1.18</w:t>
      </w:r>
      <w:r>
        <w:t xml:space="preserve">.</w:t>
      </w:r>
    </w:p>
    <w:p>
      <w:pPr>
        <w:pStyle w:val="CaptionedFigure"/>
      </w:pPr>
      <w:r>
        <w:drawing>
          <wp:inline>
            <wp:extent cx="5600700" cy="2911510"/>
            <wp:effectExtent b="0" l="0" r="0" t="0"/>
            <wp:docPr descr="Figura 1.15: Participación en actividades cívicas."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5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1.15: Participación en actividades cívicas.</w:t>
      </w:r>
    </w:p>
    <w:p>
      <w:pPr>
        <w:pStyle w:val="CaptionedFigure"/>
      </w:pPr>
      <w:r>
        <w:drawing>
          <wp:inline>
            <wp:extent cx="5600700" cy="2800350"/>
            <wp:effectExtent b="0" l="0" r="0" t="0"/>
            <wp:docPr descr="Figura 1.16: Asociación indicador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5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1.16: Asociación indicadores participación cívica.</w:t>
      </w:r>
    </w:p>
    <w:p>
      <w:pPr>
        <w:pStyle w:val="Textoindependiente"/>
      </w:pPr>
      <w:r>
        <w:t xml:space="preserve">En esta oportunidad, nuevamente se utilizó un análisis factorial exploratorio con el objetivo de construir un índice a partir de la información de las dimensiones comunes que subyacen a este conjunto de cuatro indicadores. La Tabla</w:t>
      </w:r>
      <w:r>
        <w:t xml:space="preserve"> </w:t>
      </w:r>
      <w:r>
        <w:t xml:space="preserve">1.4</w:t>
      </w:r>
      <w:r>
        <w:t xml:space="preserve"> </w:t>
      </w:r>
      <w:r>
        <w:t xml:space="preserve">nos muestra el resultado de la extracción de tres factores:</w:t>
      </w:r>
    </w:p>
    <w:p>
      <w:pPr>
        <w:pStyle w:val="TableCaption"/>
      </w:pPr>
      <w:r>
        <w:t xml:space="preserve">Tabla 1.4: Dimensiones de Participación cívica.</w:t>
      </w:r>
    </w:p>
    <w:tbl>
      <w:tblPr>
        <w:tblStyle w:val="Table"/>
        <w:tblW w:type="pct" w:w="0.0"/>
        <w:tblLook w:firstRow="0"/>
        <w:tblCaption w:val="Tabla 1.4: Dimensiones de Participación cívica."/>
      </w:tblPr>
      <w:tblGrid/>
      <w:tr>
        <w:tc>
          <w:p>
            <w:pPr>
              <w:pStyle w:val="Compact"/>
              <w:jc w:val="left"/>
            </w:pPr>
            <w:r>
              <w:drawing>
                <wp:inline>
                  <wp:extent cx="4762500" cy="2205295"/>
                  <wp:effectExtent b="0" l="0" r="0" t="0"/>
                  <wp:docPr descr="" title="" id="1" name="Picture"/>
                  <a:graphic>
                    <a:graphicData uri="http://schemas.openxmlformats.org/drawingml/2006/picture">
                      <pic:pic>
                        <pic:nvPicPr>
                          <pic:cNvPr descr="output/tables/part_civica_fa.png" id="0" name="Picture"/>
                          <pic:cNvPicPr>
                            <a:picLocks noChangeArrowheads="1" noChangeAspect="1"/>
                          </pic:cNvPicPr>
                        </pic:nvPicPr>
                        <pic:blipFill>
                          <a:blip r:embed="rId52"/>
                          <a:stretch>
                            <a:fillRect/>
                          </a:stretch>
                        </pic:blipFill>
                        <pic:spPr bwMode="auto">
                          <a:xfrm>
                            <a:off x="0" y="0"/>
                            <a:ext cx="4762500" cy="2205295"/>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1.4</w:t>
      </w:r>
      <w:r>
        <w:t xml:space="preserve"> </w:t>
      </w:r>
      <w:r>
        <w:t xml:space="preserve">observamos un primer factor que agrupa tres indicadores: firmar una carta o petición, expresar su opinión por redes sociales y asistir a una marcha o manifestación. Luego se observa un segundo factor que posee solo el indicador de asistir a una marcha o manifestación y un tercer factor que posee solo el indicador de participar en una huelga. Por lo tanto, se propone utilizar un solo índice asociado al primer factor, que representa un 19% de la varianza, y que será calculado a partir de puntajes factoriales.</w:t>
      </w:r>
    </w:p>
    <w:p>
      <w:pPr>
        <w:pStyle w:val="Textoindependiente"/>
      </w:pPr>
      <w:r>
        <w:rPr>
          <w:b/>
        </w:rPr>
        <w:t xml:space="preserve">Participación en organizaciones</w:t>
      </w:r>
    </w:p>
    <w:p>
      <w:pPr>
        <w:pStyle w:val="CaptionedFigure"/>
      </w:pPr>
      <w:r>
        <w:drawing>
          <wp:inline>
            <wp:extent cx="5600700" cy="2911510"/>
            <wp:effectExtent b="0" l="0" r="0" t="0"/>
            <wp:docPr descr="Figura 1.17: Participación en organizaciones social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5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1.17: Participación en organizaciones sociales.</w:t>
      </w:r>
    </w:p>
    <w:p>
      <w:pPr>
        <w:pStyle w:val="CaptionedFigure"/>
      </w:pPr>
      <w:r>
        <w:drawing>
          <wp:inline>
            <wp:extent cx="5600700" cy="2800350"/>
            <wp:effectExtent b="0" l="0" r="0" t="0"/>
            <wp:docPr descr="Figura 1.18: Asociación indicador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54"/>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1.18: Asociación indicadores participación en organizaciones.</w:t>
      </w:r>
    </w:p>
    <w:p>
      <w:pPr>
        <w:pStyle w:val="Textoindependiente"/>
      </w:pPr>
      <w:r>
        <w:t xml:space="preserve">En cuanto a la participación en organizaciones, se estimó un segundo análisis factorial exploratorio sobre los ocho tipos de organizaciones presentes en ELSOC. La Tabla</w:t>
      </w:r>
      <w:r>
        <w:t xml:space="preserve"> </w:t>
      </w:r>
      <w:r>
        <w:t xml:space="preserve">1.5</w:t>
      </w:r>
      <w:r>
        <w:t xml:space="preserve"> </w:t>
      </w:r>
      <w:r>
        <w:t xml:space="preserve">muestra el resultado de la extracción de tres factores:</w:t>
      </w:r>
    </w:p>
    <w:p>
      <w:pPr>
        <w:pStyle w:val="TableCaption"/>
      </w:pPr>
      <w:r>
        <w:t xml:space="preserve">Tabla 1.5: Dimensiones de Participación en organizaciones.</w:t>
      </w:r>
    </w:p>
    <w:tbl>
      <w:tblPr>
        <w:tblStyle w:val="Table"/>
        <w:tblW w:type="pct" w:w="0.0"/>
        <w:tblLook w:firstRow="0"/>
        <w:tblCaption w:val="Tabla 1.5: Dimensiones de Participación en organizaciones."/>
      </w:tblPr>
      <w:tblGrid/>
      <w:tr>
        <w:tc>
          <w:p>
            <w:pPr>
              <w:pStyle w:val="Compact"/>
              <w:jc w:val="left"/>
            </w:pPr>
            <w:r>
              <w:drawing>
                <wp:inline>
                  <wp:extent cx="4762500" cy="3025838"/>
                  <wp:effectExtent b="0" l="0" r="0" t="0"/>
                  <wp:docPr descr="" title="" id="1" name="Picture"/>
                  <a:graphic>
                    <a:graphicData uri="http://schemas.openxmlformats.org/drawingml/2006/picture">
                      <pic:pic>
                        <pic:nvPicPr>
                          <pic:cNvPr descr="output/tables/organizaciones_fa.png" id="0" name="Picture"/>
                          <pic:cNvPicPr>
                            <a:picLocks noChangeArrowheads="1" noChangeAspect="1"/>
                          </pic:cNvPicPr>
                        </pic:nvPicPr>
                        <pic:blipFill>
                          <a:blip r:embed="rId55"/>
                          <a:stretch>
                            <a:fillRect/>
                          </a:stretch>
                        </pic:blipFill>
                        <pic:spPr bwMode="auto">
                          <a:xfrm>
                            <a:off x="0" y="0"/>
                            <a:ext cx="4762500" cy="3025838"/>
                          </a:xfrm>
                          <a:prstGeom prst="rect">
                            <a:avLst/>
                          </a:prstGeom>
                          <a:noFill/>
                          <a:ln w="9525">
                            <a:noFill/>
                            <a:headEnd/>
                            <a:tailEnd/>
                          </a:ln>
                        </pic:spPr>
                      </pic:pic>
                    </a:graphicData>
                  </a:graphic>
                </wp:inline>
              </w:drawing>
            </w:r>
          </w:p>
        </w:tc>
      </w:tr>
    </w:tbl>
    <w:p>
      <w:pPr>
        <w:pStyle w:val="Textoindependiente"/>
      </w:pPr>
      <w:r>
        <w:t xml:space="preserve">Podemos observar en la Tabla</w:t>
      </w:r>
      <w:r>
        <w:t xml:space="preserve"> </w:t>
      </w:r>
      <w:r>
        <w:t xml:space="preserve">1.5</w:t>
      </w:r>
      <w:r>
        <w:t xml:space="preserve"> </w:t>
      </w:r>
      <w:r>
        <w:t xml:space="preserve">un primer factor asociado con la participación en asociaciones profesionales, sindicatos y partidos políticos, luego un segundo factor relacionado con la participación en organizaciones religiosas y juntas de vecinos y, finalmente, un tercer factor relacionado con organizaciones deportivas, ecológicas y centros de estudiantes. En cuanto a la varianza asociada a cada uno de estos factores (SS loadings), el primer y segundo factor representan un 9% de la varianza cada uno, mientras que el tercer factor representa un 6% de la varianza. Por lo tanto, no existe un grado de consistencia relevante en ninguno de estos tres factores. Así, basándonos en este análisis, se propone no incluir los indicadores asociados a la participación en organizaciones y trabajar sólo con los indicadores referentes a participación cívica.</w:t>
      </w:r>
    </w:p>
    <w:p>
      <w:pPr>
        <w:pStyle w:val="Textoindependiente"/>
      </w:pPr>
      <w:r>
        <w:rPr>
          <w:b/>
        </w:rPr>
        <w:t xml:space="preserve">Participación electoral</w:t>
      </w:r>
    </w:p>
    <w:p>
      <w:pPr>
        <w:pStyle w:val="CaptionedFigure"/>
      </w:pPr>
      <w:r>
        <w:drawing>
          <wp:inline>
            <wp:extent cx="5600700" cy="2911510"/>
            <wp:effectExtent b="0" l="0" r="0" t="0"/>
            <wp:docPr descr="Figura 1.19: Participación en elecciones 2013 y 2017."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5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1.19: Participación en elecciones 2013 y 2017.</w:t>
      </w:r>
    </w:p>
    <w:p>
      <w:pPr>
        <w:pStyle w:val="Ttulo2"/>
      </w:pPr>
      <w:bookmarkStart w:id="57" w:name="cohesión-territorial"/>
      <w:r>
        <w:t xml:space="preserve">1.4	Cohesión territorial</w:t>
      </w:r>
      <w:bookmarkEnd w:id="57"/>
    </w:p>
    <w:p>
      <w:pPr>
        <w:pStyle w:val="FirstParagraph"/>
      </w:pPr>
      <w:r>
        <w:t xml:space="preserve">De manera adicional, se incorpora una dimensión sobre calidad de vida en el vecindario presente en ELSOC. Todos estos indicadores se encuentran presentes en las cuatro olas.</w:t>
      </w:r>
    </w:p>
    <w:p>
      <w:pPr>
        <w:pStyle w:val="Textoindependiente"/>
      </w:pPr>
      <w:r>
        <w:rPr>
          <w:b/>
        </w:rPr>
        <w:t xml:space="preserve">Confianza en vecinos</w:t>
      </w:r>
    </w:p>
    <w:p>
      <w:pPr>
        <w:pStyle w:val="Textoindependiente"/>
      </w:pPr>
      <w:r>
        <w:t xml:space="preserve">En la encuesta ELSOC se incluye un indicador territorial sobre el grado de confianza en vecinos. Un análisis descriptivo de este indicador, que sería el único representante de esta subdimensión, se presenta en laFfigura</w:t>
      </w:r>
      <w:r>
        <w:t xml:space="preserve"> </w:t>
      </w:r>
      <w:r>
        <w:t xml:space="preserve">1.20</w:t>
      </w:r>
    </w:p>
    <w:p>
      <w:pPr>
        <w:pStyle w:val="CaptionedFigure"/>
      </w:pPr>
      <w:r>
        <w:drawing>
          <wp:inline>
            <wp:extent cx="5600700" cy="2911510"/>
            <wp:effectExtent b="0" l="0" r="0" t="0"/>
            <wp:docPr descr="Figura 1.20: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5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1.20: Confianza en vecinos.</w:t>
      </w:r>
    </w:p>
    <w:p>
      <w:pPr>
        <w:pStyle w:val="Textoindependiente"/>
      </w:pPr>
      <w:r>
        <w:rPr>
          <w:b/>
        </w:rPr>
        <w:t xml:space="preserve">Cohesión barrial</w:t>
      </w:r>
    </w:p>
    <w:p>
      <w:pPr>
        <w:pStyle w:val="Textoindependiente"/>
      </w:pPr>
      <w:r>
        <w:t xml:space="preserve">Otros indicadores territoriales presentes en ELSOC están asociados con la subdimensión de Cohesión barrial. Estos indicadores identifican si las personas se sienten identificadas con la gente del barrio, si se sienten integrados, si se sienten parte del barrio y si creen que es su barrio ideal. Un análisis descriptivo de estos cuatro indicadores se presenta en la Figura</w:t>
      </w:r>
      <w:r>
        <w:t xml:space="preserve"> </w:t>
      </w:r>
      <w:r>
        <w:t xml:space="preserve">1.21</w:t>
      </w:r>
      <w:r>
        <w:t xml:space="preserve"> </w:t>
      </w:r>
      <w:r>
        <w:t xml:space="preserve">y un análisis bivariado en la Figura</w:t>
      </w:r>
      <w:r>
        <w:t xml:space="preserve"> </w:t>
      </w:r>
      <w:r>
        <w:t xml:space="preserve">1.22</w:t>
      </w:r>
    </w:p>
    <w:p>
      <w:pPr>
        <w:pStyle w:val="CaptionedFigure"/>
      </w:pPr>
      <w:r>
        <w:drawing>
          <wp:inline>
            <wp:extent cx="5600700" cy="2911510"/>
            <wp:effectExtent b="0" l="0" r="0" t="0"/>
            <wp:docPr descr="Figura 1.21: Cohesión en el barrio."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5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1.21: Cohesión en el barrio.</w:t>
      </w:r>
    </w:p>
    <w:p>
      <w:pPr>
        <w:pStyle w:val="CaptionedFigure"/>
      </w:pPr>
      <w:r>
        <w:drawing>
          <wp:inline>
            <wp:extent cx="5600700" cy="2800350"/>
            <wp:effectExtent b="0" l="0" r="0" t="0"/>
            <wp:docPr descr="Figura 1.22: Asociación indicadores cohesió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60"/>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1.22: Asociación indicadores cohesión barrial.</w:t>
      </w:r>
    </w:p>
    <w:p>
      <w:pPr>
        <w:pStyle w:val="Textoindependiente"/>
      </w:pPr>
      <w:r>
        <w:t xml:space="preserve">Como esta subdimensión posee cuatro indicadores, se utilizó un análisis factorial exploratorio para construir un índice sobre las dimensiones que los subyacen. La Tabla</w:t>
      </w:r>
      <w:r>
        <w:t xml:space="preserve"> </w:t>
      </w:r>
      <w:r>
        <w:t xml:space="preserve">1.6</w:t>
      </w:r>
      <w:r>
        <w:t xml:space="preserve"> </w:t>
      </w:r>
      <w:r>
        <w:t xml:space="preserve">nos muestra el resultado de este análisis. En las segunda y tercera columna se observan dos factores que incluyen los cuatro indicadores y que representan un 26% y 24% de la varianza respectivamente. En la cuarta columna podemos observar un factor que agrupa tres indicadores y que representa un 21% de la varianza.</w:t>
      </w:r>
    </w:p>
    <w:p>
      <w:pPr>
        <w:pStyle w:val="TableCaption"/>
      </w:pPr>
      <w:r>
        <w:t xml:space="preserve">Tabla 1.6: Dimensiones de Cohesión barrial.</w:t>
      </w:r>
    </w:p>
    <w:tbl>
      <w:tblPr>
        <w:tblStyle w:val="Table"/>
        <w:tblW w:type="pct" w:w="0.0"/>
        <w:tblLook w:firstRow="0"/>
        <w:tblCaption w:val="Tabla 1.6: Dimensiones de Cohesión barrial."/>
      </w:tblPr>
      <w:tblGrid/>
      <w:tr>
        <w:tc>
          <w:p>
            <w:pPr>
              <w:pStyle w:val="Compact"/>
              <w:jc w:val="left"/>
            </w:pPr>
            <w:r>
              <w:drawing>
                <wp:inline>
                  <wp:extent cx="4762500" cy="2131785"/>
                  <wp:effectExtent b="0" l="0" r="0" t="0"/>
                  <wp:docPr descr="" title="" id="1" name="Picture"/>
                  <a:graphic>
                    <a:graphicData uri="http://schemas.openxmlformats.org/drawingml/2006/picture">
                      <pic:pic>
                        <pic:nvPicPr>
                          <pic:cNvPr descr="output/tables/cohesion_barrial_fa.png" id="0" name="Picture"/>
                          <pic:cNvPicPr>
                            <a:picLocks noChangeArrowheads="1" noChangeAspect="1"/>
                          </pic:cNvPicPr>
                        </pic:nvPicPr>
                        <pic:blipFill>
                          <a:blip r:embed="rId61"/>
                          <a:stretch>
                            <a:fillRect/>
                          </a:stretch>
                        </pic:blipFill>
                        <pic:spPr bwMode="auto">
                          <a:xfrm>
                            <a:off x="0" y="0"/>
                            <a:ext cx="4762500" cy="2131785"/>
                          </a:xfrm>
                          <a:prstGeom prst="rect">
                            <a:avLst/>
                          </a:prstGeom>
                          <a:noFill/>
                          <a:ln w="9525">
                            <a:noFill/>
                            <a:headEnd/>
                            <a:tailEnd/>
                          </a:ln>
                        </pic:spPr>
                      </pic:pic>
                    </a:graphicData>
                  </a:graphic>
                </wp:inline>
              </w:drawing>
            </w:r>
          </w:p>
        </w:tc>
      </w:tr>
    </w:tbl>
    <w:p>
      <w:pPr>
        <w:pStyle w:val="Textoindependiente"/>
      </w:pPr>
      <w:r>
        <w:rPr>
          <w:b/>
        </w:rPr>
        <w:t xml:space="preserve">Sociabilidad barrial</w:t>
      </w:r>
    </w:p>
    <w:p>
      <w:pPr>
        <w:pStyle w:val="Textoindependiente"/>
      </w:pPr>
      <w:r>
        <w:t xml:space="preserve">Esta subdimensión de indicadores territoriales aborda la percepción que se tiene sobre el barrio en relación con si las demás personas son sociables, si es fácil hacer amigos, si las personas son cordiales y si son colaboradoras. Un análisis descriptivo de estos cuatro indicadores se presenta en la Figura</w:t>
      </w:r>
      <w:r>
        <w:t xml:space="preserve"> </w:t>
      </w:r>
      <w:r>
        <w:t xml:space="preserve">1.23</w:t>
      </w:r>
      <w:r>
        <w:t xml:space="preserve"> </w:t>
      </w:r>
      <w:r>
        <w:t xml:space="preserve">y un análisis bivariado en la Figura</w:t>
      </w:r>
      <w:r>
        <w:t xml:space="preserve"> </w:t>
      </w:r>
      <w:r>
        <w:t xml:space="preserve">1.24</w:t>
      </w:r>
      <w:r>
        <w:t xml:space="preserve">.</w:t>
      </w:r>
    </w:p>
    <w:p>
      <w:pPr>
        <w:pStyle w:val="CaptionedFigure"/>
      </w:pPr>
      <w:r>
        <w:drawing>
          <wp:inline>
            <wp:extent cx="5600700" cy="2911510"/>
            <wp:effectExtent b="0" l="0" r="0" t="0"/>
            <wp:docPr descr="Figura 1.23: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6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1.23: Sociabilidad barrial.</w:t>
      </w:r>
    </w:p>
    <w:p>
      <w:pPr>
        <w:pStyle w:val="CaptionedFigure"/>
      </w:pPr>
      <w:r>
        <w:drawing>
          <wp:inline>
            <wp:extent cx="5600700" cy="2800350"/>
            <wp:effectExtent b="0" l="0" r="0" t="0"/>
            <wp:docPr descr="Figura 1.24: Asociación indicador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6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1.24: Asociación indicadores sociabilidad barrial.</w:t>
      </w:r>
    </w:p>
    <w:p>
      <w:pPr>
        <w:pStyle w:val="Textoindependiente"/>
      </w:pPr>
      <w:r>
        <w:t xml:space="preserve">Igual que en el caso anterior, se realizó un análisis factorial exploratorio sobre estos cuatro indicadores. Los resultados se muestran en la Tabla</w:t>
      </w:r>
      <w:r>
        <w:t xml:space="preserve"> </w:t>
      </w:r>
      <w:r>
        <w:t xml:space="preserve">1.7</w:t>
      </w:r>
      <w:r>
        <w:t xml:space="preserve">. En esta tabla podemos observar dos factores que incluyen tres indicadores y que cada uno representa un 24% de la varianza. Además, podemos observar un tercer factor que incluye dos indicadores y que representa un 15% de la varianza.</w:t>
      </w:r>
    </w:p>
    <w:p>
      <w:pPr>
        <w:pStyle w:val="TableCaption"/>
      </w:pPr>
      <w:r>
        <w:t xml:space="preserve">Tabla 1.7: Dimensiones de sociabilidad barrial.</w:t>
      </w:r>
    </w:p>
    <w:tbl>
      <w:tblPr>
        <w:tblStyle w:val="Table"/>
        <w:tblW w:type="pct" w:w="0.0"/>
        <w:tblLook w:firstRow="0"/>
        <w:tblCaption w:val="Tabla 1.7: Dimensiones de sociabilidad barrial."/>
      </w:tblPr>
      <w:tblGrid/>
      <w:tr>
        <w:tc>
          <w:p>
            <w:pPr>
              <w:pStyle w:val="Compact"/>
              <w:jc w:val="left"/>
            </w:pPr>
            <w:r>
              <w:drawing>
                <wp:inline>
                  <wp:extent cx="4762500" cy="2106705"/>
                  <wp:effectExtent b="0" l="0" r="0" t="0"/>
                  <wp:docPr descr="" title="" id="1" name="Picture"/>
                  <a:graphic>
                    <a:graphicData uri="http://schemas.openxmlformats.org/drawingml/2006/picture">
                      <pic:pic>
                        <pic:nvPicPr>
                          <pic:cNvPr descr="output/tables/sociabilidad_barrial_fa.png" id="0" name="Picture"/>
                          <pic:cNvPicPr>
                            <a:picLocks noChangeArrowheads="1" noChangeAspect="1"/>
                          </pic:cNvPicPr>
                        </pic:nvPicPr>
                        <pic:blipFill>
                          <a:blip r:embed="rId64"/>
                          <a:stretch>
                            <a:fillRect/>
                          </a:stretch>
                        </pic:blipFill>
                        <pic:spPr bwMode="auto">
                          <a:xfrm>
                            <a:off x="0" y="0"/>
                            <a:ext cx="4762500" cy="2106705"/>
                          </a:xfrm>
                          <a:prstGeom prst="rect">
                            <a:avLst/>
                          </a:prstGeom>
                          <a:noFill/>
                          <a:ln w="9525">
                            <a:noFill/>
                            <a:headEnd/>
                            <a:tailEnd/>
                          </a:ln>
                        </pic:spPr>
                      </pic:pic>
                    </a:graphicData>
                  </a:graphic>
                </wp:inline>
              </w:drawing>
            </w:r>
          </w:p>
        </w:tc>
      </w:tr>
    </w:tbl>
    <w:p>
      <w:pPr>
        <w:pStyle w:val="Textoindependiente"/>
      </w:pPr>
      <w:r>
        <w:rPr>
          <w:b/>
        </w:rPr>
        <w:t xml:space="preserve">Satisfacción residencial</w:t>
      </w:r>
    </w:p>
    <w:p>
      <w:pPr>
        <w:pStyle w:val="Textoindependiente"/>
      </w:pPr>
      <w:r>
        <w:t xml:space="preserve">Finalmente, se incluye una subdimensión de Satisfacción residencial presente en ELSOC y que está relacionada con indicadores que miden la conectividad del barrio, la proximidad con el comercio, colegios, familiares y la principal actividad de trabajo, la limpieza del barrio, la cantidad de áreas verdes y la seguridad del barrio. Se incluye un análisis descriptivo de estos ocho indicadores en la Figura</w:t>
      </w:r>
      <w:r>
        <w:t xml:space="preserve"> </w:t>
      </w:r>
      <w:r>
        <w:t xml:space="preserve">1.25</w:t>
      </w:r>
      <w:r>
        <w:t xml:space="preserve"> </w:t>
      </w:r>
      <w:r>
        <w:t xml:space="preserve">y un análisis bivariado en la Figura</w:t>
      </w:r>
      <w:r>
        <w:t xml:space="preserve"> </w:t>
      </w:r>
      <w:r>
        <w:t xml:space="preserve">1.26</w:t>
      </w:r>
      <w:r>
        <w:t xml:space="preserve">.</w:t>
      </w:r>
    </w:p>
    <w:p>
      <w:pPr>
        <w:pStyle w:val="CaptionedFigure"/>
      </w:pPr>
      <w:r>
        <w:drawing>
          <wp:inline>
            <wp:extent cx="5600700" cy="2911510"/>
            <wp:effectExtent b="0" l="0" r="0" t="0"/>
            <wp:docPr descr="Figura 1.25: Satisfacción con el barrio."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6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1.25: Satisfacción con el barrio.</w:t>
      </w:r>
    </w:p>
    <w:p>
      <w:pPr>
        <w:pStyle w:val="CaptionedFigure"/>
      </w:pPr>
      <w:r>
        <w:drawing>
          <wp:inline>
            <wp:extent cx="5600700" cy="2800350"/>
            <wp:effectExtent b="0" l="0" r="0" t="0"/>
            <wp:docPr descr="Figura 1.26: Asociación indicador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66"/>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1.26: Asociación indicadores satisfacción residencial.</w:t>
      </w:r>
    </w:p>
    <w:p>
      <w:pPr>
        <w:pStyle w:val="Textoindependiente"/>
      </w:pPr>
      <w:r>
        <w:t xml:space="preserve">En esta subdimensión se volvió a realizar un análisis factorial exploratorio. Como observamos en la Tabla</w:t>
      </w:r>
      <w:r>
        <w:t xml:space="preserve"> </w:t>
      </w:r>
      <w:r>
        <w:t xml:space="preserve">1.8</w:t>
      </w:r>
      <w:r>
        <w:t xml:space="preserve">, en la segunda columna se presenta un factor que incluye los indicadores referidos a la conectividad y proximidad del barrio con algunos servicios, luego un segundo factor que incluye los indicadores sobre limpieza y áreas verdes y finalmente un tercer factor que incluye el indicador sobre seguridad. El primero de estos factores representa un 20% de la varianza, el segundo un 14% y el tercer factor representa un 13% de la varianza.</w:t>
      </w:r>
    </w:p>
    <w:p>
      <w:pPr>
        <w:pStyle w:val="TableCaption"/>
      </w:pPr>
      <w:r>
        <w:t xml:space="preserve">Tabla 1.8: Dimensiones de satisfaccion residencial.</w:t>
      </w:r>
    </w:p>
    <w:tbl>
      <w:tblPr>
        <w:tblStyle w:val="Table"/>
        <w:tblW w:type="pct" w:w="0.0"/>
        <w:tblLook w:firstRow="0"/>
        <w:tblCaption w:val="Tabla 1.8: Dimensiones de satisfaccion residencial."/>
      </w:tblPr>
      <w:tblGrid/>
      <w:tr>
        <w:tc>
          <w:p>
            <w:pPr>
              <w:pStyle w:val="Compact"/>
              <w:jc w:val="left"/>
            </w:pPr>
            <w:r>
              <w:drawing>
                <wp:inline>
                  <wp:extent cx="4762500" cy="3080979"/>
                  <wp:effectExtent b="0" l="0" r="0" t="0"/>
                  <wp:docPr descr="" title="" id="1" name="Picture"/>
                  <a:graphic>
                    <a:graphicData uri="http://schemas.openxmlformats.org/drawingml/2006/picture">
                      <pic:pic>
                        <pic:nvPicPr>
                          <pic:cNvPr descr="output/tables/sat_residencial_fa.png" id="0" name="Picture"/>
                          <pic:cNvPicPr>
                            <a:picLocks noChangeArrowheads="1" noChangeAspect="1"/>
                          </pic:cNvPicPr>
                        </pic:nvPicPr>
                        <pic:blipFill>
                          <a:blip r:embed="rId67"/>
                          <a:stretch>
                            <a:fillRect/>
                          </a:stretch>
                        </pic:blipFill>
                        <pic:spPr bwMode="auto">
                          <a:xfrm>
                            <a:off x="0" y="0"/>
                            <a:ext cx="4762500" cy="3080979"/>
                          </a:xfrm>
                          <a:prstGeom prst="rect">
                            <a:avLst/>
                          </a:prstGeom>
                          <a:noFill/>
                          <a:ln w="9525">
                            <a:noFill/>
                            <a:headEnd/>
                            <a:tailEnd/>
                          </a:ln>
                        </pic:spPr>
                      </pic:pic>
                    </a:graphicData>
                  </a:graphic>
                </wp:inline>
              </w:drawing>
            </w:r>
          </w:p>
        </w:tc>
      </w:tr>
    </w:tbl>
    <w:p>
      <w:pPr>
        <w:pStyle w:val="Ttulo1"/>
      </w:pPr>
      <w:bookmarkStart w:id="68" w:name="capítulo-ii"/>
      <w:r>
        <w:t xml:space="preserve">2	Capítulo II —</w:t>
      </w:r>
      <w:bookmarkEnd w:id="68"/>
    </w:p>
    <w:p>
      <w:pPr>
        <w:pStyle w:val="Ttulo1"/>
      </w:pPr>
      <w:bookmarkStart w:id="69" w:name="capítulo-iii"/>
      <w:r>
        <w:t xml:space="preserve">3	Capítulo III —</w:t>
      </w:r>
      <w:bookmarkEnd w:id="69"/>
    </w:p>
    <w:p>
      <w:pPr>
        <w:pStyle w:val="Ttulo1"/>
      </w:pPr>
      <w:bookmarkStart w:id="70" w:name="bibliografía"/>
      <w:r>
        <w:t xml:space="preserve">Bibliografía</w:t>
      </w:r>
      <w:bookmarkEnd w:id="70"/>
    </w:p>
    <w:bookmarkStart w:id="74" w:name="refs"/>
    <w:bookmarkStart w:id="71" w:name="ref-cepal_Cohesion_2021"/>
    <w:p>
      <w:pPr>
        <w:pStyle w:val="Bibliografa"/>
      </w:pPr>
      <w:r>
        <w:t xml:space="preserve">CEPAL. (2021).</w:t>
      </w:r>
      <w:r>
        <w:t xml:space="preserve"> </w:t>
      </w:r>
      <w:r>
        <w:rPr>
          <w:i/>
        </w:rPr>
        <w:t xml:space="preserve">Cohesión Social y Desarrollo Social Inclusivo En América Latina. Una Propuesta Normativa Para Una Era de Incertidumbres</w:t>
      </w:r>
      <w:r>
        <w:t xml:space="preserve">.</w:t>
      </w:r>
    </w:p>
    <w:bookmarkEnd w:id="71"/>
    <w:bookmarkStart w:id="72" w:name="ref-coes_Radiografia_2019"/>
    <w:p>
      <w:pPr>
        <w:pStyle w:val="Bibliografa"/>
      </w:pPr>
      <w:r>
        <w:t xml:space="preserve">COES. (2019).</w:t>
      </w:r>
      <w:r>
        <w:t xml:space="preserve"> </w:t>
      </w:r>
      <w:r>
        <w:rPr>
          <w:i/>
        </w:rPr>
        <w:t xml:space="preserve">Radiografía Del Cambio Social. Análisis de Resultados Longitudinales 2016-2018</w:t>
      </w:r>
      <w:r>
        <w:t xml:space="preserve">.</w:t>
      </w:r>
    </w:p>
    <w:bookmarkEnd w:id="72"/>
    <w:bookmarkStart w:id="73" w:name="ref-valenzuela_vinculos_2008"/>
    <w:p>
      <w:pPr>
        <w:pStyle w:val="Bibliografa"/>
      </w:pPr>
      <w:r>
        <w:t xml:space="preserve">Valenzuela, E., Schwartzman, S., Valenzuela, S., Scully, T., Somma, N., y Biehl, A. (2008).</w:t>
      </w:r>
      <w:r>
        <w:t xml:space="preserve"> </w:t>
      </w:r>
      <w:r>
        <w:rPr>
          <w:i/>
        </w:rPr>
        <w:t xml:space="preserve">Vínculos, creencias e ilusiones. La cohesión social de los latinoamericanos Cieplan</w:t>
      </w:r>
      <w:r>
        <w:t xml:space="preserve"> </w:t>
      </w:r>
      <w:r>
        <w:t xml:space="preserve">(Uqbar). Santiago.</w:t>
      </w:r>
    </w:p>
    <w:bookmarkEnd w:id="73"/>
    <w:bookmarkEnd w:id="74"/>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30" Target="media/rId30.jp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61" Target="media/rId61.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49" Target="media/rId49.png" /><Relationship Type="http://schemas.openxmlformats.org/officeDocument/2006/relationships/hyperlink" Id="rId22" Target="https://coes.cl/" TargetMode="External" /><Relationship Type="http://schemas.openxmlformats.org/officeDocument/2006/relationships/hyperlink" Id="rId21" Target="https://coes.cl/encuesta-panel/" TargetMode="External" /><Relationship Type="http://schemas.openxmlformats.org/officeDocument/2006/relationships/hyperlink" Id="rId24" Target="https://www.bertelsmann-stiftung.de/en/publications/publication/did/social-cohesion-radar/" TargetMode="External" /><Relationship Type="http://schemas.openxmlformats.org/officeDocument/2006/relationships/hyperlink" Id="rId27" Target="https://www.cieplan.org/wp-content/uploads/2019/12/Libro_Completo_Redes_Estado_y_Mercado_compressed.pdf" TargetMode="External" /><Relationship Type="http://schemas.openxmlformats.org/officeDocument/2006/relationships/hyperlink" Id="rId26" Target="https://www.cieplan.org/wp-content/uploads/2019/12/Libro_Completo_Vinculos_Creencia_e_Ilusiones.pdf" TargetMode="External" /><Relationship Type="http://schemas.openxmlformats.org/officeDocument/2006/relationships/hyperlink" Id="rId28" Target="https://www.coes.cl/" TargetMode="External" /><Relationship Type="http://schemas.openxmlformats.org/officeDocument/2006/relationships/hyperlink" Id="rId25" Target="https://www.desarrollosocialyfamilia.gob.cl/storage/docs/Informe_Final_Consejo_Cohesion_Social.pdf" TargetMode="External" /></Relationships>
</file>

<file path=word/_rels/footnotes.xml.rels><?xml version="1.0" encoding="UTF-8"?>
<Relationships xmlns="http://schemas.openxmlformats.org/package/2006/relationships"><Relationship Type="http://schemas.openxmlformats.org/officeDocument/2006/relationships/hyperlink" Id="rId22" Target="https://coes.cl/" TargetMode="External" /><Relationship Type="http://schemas.openxmlformats.org/officeDocument/2006/relationships/hyperlink" Id="rId21" Target="https://coes.cl/encuesta-panel/" TargetMode="External" /><Relationship Type="http://schemas.openxmlformats.org/officeDocument/2006/relationships/hyperlink" Id="rId24" Target="https://www.bertelsmann-stiftung.de/en/publications/publication/did/social-cohesion-radar/" TargetMode="External" /><Relationship Type="http://schemas.openxmlformats.org/officeDocument/2006/relationships/hyperlink" Id="rId27" Target="https://www.cieplan.org/wp-content/uploads/2019/12/Libro_Completo_Redes_Estado_y_Mercado_compressed.pdf" TargetMode="External" /><Relationship Type="http://schemas.openxmlformats.org/officeDocument/2006/relationships/hyperlink" Id="rId26" Target="https://www.cieplan.org/wp-content/uploads/2019/12/Libro_Completo_Vinculos_Creencia_e_Ilusiones.pdf" TargetMode="External" /><Relationship Type="http://schemas.openxmlformats.org/officeDocument/2006/relationships/hyperlink" Id="rId28" Target="https://www.coes.cl/" TargetMode="External" /><Relationship Type="http://schemas.openxmlformats.org/officeDocument/2006/relationships/hyperlink" Id="rId25" Target="https://www.desarrollosocialyfamilia.gob.cl/storage/docs/Informe_Final_Consejo_Cohesion_Social.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Cambios en la Cohesión Social en Chile</dc:title>
  <dc:creator>Equipo CEPAL-ELSOC</dc:creator>
  <dc:language>es</dc:language>
  <cp:keywords/>
  <dcterms:created xsi:type="dcterms:W3CDTF">2021-08-27T16:34:52Z</dcterms:created>
  <dcterms:modified xsi:type="dcterms:W3CDTF">2021-08-27T16:34:52Z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bib/apa-no-ampersand.csl</vt:lpwstr>
  </property>
  <property fmtid="{D5CDD505-2E9C-101B-9397-08002B2CF9AE}" pid="7" name="date">
    <vt:lpwstr>2021-08-27</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juancarloscastillo/cohesion-cepal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https://cohesion-cepal.netlify.app/</vt:lpwstr>
  </property>
</Properties>
</file>