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0931B8B" w:rsidR="00885D17" w:rsidRDefault="006D5EA4">
      <w:pPr>
        <w:jc w:val="center"/>
        <w:rPr>
          <w:rFonts w:ascii="Times New Roman" w:eastAsia="Times New Roman" w:hAnsi="Times New Roman" w:cs="Times New Roman"/>
          <w:b/>
          <w:bCs/>
          <w:sz w:val="28"/>
          <w:szCs w:val="28"/>
        </w:rPr>
      </w:pPr>
      <w:r w:rsidRPr="006D5EA4">
        <w:rPr>
          <w:rFonts w:ascii="Times New Roman" w:eastAsia="Times New Roman" w:hAnsi="Times New Roman" w:cs="Times New Roman"/>
          <w:b/>
          <w:bCs/>
          <w:sz w:val="28"/>
          <w:szCs w:val="28"/>
        </w:rPr>
        <w:t xml:space="preserve">¿Una parte justa? Posición en el mercado laboral, riesgo tecnológico percibido y justicia redistributiva </w:t>
      </w:r>
      <w:r w:rsidR="009B17DE">
        <w:rPr>
          <w:rFonts w:ascii="Times New Roman" w:eastAsia="Times New Roman" w:hAnsi="Times New Roman" w:cs="Times New Roman"/>
          <w:b/>
          <w:bCs/>
          <w:sz w:val="28"/>
          <w:szCs w:val="28"/>
        </w:rPr>
        <w:t>según régimen de bienestar en 27 países de la OCDE</w:t>
      </w:r>
    </w:p>
    <w:p w14:paraId="680DE1BC" w14:textId="77777777" w:rsidR="009B17DE" w:rsidRDefault="009B17DE">
      <w:pPr>
        <w:jc w:val="center"/>
        <w:rPr>
          <w:rFonts w:ascii="Times New Roman" w:eastAsia="Times New Roman" w:hAnsi="Times New Roman" w:cs="Times New Roman"/>
          <w:sz w:val="24"/>
          <w:szCs w:val="24"/>
        </w:rPr>
      </w:pPr>
    </w:p>
    <w:p w14:paraId="1D00259A" w14:textId="72031B81" w:rsidR="009B17DE" w:rsidRPr="006D5EA4" w:rsidRDefault="009B17DE" w:rsidP="009B17DE">
      <w:pPr>
        <w:spacing w:before="240" w:after="240"/>
        <w:jc w:val="both"/>
        <w:rPr>
          <w:rFonts w:ascii="Times New Roman" w:eastAsia="Times New Roman" w:hAnsi="Times New Roman" w:cs="Times New Roman"/>
          <w:sz w:val="24"/>
          <w:szCs w:val="24"/>
          <w:lang w:val="es-CL"/>
        </w:rPr>
      </w:pPr>
      <w:r w:rsidRPr="006D5EA4">
        <w:rPr>
          <w:rFonts w:ascii="Times New Roman" w:eastAsia="Times New Roman" w:hAnsi="Times New Roman" w:cs="Times New Roman"/>
          <w:b/>
          <w:bCs/>
          <w:sz w:val="24"/>
          <w:szCs w:val="24"/>
          <w:lang w:val="es-CL"/>
        </w:rPr>
        <w:t>Palabras clave:</w:t>
      </w:r>
      <w:r w:rsidRPr="006D5EA4">
        <w:rPr>
          <w:rFonts w:ascii="Times New Roman" w:eastAsia="Times New Roman" w:hAnsi="Times New Roman" w:cs="Times New Roman"/>
          <w:sz w:val="24"/>
          <w:szCs w:val="24"/>
          <w:lang w:val="es-CL"/>
        </w:rPr>
        <w:t xml:space="preserve"> </w:t>
      </w:r>
      <w:r>
        <w:rPr>
          <w:rFonts w:ascii="Times New Roman" w:eastAsia="Times New Roman" w:hAnsi="Times New Roman" w:cs="Times New Roman"/>
        </w:rPr>
        <w:t>justicia redistributiva; trabajo de plataformas; cambio tecnológico; regímenes de bienestar</w:t>
      </w:r>
    </w:p>
    <w:p w14:paraId="154541F6" w14:textId="77777777" w:rsidR="009B17DE" w:rsidRDefault="009B17DE">
      <w:pPr>
        <w:jc w:val="center"/>
        <w:rPr>
          <w:rFonts w:ascii="Times New Roman" w:eastAsia="Times New Roman" w:hAnsi="Times New Roman" w:cs="Times New Roman"/>
          <w:sz w:val="24"/>
          <w:szCs w:val="24"/>
        </w:rPr>
      </w:pPr>
    </w:p>
    <w:p w14:paraId="162C4ABC" w14:textId="77777777" w:rsidR="00412C25" w:rsidRDefault="00412C25" w:rsidP="00412C25">
      <w:pPr>
        <w:spacing w:after="200" w:line="360" w:lineRule="auto"/>
        <w:jc w:val="both"/>
      </w:pPr>
      <w:r>
        <w:rPr>
          <w:rFonts w:ascii="Times New Roman" w:eastAsia="Times New Roman" w:hAnsi="Times New Roman" w:cs="Times New Roman"/>
          <w:sz w:val="24"/>
          <w:szCs w:val="24"/>
        </w:rPr>
        <w:t>Las transformaciones tecnológicas contemporáneas, entre ellas la automatización, la inteligencia artificial, la gestión algorítmica y la intermediación mediante plataformas digitales, están alterando las condiciones en que los trabajadores se relacionan con los sistemas de protección social y evalúan la justicia del intercambio que mantienen con el Estado. Estos sistemas se diseñaron sobre la premisa de un empleo estable, de jornada completa y de largo plazo, en el que las contribuciones fluían de manera predecible desde los salarios y los derechos se acumulaban a lo largo de trayectorias laborales continuas. El desacople progresivo entre ese modelo y las formas de trabajo actuales, sobre todo los contratos temporales, el trabajo por cuenta propia y el trabajo mediado por plataformas, plantea la pregunta de cómo perciben hoy los trabajadores la justicia del intercambio que sostienen con las instituciones llamadas a protegerlos.</w:t>
      </w:r>
    </w:p>
    <w:p w14:paraId="3C3BD794" w14:textId="003BCFB4" w:rsidR="00412C25" w:rsidRDefault="00412C25" w:rsidP="00412C25">
      <w:pPr>
        <w:spacing w:after="200" w:line="360" w:lineRule="auto"/>
        <w:jc w:val="both"/>
      </w:pPr>
      <w:r>
        <w:rPr>
          <w:rFonts w:ascii="Times New Roman" w:eastAsia="Times New Roman" w:hAnsi="Times New Roman" w:cs="Times New Roman"/>
          <w:sz w:val="24"/>
          <w:szCs w:val="24"/>
        </w:rPr>
        <w:t xml:space="preserve">La investigación sobre actitudes hacia el Estado de bienestar ha distinguido entre preferencias, las creencias normativas sobre cómo deberían distribuirse los recursos, y percepciones, los juicios evaluativos sobre cómo funciona efectivamente el sistema (Roosma, Van Oorschot y </w:t>
      </w:r>
      <w:proofErr w:type="spellStart"/>
      <w:r>
        <w:rPr>
          <w:rFonts w:ascii="Times New Roman" w:eastAsia="Times New Roman" w:hAnsi="Times New Roman" w:cs="Times New Roman"/>
          <w:sz w:val="24"/>
          <w:szCs w:val="24"/>
        </w:rPr>
        <w:t>Gelissen</w:t>
      </w:r>
      <w:proofErr w:type="spellEnd"/>
      <w:r>
        <w:rPr>
          <w:rFonts w:ascii="Times New Roman" w:eastAsia="Times New Roman" w:hAnsi="Times New Roman" w:cs="Times New Roman"/>
          <w:sz w:val="24"/>
          <w:szCs w:val="24"/>
        </w:rPr>
        <w:t>, 2016). La primera dimensión ha concentrado la mayor parte de la atención empírica, mientras que la segunda ha recibido un tratamiento más marginal. La justicia redistributiva percibida se refiere a si el intercambio entre lo que una persona aporta en impuestos y contribuciones y lo que recibe del Estado resulta justo, y su fundamento teórico se encuentra en la lógica de la reciprocidad: la legitimidad del sistema de bienestar descansa tanto en sus resultados redistributivos como en la justicia percibida de las instituciones que asignan contribuciones y beneficios (Mau, 2014; Rothstein, 1998). Pese al aumento sostenido de la desigualdad en la mayoría de las democracias avanzadas, la demanda de redistribución no ha crecido de manera proporcional, un desajuste que la literatura atribuye en buena medida a cómo las personas perciben la desigualdad y su propia posición en la distribución, dejando comparativamente menos explorado el juicio sobre la justicia del propio intercambio fiscal.</w:t>
      </w:r>
    </w:p>
    <w:p w14:paraId="5ECA14F7" w14:textId="7A2C0BCC" w:rsidR="00412C25" w:rsidRDefault="00720849" w:rsidP="00412C25">
      <w:pPr>
        <w:spacing w:after="200" w:line="360" w:lineRule="auto"/>
        <w:jc w:val="both"/>
      </w:pPr>
      <w:r>
        <w:rPr>
          <w:rFonts w:ascii="Times New Roman" w:eastAsia="Times New Roman" w:hAnsi="Times New Roman" w:cs="Times New Roman"/>
          <w:sz w:val="24"/>
          <w:szCs w:val="24"/>
        </w:rPr>
        <w:lastRenderedPageBreak/>
        <w:t>Esta investigación</w:t>
      </w:r>
      <w:r w:rsidR="00412C25">
        <w:rPr>
          <w:rFonts w:ascii="Times New Roman" w:eastAsia="Times New Roman" w:hAnsi="Times New Roman" w:cs="Times New Roman"/>
          <w:sz w:val="24"/>
          <w:szCs w:val="24"/>
        </w:rPr>
        <w:t xml:space="preserve"> distingue la posición laboral según el tipo de empleo</w:t>
      </w:r>
      <w:r>
        <w:rPr>
          <w:rFonts w:ascii="Times New Roman" w:eastAsia="Times New Roman" w:hAnsi="Times New Roman" w:cs="Times New Roman"/>
          <w:sz w:val="24"/>
          <w:szCs w:val="24"/>
        </w:rPr>
        <w:t xml:space="preserve"> (</w:t>
      </w:r>
      <w:r w:rsidR="00412C25">
        <w:rPr>
          <w:rFonts w:ascii="Times New Roman" w:eastAsia="Times New Roman" w:hAnsi="Times New Roman" w:cs="Times New Roman"/>
          <w:sz w:val="24"/>
          <w:szCs w:val="24"/>
        </w:rPr>
        <w:t>formal dependiente, por cuenta propia y de plataformas</w:t>
      </w:r>
      <w:r>
        <w:rPr>
          <w:rFonts w:ascii="Times New Roman" w:eastAsia="Times New Roman" w:hAnsi="Times New Roman" w:cs="Times New Roman"/>
          <w:sz w:val="24"/>
          <w:szCs w:val="24"/>
        </w:rPr>
        <w:t>)</w:t>
      </w:r>
      <w:r w:rsidR="00412C25">
        <w:rPr>
          <w:rFonts w:ascii="Times New Roman" w:eastAsia="Times New Roman" w:hAnsi="Times New Roman" w:cs="Times New Roman"/>
          <w:sz w:val="24"/>
          <w:szCs w:val="24"/>
        </w:rPr>
        <w:t xml:space="preserve">, formas que sostienen vínculos desiguales con el sistema de protección social y que la sociología del trabajo ha documentado como parte de una polarización creciente entre empleo protegido y trabajo precario (Kalleberg, 2011), con una distancia institucional entre quienes están dentro y fuera del empleo estándar que condiciona el acceso a derechos (Schwander y Häusermann, 2013). </w:t>
      </w:r>
      <w:r>
        <w:rPr>
          <w:rFonts w:ascii="Times New Roman" w:eastAsia="Times New Roman" w:hAnsi="Times New Roman" w:cs="Times New Roman"/>
          <w:sz w:val="24"/>
          <w:szCs w:val="24"/>
        </w:rPr>
        <w:t>También</w:t>
      </w:r>
      <w:r w:rsidR="00412C25">
        <w:rPr>
          <w:rFonts w:ascii="Times New Roman" w:eastAsia="Times New Roman" w:hAnsi="Times New Roman" w:cs="Times New Roman"/>
          <w:sz w:val="24"/>
          <w:szCs w:val="24"/>
        </w:rPr>
        <w:t xml:space="preserve"> incorpora la percepción del riesgo tecnológico como fuente de insatisfacción redistributiva distinta del tipo de empleo y de la inseguridad laboral convencional, diferenciando su dimensión amenazante de su dimensión habilitante, en un área donde la evidencia comparada ha mostrado sobre todo que la exposición percibida a la automatización incrementa la demanda de protección social sin establecer con la misma claridad su efecto sobre la justicia percibida del intercambio ya existente (</w:t>
      </w:r>
      <w:proofErr w:type="spellStart"/>
      <w:r w:rsidR="00412C25">
        <w:rPr>
          <w:rFonts w:ascii="Times New Roman" w:eastAsia="Times New Roman" w:hAnsi="Times New Roman" w:cs="Times New Roman"/>
          <w:sz w:val="24"/>
          <w:szCs w:val="24"/>
        </w:rPr>
        <w:t>Busemeyer</w:t>
      </w:r>
      <w:proofErr w:type="spellEnd"/>
      <w:r w:rsidR="00412C25">
        <w:rPr>
          <w:rFonts w:ascii="Times New Roman" w:eastAsia="Times New Roman" w:hAnsi="Times New Roman" w:cs="Times New Roman"/>
          <w:sz w:val="24"/>
          <w:szCs w:val="24"/>
        </w:rPr>
        <w:t xml:space="preserve"> y Sahm, 2022; Gallego y </w:t>
      </w:r>
      <w:proofErr w:type="spellStart"/>
      <w:r w:rsidR="00412C25">
        <w:rPr>
          <w:rFonts w:ascii="Times New Roman" w:eastAsia="Times New Roman" w:hAnsi="Times New Roman" w:cs="Times New Roman"/>
          <w:sz w:val="24"/>
          <w:szCs w:val="24"/>
        </w:rPr>
        <w:t>Kurer</w:t>
      </w:r>
      <w:proofErr w:type="spellEnd"/>
      <w:r w:rsidR="00412C25">
        <w:rPr>
          <w:rFonts w:ascii="Times New Roman" w:eastAsia="Times New Roman" w:hAnsi="Times New Roman" w:cs="Times New Roman"/>
          <w:sz w:val="24"/>
          <w:szCs w:val="24"/>
        </w:rPr>
        <w:t xml:space="preserve">, 2022). </w:t>
      </w:r>
      <w:r>
        <w:rPr>
          <w:rFonts w:ascii="Times New Roman" w:eastAsia="Times New Roman" w:hAnsi="Times New Roman" w:cs="Times New Roman"/>
          <w:sz w:val="24"/>
          <w:szCs w:val="24"/>
        </w:rPr>
        <w:t>Finalmente</w:t>
      </w:r>
      <w:r w:rsidR="00412C25">
        <w:rPr>
          <w:rFonts w:ascii="Times New Roman" w:eastAsia="Times New Roman" w:hAnsi="Times New Roman" w:cs="Times New Roman"/>
          <w:sz w:val="24"/>
          <w:szCs w:val="24"/>
        </w:rPr>
        <w:t xml:space="preserve">, incorpora el merecimiento percibido de otros beneficiarios, el juicio sobre si otras personas reciben del Estado beneficios que no merecen, como predictor de la evaluación que cada individuo hace de su propia relación con el sistema (Van Oorschot, 2000, 2006). En Europa, estas preguntas han entrado también en la agenda de política pública: el acceso a la protección social de trabajadores autónomos y de plataformas ha sido objeto de una Recomendación del Consejo (Council </w:t>
      </w:r>
      <w:proofErr w:type="spellStart"/>
      <w:r w:rsidR="00412C25">
        <w:rPr>
          <w:rFonts w:ascii="Times New Roman" w:eastAsia="Times New Roman" w:hAnsi="Times New Roman" w:cs="Times New Roman"/>
          <w:sz w:val="24"/>
          <w:szCs w:val="24"/>
        </w:rPr>
        <w:t>of</w:t>
      </w:r>
      <w:proofErr w:type="spellEnd"/>
      <w:r w:rsidR="00412C25">
        <w:rPr>
          <w:rFonts w:ascii="Times New Roman" w:eastAsia="Times New Roman" w:hAnsi="Times New Roman" w:cs="Times New Roman"/>
          <w:sz w:val="24"/>
          <w:szCs w:val="24"/>
        </w:rPr>
        <w:t xml:space="preserve"> </w:t>
      </w:r>
      <w:proofErr w:type="spellStart"/>
      <w:r w:rsidR="00412C25">
        <w:rPr>
          <w:rFonts w:ascii="Times New Roman" w:eastAsia="Times New Roman" w:hAnsi="Times New Roman" w:cs="Times New Roman"/>
          <w:sz w:val="24"/>
          <w:szCs w:val="24"/>
        </w:rPr>
        <w:t>the</w:t>
      </w:r>
      <w:proofErr w:type="spellEnd"/>
      <w:r w:rsidR="00412C25">
        <w:rPr>
          <w:rFonts w:ascii="Times New Roman" w:eastAsia="Times New Roman" w:hAnsi="Times New Roman" w:cs="Times New Roman"/>
          <w:sz w:val="24"/>
          <w:szCs w:val="24"/>
        </w:rPr>
        <w:t xml:space="preserve"> </w:t>
      </w:r>
      <w:proofErr w:type="spellStart"/>
      <w:r w:rsidR="00412C25">
        <w:rPr>
          <w:rFonts w:ascii="Times New Roman" w:eastAsia="Times New Roman" w:hAnsi="Times New Roman" w:cs="Times New Roman"/>
          <w:sz w:val="24"/>
          <w:szCs w:val="24"/>
        </w:rPr>
        <w:t>European</w:t>
      </w:r>
      <w:proofErr w:type="spellEnd"/>
      <w:r w:rsidR="00412C25">
        <w:rPr>
          <w:rFonts w:ascii="Times New Roman" w:eastAsia="Times New Roman" w:hAnsi="Times New Roman" w:cs="Times New Roman"/>
          <w:sz w:val="24"/>
          <w:szCs w:val="24"/>
        </w:rPr>
        <w:t xml:space="preserve"> Union, 2019) y, más recientemente, de una directiva sobre condiciones de trabajo en plataformas digitales (</w:t>
      </w:r>
      <w:proofErr w:type="spellStart"/>
      <w:r w:rsidR="00412C25">
        <w:rPr>
          <w:rFonts w:ascii="Times New Roman" w:eastAsia="Times New Roman" w:hAnsi="Times New Roman" w:cs="Times New Roman"/>
          <w:sz w:val="24"/>
          <w:szCs w:val="24"/>
        </w:rPr>
        <w:t>European</w:t>
      </w:r>
      <w:proofErr w:type="spellEnd"/>
      <w:r w:rsidR="00412C25">
        <w:rPr>
          <w:rFonts w:ascii="Times New Roman" w:eastAsia="Times New Roman" w:hAnsi="Times New Roman" w:cs="Times New Roman"/>
          <w:sz w:val="24"/>
          <w:szCs w:val="24"/>
        </w:rPr>
        <w:t xml:space="preserve"> Parliament and Council </w:t>
      </w:r>
      <w:proofErr w:type="spellStart"/>
      <w:r w:rsidR="00412C25">
        <w:rPr>
          <w:rFonts w:ascii="Times New Roman" w:eastAsia="Times New Roman" w:hAnsi="Times New Roman" w:cs="Times New Roman"/>
          <w:sz w:val="24"/>
          <w:szCs w:val="24"/>
        </w:rPr>
        <w:t>of</w:t>
      </w:r>
      <w:proofErr w:type="spellEnd"/>
      <w:r w:rsidR="00412C25">
        <w:rPr>
          <w:rFonts w:ascii="Times New Roman" w:eastAsia="Times New Roman" w:hAnsi="Times New Roman" w:cs="Times New Roman"/>
          <w:sz w:val="24"/>
          <w:szCs w:val="24"/>
        </w:rPr>
        <w:t xml:space="preserve"> </w:t>
      </w:r>
      <w:proofErr w:type="spellStart"/>
      <w:r w:rsidR="00412C25">
        <w:rPr>
          <w:rFonts w:ascii="Times New Roman" w:eastAsia="Times New Roman" w:hAnsi="Times New Roman" w:cs="Times New Roman"/>
          <w:sz w:val="24"/>
          <w:szCs w:val="24"/>
        </w:rPr>
        <w:t>the</w:t>
      </w:r>
      <w:proofErr w:type="spellEnd"/>
      <w:r w:rsidR="00412C25">
        <w:rPr>
          <w:rFonts w:ascii="Times New Roman" w:eastAsia="Times New Roman" w:hAnsi="Times New Roman" w:cs="Times New Roman"/>
          <w:sz w:val="24"/>
          <w:szCs w:val="24"/>
        </w:rPr>
        <w:t xml:space="preserve"> </w:t>
      </w:r>
      <w:proofErr w:type="spellStart"/>
      <w:r w:rsidR="00412C25">
        <w:rPr>
          <w:rFonts w:ascii="Times New Roman" w:eastAsia="Times New Roman" w:hAnsi="Times New Roman" w:cs="Times New Roman"/>
          <w:sz w:val="24"/>
          <w:szCs w:val="24"/>
        </w:rPr>
        <w:t>European</w:t>
      </w:r>
      <w:proofErr w:type="spellEnd"/>
      <w:r w:rsidR="00412C25">
        <w:rPr>
          <w:rFonts w:ascii="Times New Roman" w:eastAsia="Times New Roman" w:hAnsi="Times New Roman" w:cs="Times New Roman"/>
          <w:sz w:val="24"/>
          <w:szCs w:val="24"/>
        </w:rPr>
        <w:t xml:space="preserve"> Union, 2024).</w:t>
      </w:r>
    </w:p>
    <w:p w14:paraId="20797F50" w14:textId="06CD93F0" w:rsidR="00412C25" w:rsidRDefault="009B17DE" w:rsidP="00412C25">
      <w:pPr>
        <w:spacing w:after="200" w:line="360" w:lineRule="auto"/>
        <w:jc w:val="both"/>
      </w:pPr>
      <w:r>
        <w:rPr>
          <w:rFonts w:ascii="Times New Roman" w:eastAsia="Times New Roman" w:hAnsi="Times New Roman" w:cs="Times New Roman"/>
          <w:sz w:val="24"/>
          <w:szCs w:val="24"/>
        </w:rPr>
        <w:t xml:space="preserve">Esta </w:t>
      </w:r>
      <w:r>
        <w:rPr>
          <w:rFonts w:ascii="Times New Roman" w:eastAsia="Times New Roman" w:hAnsi="Times New Roman" w:cs="Times New Roman"/>
          <w:sz w:val="24"/>
          <w:szCs w:val="24"/>
        </w:rPr>
        <w:t>investigación</w:t>
      </w:r>
      <w:r>
        <w:rPr>
          <w:rFonts w:ascii="Times New Roman" w:eastAsia="Times New Roman" w:hAnsi="Times New Roman" w:cs="Times New Roman"/>
          <w:sz w:val="24"/>
          <w:szCs w:val="24"/>
        </w:rPr>
        <w:t xml:space="preserve"> examina </w:t>
      </w:r>
      <w:r w:rsidR="00412C25">
        <w:rPr>
          <w:rFonts w:ascii="Times New Roman" w:eastAsia="Times New Roman" w:hAnsi="Times New Roman" w:cs="Times New Roman"/>
          <w:sz w:val="24"/>
          <w:szCs w:val="24"/>
        </w:rPr>
        <w:t xml:space="preserve">si la justicia redistributiva percibida se relaciona con la posición en el mercado laboral y con la percepción del riesgo tecnológico, utilizando datos de la encuesta </w:t>
      </w:r>
      <w:proofErr w:type="spellStart"/>
      <w:r w:rsidR="00412C25">
        <w:rPr>
          <w:rFonts w:ascii="Times New Roman" w:eastAsia="Times New Roman" w:hAnsi="Times New Roman" w:cs="Times New Roman"/>
          <w:sz w:val="24"/>
          <w:szCs w:val="24"/>
        </w:rPr>
        <w:t>Risks</w:t>
      </w:r>
      <w:proofErr w:type="spellEnd"/>
      <w:r w:rsidR="00412C25">
        <w:rPr>
          <w:rFonts w:ascii="Times New Roman" w:eastAsia="Times New Roman" w:hAnsi="Times New Roman" w:cs="Times New Roman"/>
          <w:sz w:val="24"/>
          <w:szCs w:val="24"/>
        </w:rPr>
        <w:t xml:space="preserve"> </w:t>
      </w:r>
      <w:proofErr w:type="spellStart"/>
      <w:r w:rsidR="00412C25">
        <w:rPr>
          <w:rFonts w:ascii="Times New Roman" w:eastAsia="Times New Roman" w:hAnsi="Times New Roman" w:cs="Times New Roman"/>
          <w:sz w:val="24"/>
          <w:szCs w:val="24"/>
        </w:rPr>
        <w:t>That</w:t>
      </w:r>
      <w:proofErr w:type="spellEnd"/>
      <w:r w:rsidR="00412C25">
        <w:rPr>
          <w:rFonts w:ascii="Times New Roman" w:eastAsia="Times New Roman" w:hAnsi="Times New Roman" w:cs="Times New Roman"/>
          <w:sz w:val="24"/>
          <w:szCs w:val="24"/>
        </w:rPr>
        <w:t xml:space="preserve"> Matter de la OCDE (OECD, 2024), y si los regímenes de bienestar condicionan esa relación. El estudio persigue tres objetivos, operacionalizados en nueve hipótesis: examinar la asociación entre tipo de empleo y justicia redistributiva percibida; establecer el efecto diferenciado de las dimensiones amenazante y habilitante del cambio tecnológico sobre esa percepción; y evaluar, mediante un marco comparado de regímenes de bienestar (Esping-Andersen, 1990), en qué medida el contexto institucional modera la relación entre vulnerabilidad laboral, percepción tecnológica y juicios de justicia.</w:t>
      </w:r>
    </w:p>
    <w:p w14:paraId="77334C8A" w14:textId="77777777" w:rsidR="00412C25" w:rsidRDefault="00412C25" w:rsidP="00412C25">
      <w:pPr>
        <w:spacing w:after="200" w:line="360" w:lineRule="auto"/>
        <w:jc w:val="both"/>
      </w:pPr>
      <w:r>
        <w:rPr>
          <w:rFonts w:ascii="Times New Roman" w:eastAsia="Times New Roman" w:hAnsi="Times New Roman" w:cs="Times New Roman"/>
          <w:sz w:val="24"/>
          <w:szCs w:val="24"/>
        </w:rPr>
        <w:t xml:space="preserve">El estudio utiliza datos de la ola 2024 de la encuesta </w:t>
      </w:r>
      <w:proofErr w:type="spellStart"/>
      <w:r>
        <w:rPr>
          <w:rFonts w:ascii="Times New Roman" w:eastAsia="Times New Roman" w:hAnsi="Times New Roman" w:cs="Times New Roman"/>
          <w:sz w:val="24"/>
          <w:szCs w:val="24"/>
        </w:rPr>
        <w:t>Risks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Matter de la OCDE, que cubre a personas de 18 a 64 años en 27 países miembros. El análisis se restringe a quienes se encontraban trabajando o temporalmente ausentes de un empleo remunerado, con una muestra analítica final de 19.669 personas.</w:t>
      </w:r>
    </w:p>
    <w:p w14:paraId="060C4B50" w14:textId="17B1175C" w:rsidR="00412C25" w:rsidRDefault="00412C25" w:rsidP="00412C25">
      <w:pPr>
        <w:spacing w:after="200" w:line="360" w:lineRule="auto"/>
        <w:jc w:val="both"/>
      </w:pPr>
      <w:r>
        <w:rPr>
          <w:rFonts w:ascii="Times New Roman" w:eastAsia="Times New Roman" w:hAnsi="Times New Roman" w:cs="Times New Roman"/>
          <w:sz w:val="24"/>
          <w:szCs w:val="24"/>
        </w:rPr>
        <w:lastRenderedPageBreak/>
        <w:t>La justicia redistributiva percibida se mide con el grado de acuerdo con recibir una parte justa de los beneficios públicos dados los impuestos y contribuciones pagados. La posición laboral se opera mediante indicadores no excluyentes de trabajo por cuenta propia y trabajo de plataformas, con el empleo formal dependiente como categoría de referencia, junto con un ítem de inseguridad laboral. La percepción del cambio tecnológico se construye a partir de una batería de ítems sobre la probabilidad de eventos en el propio empleo en los próximos cinco años, que un análisis factorial exploratorio resume en dos escalas, riesgo de desplazamiento y beneficio tecnológico percibido. Se incorporan también el merecimiento percibido de otros beneficiarios, el régimen de bienestar en tres categorías (socialdemócrata, liberal y conservador-corporativista) e indicadores macroeconómicos de país.</w:t>
      </w:r>
    </w:p>
    <w:p w14:paraId="20B1F53C" w14:textId="16B66622" w:rsidR="00412C25" w:rsidRDefault="00412C25" w:rsidP="00412C25">
      <w:pPr>
        <w:spacing w:after="200" w:line="360" w:lineRule="auto"/>
        <w:jc w:val="both"/>
      </w:pPr>
      <w:r>
        <w:rPr>
          <w:rFonts w:ascii="Times New Roman" w:eastAsia="Times New Roman" w:hAnsi="Times New Roman" w:cs="Times New Roman"/>
          <w:sz w:val="24"/>
          <w:szCs w:val="24"/>
        </w:rPr>
        <w:t xml:space="preserve">Las hipótesis fueron </w:t>
      </w:r>
      <w:proofErr w:type="spellStart"/>
      <w:r>
        <w:rPr>
          <w:rFonts w:ascii="Times New Roman" w:eastAsia="Times New Roman" w:hAnsi="Times New Roman" w:cs="Times New Roman"/>
          <w:sz w:val="24"/>
          <w:szCs w:val="24"/>
        </w:rPr>
        <w:t>preregistradas</w:t>
      </w:r>
      <w:proofErr w:type="spellEnd"/>
      <w:r>
        <w:rPr>
          <w:rFonts w:ascii="Times New Roman" w:eastAsia="Times New Roman" w:hAnsi="Times New Roman" w:cs="Times New Roman"/>
          <w:sz w:val="24"/>
          <w:szCs w:val="24"/>
        </w:rPr>
        <w:t xml:space="preserve"> en </w:t>
      </w:r>
      <w:r w:rsidR="009731C9">
        <w:rPr>
          <w:rFonts w:ascii="Times New Roman" w:eastAsia="Times New Roman" w:hAnsi="Times New Roman" w:cs="Times New Roman"/>
          <w:sz w:val="24"/>
          <w:szCs w:val="24"/>
        </w:rPr>
        <w:t>OSF</w:t>
      </w:r>
      <w:r>
        <w:rPr>
          <w:rFonts w:ascii="Times New Roman" w:eastAsia="Times New Roman" w:hAnsi="Times New Roman" w:cs="Times New Roman"/>
          <w:sz w:val="24"/>
          <w:szCs w:val="24"/>
        </w:rPr>
        <w:t>. Los análisis se estimaron en R mediante modelos de regresión ordinal multinivel, con individuos anidados en países e intercepto aleatorio por país, incorporando de manera secuencial los predictores individuales, los indicadores de país, el régimen de bienestar y las interacciones entre ambos niveles.</w:t>
      </w:r>
    </w:p>
    <w:p w14:paraId="589D12D9" w14:textId="6E78E0CB" w:rsidR="00412C25" w:rsidRDefault="00412C25" w:rsidP="00412C25">
      <w:pPr>
        <w:spacing w:after="200" w:line="360" w:lineRule="auto"/>
        <w:jc w:val="both"/>
      </w:pPr>
      <w:r>
        <w:rPr>
          <w:rFonts w:ascii="Times New Roman" w:eastAsia="Times New Roman" w:hAnsi="Times New Roman" w:cs="Times New Roman"/>
          <w:sz w:val="24"/>
          <w:szCs w:val="24"/>
        </w:rPr>
        <w:t>El trabajo de plataformas constituye el predictor más fuerte y estable del modelo: los trabajadores de plataformas presentan aproximadamente el doble de probabilidades de reportar una justicia redistributiva más alta que los empleados formales, un resultado contrario a lo hipotetizado. El trabajo por cuenta propia no muestra asociación significativa en ningún modelo, mientras que la preocupación por perder el empleo o el ingreso se asocia de manera negativa con la justicia percibida, en la dirección esperada.</w:t>
      </w:r>
    </w:p>
    <w:p w14:paraId="1CE8EF31" w14:textId="77777777" w:rsidR="00412C25" w:rsidRDefault="00412C25" w:rsidP="00412C25">
      <w:pPr>
        <w:spacing w:after="200" w:line="360" w:lineRule="auto"/>
        <w:jc w:val="both"/>
      </w:pPr>
      <w:r>
        <w:rPr>
          <w:rFonts w:ascii="Times New Roman" w:eastAsia="Times New Roman" w:hAnsi="Times New Roman" w:cs="Times New Roman"/>
          <w:sz w:val="24"/>
          <w:szCs w:val="24"/>
        </w:rPr>
        <w:t>Las dos percepciones tecnológicas resultan positivas, con el beneficio tecnológico percibido como el predictor individual de mayor magnitud; el riesgo de desplazamiento tecnológico, contrario a lo hipotetizado, también se asocia positivamente con la justicia percibida. El merecimiento percibido de otros beneficiarios muestra, en cambio, la asociación negativa esperada.</w:t>
      </w:r>
    </w:p>
    <w:p w14:paraId="2F2CF4E8" w14:textId="77777777" w:rsidR="00412C25" w:rsidRDefault="00412C25" w:rsidP="00412C25">
      <w:pPr>
        <w:spacing w:after="200" w:line="360" w:lineRule="auto"/>
        <w:jc w:val="both"/>
      </w:pPr>
      <w:r>
        <w:rPr>
          <w:rFonts w:ascii="Times New Roman" w:eastAsia="Times New Roman" w:hAnsi="Times New Roman" w:cs="Times New Roman"/>
          <w:sz w:val="24"/>
          <w:szCs w:val="24"/>
        </w:rPr>
        <w:t>A nivel de país, la justicia redistributiva percibida es mayor en los países con mayor PIB per cápita, y menor en los regímenes conservadores que en los liberales, sin diferencia significativa para los socialdemócratas. Los modelos de interacción muestran que el efecto positivo del trabajo de plataformas y del riesgo de desplazamiento se atenúa en los regímenes socialdemócrata y conservador respecto del liberal, que el trabajo por cuenta propia solo resulta significativo, y negativo, bajo arreglos socialdemócratas, y que el gradiente del merecimiento percibido de otros es más pronunciado en el régimen conservador.</w:t>
      </w:r>
    </w:p>
    <w:p w14:paraId="152F1F79" w14:textId="77777777" w:rsidR="009731C9" w:rsidRDefault="00412C25" w:rsidP="00412C25">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Los resultados matizan la perspectiva de riesgo y redistribución desde la cual se formularon las hipótesis. La preocupación concreta por perder el empleo y la percepción de que otros reciben beneficios inmerecidos erosionan la justicia percibida, y la dimensión habilitante de la tecnología la refuerza, en línea con una lectura de economía moral de las actitudes hacia el bienestar (Mau, 2014). </w:t>
      </w:r>
    </w:p>
    <w:p w14:paraId="1D1E8DFA" w14:textId="658A603B" w:rsidR="00412C25" w:rsidRDefault="00412C25" w:rsidP="00412C25">
      <w:pPr>
        <w:spacing w:after="200" w:line="360" w:lineRule="auto"/>
        <w:jc w:val="both"/>
      </w:pPr>
      <w:r>
        <w:rPr>
          <w:rFonts w:ascii="Times New Roman" w:eastAsia="Times New Roman" w:hAnsi="Times New Roman" w:cs="Times New Roman"/>
          <w:sz w:val="24"/>
          <w:szCs w:val="24"/>
        </w:rPr>
        <w:t>Dos hallazgos se apartan de lo esperado</w:t>
      </w:r>
      <w:r w:rsidR="009731C9">
        <w:rPr>
          <w:rFonts w:ascii="Times New Roman" w:eastAsia="Times New Roman" w:hAnsi="Times New Roman" w:cs="Times New Roman"/>
          <w:sz w:val="24"/>
          <w:szCs w:val="24"/>
        </w:rPr>
        <w:t xml:space="preserve">. Por un lado, </w:t>
      </w:r>
      <w:r>
        <w:rPr>
          <w:rFonts w:ascii="Times New Roman" w:eastAsia="Times New Roman" w:hAnsi="Times New Roman" w:cs="Times New Roman"/>
          <w:sz w:val="24"/>
          <w:szCs w:val="24"/>
        </w:rPr>
        <w:t xml:space="preserve">el trabajo no estándar no </w:t>
      </w:r>
      <w:r w:rsidR="009731C9">
        <w:rPr>
          <w:rFonts w:ascii="Times New Roman" w:eastAsia="Times New Roman" w:hAnsi="Times New Roman" w:cs="Times New Roman"/>
          <w:sz w:val="24"/>
          <w:szCs w:val="24"/>
        </w:rPr>
        <w:t>disminuye</w:t>
      </w:r>
      <w:r>
        <w:rPr>
          <w:rFonts w:ascii="Times New Roman" w:eastAsia="Times New Roman" w:hAnsi="Times New Roman" w:cs="Times New Roman"/>
          <w:sz w:val="24"/>
          <w:szCs w:val="24"/>
        </w:rPr>
        <w:t xml:space="preserve"> la justicia percibida, y los trabajadores de plataformas la reportan más alta. Esto se explica en parte por la composición heterogénea del trabajo de plataformas, que combina ingresos suplementarios e intermitentes con la dependencia plena de esa fuente de ingreso (Schor, 2020; Vallas y Schor, 2020), y en parte de manera sustantiva, en la medida en que la justicia redistributiva percibida constituye un juicio de proporcionalidad</w:t>
      </w:r>
      <w:r w:rsidR="009731C9">
        <w:rPr>
          <w:rFonts w:ascii="Times New Roman" w:eastAsia="Times New Roman" w:hAnsi="Times New Roman" w:cs="Times New Roman"/>
          <w:sz w:val="24"/>
          <w:szCs w:val="24"/>
        </w:rPr>
        <w:t>, es decir,</w:t>
      </w:r>
      <w:r>
        <w:rPr>
          <w:rFonts w:ascii="Times New Roman" w:eastAsia="Times New Roman" w:hAnsi="Times New Roman" w:cs="Times New Roman"/>
          <w:sz w:val="24"/>
          <w:szCs w:val="24"/>
        </w:rPr>
        <w:t xml:space="preserve"> quienes están débilmente ligados al sistema contributivo contribuyen poco y esperan poco de él, mientras que los empleados formales, con contribuciones visibles y derechos claros, pueden sentirse comparativamente insatisfechos con el mismo retorno (Schwander y Häusermann, 2013).</w:t>
      </w:r>
    </w:p>
    <w:p w14:paraId="383975A7" w14:textId="742B9648" w:rsidR="00412C25" w:rsidRDefault="009731C9" w:rsidP="00412C25">
      <w:pPr>
        <w:spacing w:after="200" w:line="360" w:lineRule="auto"/>
        <w:jc w:val="both"/>
      </w:pPr>
      <w:r>
        <w:rPr>
          <w:rFonts w:ascii="Times New Roman" w:eastAsia="Times New Roman" w:hAnsi="Times New Roman" w:cs="Times New Roman"/>
          <w:sz w:val="24"/>
          <w:szCs w:val="24"/>
        </w:rPr>
        <w:t>Por otro lado</w:t>
      </w:r>
      <w:r w:rsidR="00412C25">
        <w:rPr>
          <w:rFonts w:ascii="Times New Roman" w:eastAsia="Times New Roman" w:hAnsi="Times New Roman" w:cs="Times New Roman"/>
          <w:sz w:val="24"/>
          <w:szCs w:val="24"/>
        </w:rPr>
        <w:t xml:space="preserve">, la asociación positiva entre el riesgo de desplazamiento percibido y la justicia redistributiva sugiere que la demanda de mayor protección frente a la automatización y la evaluación del intercambio actual como justo son objetos actitudinales distintos, que no necesariamente se mueven en la misma dirección, un punto que la distinción entre preferencias y percepciones permite anticipar (Roosma, Van Oorschot y </w:t>
      </w:r>
      <w:proofErr w:type="spellStart"/>
      <w:r w:rsidR="00412C25">
        <w:rPr>
          <w:rFonts w:ascii="Times New Roman" w:eastAsia="Times New Roman" w:hAnsi="Times New Roman" w:cs="Times New Roman"/>
          <w:sz w:val="24"/>
          <w:szCs w:val="24"/>
        </w:rPr>
        <w:t>Gelissen</w:t>
      </w:r>
      <w:proofErr w:type="spellEnd"/>
      <w:r w:rsidR="00412C25">
        <w:rPr>
          <w:rFonts w:ascii="Times New Roman" w:eastAsia="Times New Roman" w:hAnsi="Times New Roman" w:cs="Times New Roman"/>
          <w:sz w:val="24"/>
          <w:szCs w:val="24"/>
        </w:rPr>
        <w:t>, 2016). Los patrones de moderación por régimen de bienestar refuerzan esta lectura institucional</w:t>
      </w:r>
      <w:r>
        <w:rPr>
          <w:rFonts w:ascii="Times New Roman" w:eastAsia="Times New Roman" w:hAnsi="Times New Roman" w:cs="Times New Roman"/>
          <w:sz w:val="24"/>
          <w:szCs w:val="24"/>
        </w:rPr>
        <w:t>, ya que</w:t>
      </w:r>
      <w:r w:rsidR="00412C25">
        <w:rPr>
          <w:rFonts w:ascii="Times New Roman" w:eastAsia="Times New Roman" w:hAnsi="Times New Roman" w:cs="Times New Roman"/>
          <w:sz w:val="24"/>
          <w:szCs w:val="24"/>
        </w:rPr>
        <w:t xml:space="preserve"> los arreglos universalistas tienden a desacoplar la justicia percibida de la exposición laboral y tecnológica individual, mientras que los arreglos residuales la mantienen más fuertemente ligada a esa exposición (Larsen, 2008).</w:t>
      </w:r>
    </w:p>
    <w:p w14:paraId="0F636C9A" w14:textId="223CE8E5" w:rsidR="00412C25" w:rsidRDefault="00412C25" w:rsidP="00412C25">
      <w:pPr>
        <w:spacing w:after="200" w:line="360" w:lineRule="auto"/>
        <w:jc w:val="both"/>
      </w:pPr>
      <w:r>
        <w:rPr>
          <w:rFonts w:ascii="Times New Roman" w:eastAsia="Times New Roman" w:hAnsi="Times New Roman" w:cs="Times New Roman"/>
          <w:sz w:val="24"/>
          <w:szCs w:val="24"/>
        </w:rPr>
        <w:t>Estos hallazgos documentan que la posición en el mercado laboral y la inseguridad del empleo estructuran, de forma diferenciada y en ocasiones contraintuitiva, la evaluación subjetiva del intercambio con el Estado, con implicancias para el debate sobre la extensión de la protección social a formas de empleo no estándar que impulsan la Recomendación del Consejo Europeo de 2019 y la directiva de 2024 sobre trabajo de plataformas. Aporta</w:t>
      </w:r>
      <w:r w:rsidR="009731C9">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también que las percepciones de riesgo y de beneficio asociadas a la automatización, la inteligencia artificial y la intermediación algorítmica constituyen dimensiones actitudinales propias, con efectos de magnitud comparativamente mayor que los de la posición laboral, y moderadas de manera sistemática por el diseño institucional del Estado de bienestar. Entre las limitaciones del estudio </w:t>
      </w:r>
      <w:r>
        <w:rPr>
          <w:rFonts w:ascii="Times New Roman" w:eastAsia="Times New Roman" w:hAnsi="Times New Roman" w:cs="Times New Roman"/>
          <w:sz w:val="24"/>
          <w:szCs w:val="24"/>
        </w:rPr>
        <w:lastRenderedPageBreak/>
        <w:t>destacan su carácter transversal, que impide establecer la dirección causal entre percepción tecnológica y justicia percibida, y la heterogeneidad interna de la categoría de trabajo de plataformas autorreportado, que probablemente sobrerrepresenta la actividad ocasional o suplementaria.</w:t>
      </w:r>
    </w:p>
    <w:p w14:paraId="78EDC1A1" w14:textId="6BD4787A" w:rsidR="009B17DE" w:rsidRDefault="00412C25" w:rsidP="006D5EA4">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w:t>
      </w:r>
    </w:p>
    <w:p w14:paraId="798449AB" w14:textId="77777777" w:rsidR="00412C25" w:rsidRPr="00844F11" w:rsidRDefault="00412C25" w:rsidP="00412C25">
      <w:pPr>
        <w:spacing w:after="120" w:line="300" w:lineRule="auto"/>
        <w:ind w:left="720" w:hanging="720"/>
        <w:jc w:val="both"/>
        <w:rPr>
          <w:lang w:val="en-US"/>
        </w:rPr>
      </w:pPr>
      <w:proofErr w:type="spellStart"/>
      <w:r w:rsidRPr="00844F11">
        <w:rPr>
          <w:rFonts w:ascii="Times New Roman" w:eastAsia="Times New Roman" w:hAnsi="Times New Roman" w:cs="Times New Roman"/>
          <w:lang w:val="en-US"/>
        </w:rPr>
        <w:t>Busemeyer</w:t>
      </w:r>
      <w:proofErr w:type="spellEnd"/>
      <w:r w:rsidRPr="00844F11">
        <w:rPr>
          <w:rFonts w:ascii="Times New Roman" w:eastAsia="Times New Roman" w:hAnsi="Times New Roman" w:cs="Times New Roman"/>
          <w:lang w:val="en-US"/>
        </w:rPr>
        <w:t xml:space="preserve"> MR y Sahm AHJ (2022) Social Investment, Redistribution or Basic Income? Exploring the Association Between Automation Risk and Welfare State Attitudes in Europe. Journal of Social Policy 51(4): 751-770.</w:t>
      </w:r>
    </w:p>
    <w:p w14:paraId="630B23E6"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Christensen RHB (2018) Cumulative link models for ordinal regression with the R package ordinal.</w:t>
      </w:r>
    </w:p>
    <w:p w14:paraId="3D6D1548"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Council of the European Union (2019) Council Recommendation of 8 November 2019 on access to social protection for workers and the self-employed (2019/C 387/01). Official Journal of the European Union, C 387.</w:t>
      </w:r>
    </w:p>
    <w:p w14:paraId="1CD6461F"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Esping-Andersen G (1990) The Three Worlds of Welfare Capitalism. Cambridge: Polity Press.</w:t>
      </w:r>
    </w:p>
    <w:p w14:paraId="634CDA5E"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European Parliament and Council of the European Union (2024) Directive (EU) 2024/2831 of the European Parliament and of the Council of 23 October 2024 on improving working conditions in platform work. Official Journal of the European Union, L series.</w:t>
      </w:r>
    </w:p>
    <w:p w14:paraId="16623074"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 xml:space="preserve">Gallego A y </w:t>
      </w:r>
      <w:proofErr w:type="spellStart"/>
      <w:r w:rsidRPr="00844F11">
        <w:rPr>
          <w:rFonts w:ascii="Times New Roman" w:eastAsia="Times New Roman" w:hAnsi="Times New Roman" w:cs="Times New Roman"/>
          <w:lang w:val="en-US"/>
        </w:rPr>
        <w:t>Kurer</w:t>
      </w:r>
      <w:proofErr w:type="spellEnd"/>
      <w:r w:rsidRPr="00844F11">
        <w:rPr>
          <w:rFonts w:ascii="Times New Roman" w:eastAsia="Times New Roman" w:hAnsi="Times New Roman" w:cs="Times New Roman"/>
          <w:lang w:val="en-US"/>
        </w:rPr>
        <w:t xml:space="preserve"> T (2022) Automation, Digitalization, and Artificial Intelligence in the Workplace: Implications for Political Behavior. Annual Review of Political Science 25(1): 463-484.</w:t>
      </w:r>
    </w:p>
    <w:p w14:paraId="4FE97F9F" w14:textId="77777777" w:rsidR="00412C25" w:rsidRPr="00412C25"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 xml:space="preserve">Kalleberg A (2011) Good Jobs, Bad Jobs: The Rise of Polarized and Precarious Employment Systems in the United States, 1970s-2000s. </w:t>
      </w:r>
      <w:r w:rsidRPr="00412C25">
        <w:rPr>
          <w:rFonts w:ascii="Times New Roman" w:eastAsia="Times New Roman" w:hAnsi="Times New Roman" w:cs="Times New Roman"/>
          <w:lang w:val="en-US"/>
        </w:rPr>
        <w:t>Nueva York: Russell Sage Foundation.</w:t>
      </w:r>
    </w:p>
    <w:p w14:paraId="4BD1DA6A"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Larsen CA (2008) The Institutional Logic of Welfare Attitudes: How Welfare Regimes Influence Public Support. Comparative Political Studies 41(2): 145-168.</w:t>
      </w:r>
    </w:p>
    <w:p w14:paraId="4CB504AD"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Mau S (2014) The Moral Economy of Welfare States: Britain and Germany Compared. Londres: Routledge.</w:t>
      </w:r>
    </w:p>
    <w:p w14:paraId="57813777"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 xml:space="preserve">OECD (2024) Risks that Matter Survey: 2024 Public Use Microdata File. Disponible </w:t>
      </w:r>
      <w:proofErr w:type="spellStart"/>
      <w:r w:rsidRPr="00844F11">
        <w:rPr>
          <w:rFonts w:ascii="Times New Roman" w:eastAsia="Times New Roman" w:hAnsi="Times New Roman" w:cs="Times New Roman"/>
          <w:lang w:val="en-US"/>
        </w:rPr>
        <w:t>en</w:t>
      </w:r>
      <w:proofErr w:type="spellEnd"/>
      <w:r w:rsidRPr="00844F11">
        <w:rPr>
          <w:rFonts w:ascii="Times New Roman" w:eastAsia="Times New Roman" w:hAnsi="Times New Roman" w:cs="Times New Roman"/>
          <w:lang w:val="en-US"/>
        </w:rPr>
        <w:t xml:space="preserve"> http://oe.cd/rtm.</w:t>
      </w:r>
    </w:p>
    <w:p w14:paraId="261BC7C4"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 xml:space="preserve">Roosma F, Van Oorschot W y </w:t>
      </w:r>
      <w:proofErr w:type="spellStart"/>
      <w:r w:rsidRPr="00844F11">
        <w:rPr>
          <w:rFonts w:ascii="Times New Roman" w:eastAsia="Times New Roman" w:hAnsi="Times New Roman" w:cs="Times New Roman"/>
          <w:lang w:val="en-US"/>
        </w:rPr>
        <w:t>Gelissen</w:t>
      </w:r>
      <w:proofErr w:type="spellEnd"/>
      <w:r w:rsidRPr="00844F11">
        <w:rPr>
          <w:rFonts w:ascii="Times New Roman" w:eastAsia="Times New Roman" w:hAnsi="Times New Roman" w:cs="Times New Roman"/>
          <w:lang w:val="en-US"/>
        </w:rPr>
        <w:t xml:space="preserve"> J (2016) A Just Distribution of Burdens? Attitudes Toward the Social Distribution of Taxes in 26 Welfare States. International Journal of Public Opinion Research 28(3): 376-400.</w:t>
      </w:r>
    </w:p>
    <w:p w14:paraId="12CB6852"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Rothstein B (1998) Just Institutions Matter: The Moral and Political Logic of the Universal Welfare State. Cambridge University Press.</w:t>
      </w:r>
    </w:p>
    <w:p w14:paraId="206DDB85"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Schor JB (2020) After the Gig: How the Sharing Economy Got Hijacked and How to Win It Back. Oakland: University of California Press.</w:t>
      </w:r>
    </w:p>
    <w:p w14:paraId="318B4CF7"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Schwander H y Häusermann S (2013) Who is in and who is out? A risk-based conceptualization of insiders and outsiders. Journal of European Social Policy 23(3): 248-269.</w:t>
      </w:r>
    </w:p>
    <w:p w14:paraId="48147CCB"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lastRenderedPageBreak/>
        <w:t>Vallas S y Schor JB (2020) What Do Platforms Do? Understanding the Gig Economy. Annual Review of Sociology 46(1): 273-294.</w:t>
      </w:r>
    </w:p>
    <w:p w14:paraId="55044226" w14:textId="77777777" w:rsidR="00412C25" w:rsidRPr="00844F11" w:rsidRDefault="00412C25" w:rsidP="00412C25">
      <w:pPr>
        <w:spacing w:after="120" w:line="300" w:lineRule="auto"/>
        <w:ind w:left="720" w:hanging="720"/>
        <w:jc w:val="both"/>
        <w:rPr>
          <w:lang w:val="en-US"/>
        </w:rPr>
      </w:pPr>
      <w:r w:rsidRPr="00844F11">
        <w:rPr>
          <w:rFonts w:ascii="Times New Roman" w:eastAsia="Times New Roman" w:hAnsi="Times New Roman" w:cs="Times New Roman"/>
          <w:lang w:val="en-US"/>
        </w:rPr>
        <w:t>Van Oorschot W (2000) Who should get what, and why? On deservingness criteria and the conditionality of solidarity among the public. Policy &amp; Politics 28(1): 33-48.</w:t>
      </w:r>
    </w:p>
    <w:p w14:paraId="1F6A93CF" w14:textId="77777777" w:rsidR="00412C25" w:rsidRDefault="00412C25" w:rsidP="00412C25">
      <w:pPr>
        <w:spacing w:after="120" w:line="300" w:lineRule="auto"/>
        <w:ind w:left="720" w:hanging="720"/>
        <w:jc w:val="both"/>
      </w:pPr>
      <w:r w:rsidRPr="00844F11">
        <w:rPr>
          <w:rFonts w:ascii="Times New Roman" w:eastAsia="Times New Roman" w:hAnsi="Times New Roman" w:cs="Times New Roman"/>
          <w:lang w:val="en-US"/>
        </w:rPr>
        <w:t xml:space="preserve">Van Oorschot W (2006) Making the difference in social Europe: Deservingness perceptions among citizens of European welfare states. </w:t>
      </w:r>
      <w:proofErr w:type="spellStart"/>
      <w:r>
        <w:rPr>
          <w:rFonts w:ascii="Times New Roman" w:eastAsia="Times New Roman" w:hAnsi="Times New Roman" w:cs="Times New Roman"/>
        </w:rPr>
        <w:t>Journal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European</w:t>
      </w:r>
      <w:proofErr w:type="spellEnd"/>
      <w:r>
        <w:rPr>
          <w:rFonts w:ascii="Times New Roman" w:eastAsia="Times New Roman" w:hAnsi="Times New Roman" w:cs="Times New Roman"/>
        </w:rPr>
        <w:t xml:space="preserve"> Social Policy 16(1): 23-42.</w:t>
      </w:r>
    </w:p>
    <w:p w14:paraId="23BE7E4C" w14:textId="77777777" w:rsidR="00412C25" w:rsidRPr="00412C25" w:rsidRDefault="00412C25" w:rsidP="006D5EA4">
      <w:pPr>
        <w:spacing w:before="240" w:after="240"/>
        <w:jc w:val="both"/>
        <w:rPr>
          <w:rFonts w:ascii="Times New Roman" w:eastAsia="Times New Roman" w:hAnsi="Times New Roman" w:cs="Times New Roman"/>
          <w:b/>
          <w:bCs/>
          <w:sz w:val="24"/>
          <w:szCs w:val="24"/>
        </w:rPr>
      </w:pPr>
    </w:p>
    <w:p w14:paraId="70D30065" w14:textId="77777777" w:rsidR="009B17DE" w:rsidRDefault="009B17DE" w:rsidP="006D5EA4">
      <w:pPr>
        <w:spacing w:before="240" w:after="240"/>
        <w:jc w:val="both"/>
        <w:rPr>
          <w:rFonts w:ascii="Times New Roman" w:eastAsia="Times New Roman" w:hAnsi="Times New Roman" w:cs="Times New Roman"/>
          <w:b/>
          <w:bCs/>
          <w:sz w:val="24"/>
          <w:szCs w:val="24"/>
        </w:rPr>
      </w:pPr>
    </w:p>
    <w:p w14:paraId="7EA596EE" w14:textId="77777777" w:rsidR="009B17DE" w:rsidRDefault="009B17DE" w:rsidP="006D5EA4">
      <w:pPr>
        <w:spacing w:before="240" w:after="240"/>
        <w:jc w:val="both"/>
        <w:rPr>
          <w:rFonts w:ascii="Times New Roman" w:eastAsia="Times New Roman" w:hAnsi="Times New Roman" w:cs="Times New Roman"/>
          <w:b/>
          <w:bCs/>
          <w:sz w:val="24"/>
          <w:szCs w:val="24"/>
        </w:rPr>
      </w:pPr>
    </w:p>
    <w:p w14:paraId="508E5F89" w14:textId="77777777" w:rsidR="009B17DE" w:rsidRDefault="009B17DE" w:rsidP="006D5EA4">
      <w:pPr>
        <w:spacing w:before="240" w:after="240"/>
        <w:jc w:val="both"/>
        <w:rPr>
          <w:rFonts w:ascii="Times New Roman" w:eastAsia="Times New Roman" w:hAnsi="Times New Roman" w:cs="Times New Roman"/>
          <w:b/>
          <w:bCs/>
          <w:sz w:val="24"/>
          <w:szCs w:val="24"/>
        </w:rPr>
      </w:pPr>
    </w:p>
    <w:p w14:paraId="0000000A" w14:textId="77777777" w:rsidR="00885D17" w:rsidRPr="006D5EA4" w:rsidRDefault="00885D17" w:rsidP="006D5EA4">
      <w:pPr>
        <w:spacing w:before="240" w:after="240"/>
        <w:jc w:val="both"/>
        <w:rPr>
          <w:rFonts w:ascii="Times New Roman" w:eastAsia="Times New Roman" w:hAnsi="Times New Roman" w:cs="Times New Roman"/>
          <w:sz w:val="24"/>
          <w:szCs w:val="24"/>
          <w:lang w:val="es-CL"/>
        </w:rPr>
      </w:pPr>
    </w:p>
    <w:sectPr w:rsidR="00885D17" w:rsidRPr="006D5E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3364EA-E8C3-4A9D-8998-2241ED53644E}"/>
  </w:font>
  <w:font w:name="Cambria">
    <w:panose1 w:val="02040503050406030204"/>
    <w:charset w:val="00"/>
    <w:family w:val="roman"/>
    <w:pitch w:val="variable"/>
    <w:sig w:usb0="E00006FF" w:usb1="420024FF" w:usb2="02000000" w:usb3="00000000" w:csb0="0000019F" w:csb1="00000000"/>
    <w:embedRegular r:id="rId2" w:fontKey="{449E78BF-64F2-4520-B9E6-6E3E59F38F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D17"/>
    <w:rsid w:val="000D3E13"/>
    <w:rsid w:val="00317E7A"/>
    <w:rsid w:val="0034183A"/>
    <w:rsid w:val="00412C25"/>
    <w:rsid w:val="006D5EA4"/>
    <w:rsid w:val="00720849"/>
    <w:rsid w:val="007F6F27"/>
    <w:rsid w:val="00885D17"/>
    <w:rsid w:val="009731C9"/>
    <w:rsid w:val="009B17DE"/>
    <w:rsid w:val="00CC07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944C"/>
  <w15:docId w15:val="{E5A32BB4-C84B-4B62-8799-3CCF1B6F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2025</Words>
  <Characters>11852</Characters>
  <Application>Microsoft Office Word</Application>
  <DocSecurity>0</DocSecurity>
  <Lines>174</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Carrasco</dc:creator>
  <cp:lastModifiedBy>KEVIN  CARRASCO QUINTANILLA</cp:lastModifiedBy>
  <cp:revision>3</cp:revision>
  <cp:lastPrinted>2026-09-21T02:39:00Z</cp:lastPrinted>
  <dcterms:created xsi:type="dcterms:W3CDTF">2026-09-21T02:39:00Z</dcterms:created>
  <dcterms:modified xsi:type="dcterms:W3CDTF">2026-09-21T02:44:00Z</dcterms:modified>
</cp:coreProperties>
</file>