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Redistributive Justice, Job Insecurity, and Perceived Technological Risk: How Labor Market Position Shapes the Legitimacy of the Welfare State in 27 OECD Countries</w:t>
      </w:r>
    </w:p>
    <w:p>
      <w:pPr>
        <w:pStyle w:val="Author"/>
      </w:pPr>
      <w:r>
        <w:t xml:space="preserve">Author</w:t>
      </w:r>
    </w:p>
    <w:p>
      <w:pPr>
        <w:pStyle w:val="AbstractTitle"/>
      </w:pPr>
      <w:r>
        <w:t xml:space="preserve">Abstract</w:t>
      </w:r>
    </w:p>
    <w:p>
      <w:pPr>
        <w:pStyle w:val="Abstract"/>
      </w:pPr>
      <w:r>
        <w:t xml:space="preserve">Digital platforms and automation are loosening the link between employment and social protection, yet we know little about whether workers still judge their exchange with the welfare state to be just. This article examines perceived redistributive justice, understood as the sense of receiving a fair share of public benefits given the taxes and contributions one pays. Drawing on the 2024 OECD Risks That Matter survey (19,669 workers in 27 countries), it asks whether this perception depends on type of employment, job insecurity, perceptions of technological change and judgements about the deservingness of other beneficiaries, and whether welfare regimes condition these relationships. Preregistered hypotheses are tested with multilevel ordinal regression models. Job insecurity and the belief that others receive undeserved benefits lower perceived justice, while seeing technology as an improvement to working conditions raises it. Two results run against expectations. Platform workers report higher perceived justice than formal employees, and so do workers who anticipate technological displacement. Across countries, perceived justice is higher in richer economies and lower in conservative regimes than in liberal ones. The platform and displacement associations are steepest under liberal arrangements and nearly flat under social-democratic ones. These findings suggest that welfare institutions shape how strongly labour-market position translates into judgements of justice, and they speak to the EU agenda on extending social protection to non-standard and platform workers.</w:t>
      </w:r>
      <w:r>
        <w:t xml:space="preserve"> </w:t>
      </w:r>
      <w:r>
        <w:t xml:space="preserve"> </w:t>
      </w:r>
      <w:r>
        <w:t xml:space="preserve"> </w:t>
      </w:r>
      <w:r>
        <w:rPr>
          <w:b/>
          <w:bCs/>
        </w:rPr>
        <w:t xml:space="preserve">Keywords</w:t>
      </w:r>
      <w:r>
        <w:t xml:space="preserve">: Redistributive justice, Labor market position, Welfare regimes, platform work, technological change</w:t>
      </w:r>
    </w:p>
    <w:bookmarkStart w:id="22" w:name="introduction"/>
    <w:p>
      <w:pPr>
        <w:pStyle w:val="Heading1"/>
      </w:pPr>
      <w:r>
        <w:t xml:space="preserve">1. Introduction</w:t>
      </w:r>
    </w:p>
    <w:p>
      <w:pPr>
        <w:pStyle w:val="FirstParagraph"/>
      </w:pPr>
      <w:r>
        <w:t xml:space="preserve">﻿</w:t>
      </w:r>
      <w:r>
        <w:t xml:space="preserve"> </w:t>
      </w:r>
      <w:r>
        <w:t xml:space="preserve">Contemporary technological transformations, such as automation, artificial intelligence, algorithmic management and intermediation through digital platforms, are altering the conditions under which workers relate to social protection systems, the subjective experience of their position in the labour market and, with it, their assessment of the justice of their relationship with the welfare state</w:t>
      </w:r>
      <w:r>
        <w:t xml:space="preserve"> </w:t>
      </w:r>
      <w:r>
        <w:t xml:space="preserve">(</w:t>
      </w:r>
      <w:hyperlink w:anchor="ref-busemeyer_social_2022">
        <w:r>
          <w:rPr>
            <w:rStyle w:val="Hyperlink"/>
          </w:rPr>
          <w:t xml:space="preserve">Busemeyer and Sahm, 2022</w:t>
        </w:r>
      </w:hyperlink>
      <w:r>
        <w:t xml:space="preserve">;</w:t>
      </w:r>
      <w:r>
        <w:t xml:space="preserve"> </w:t>
      </w:r>
      <w:hyperlink w:anchor="ref-frey_future_2017">
        <w:r>
          <w:rPr>
            <w:rStyle w:val="Hyperlink"/>
          </w:rPr>
          <w:t xml:space="preserve">Frey and Osborne, 2017</w:t>
        </w:r>
      </w:hyperlink>
      <w:r>
        <w:t xml:space="preserve">;</w:t>
      </w:r>
      <w:r>
        <w:t xml:space="preserve"> </w:t>
      </w:r>
      <w:hyperlink w:anchor="ref-gallego_automation_2022">
        <w:r>
          <w:rPr>
            <w:rStyle w:val="Hyperlink"/>
          </w:rPr>
          <w:t xml:space="preserve">Gallego and Kurer, 2022</w:t>
        </w:r>
      </w:hyperlink>
      <w:r>
        <w:t xml:space="preserve">;</w:t>
      </w:r>
      <w:r>
        <w:t xml:space="preserve"> </w:t>
      </w:r>
      <w:hyperlink w:anchor="ref-vallas_what_2020">
        <w:r>
          <w:rPr>
            <w:rStyle w:val="Hyperlink"/>
          </w:rPr>
          <w:t xml:space="preserve">Vallas and Schor, 2020</w:t>
        </w:r>
      </w:hyperlink>
      <w:r>
        <w:t xml:space="preserve">)</w:t>
      </w:r>
      <w:r>
        <w:t xml:space="preserve">. These systems were built on the premise of stable, full-time and long-term employment, in which contributions flowed predictably from wages and rights accumulated over continuous careers</w:t>
      </w:r>
      <w:r>
        <w:t xml:space="preserve"> </w:t>
      </w:r>
      <w:r>
        <w:t xml:space="preserve">(</w:t>
      </w:r>
      <w:hyperlink w:anchor="ref-esping-andersen_three_1993">
        <w:r>
          <w:rPr>
            <w:rStyle w:val="Hyperlink"/>
          </w:rPr>
          <w:t xml:space="preserve">Esping-Andersen, 1990</w:t>
        </w:r>
      </w:hyperlink>
      <w:r>
        <w:t xml:space="preserve">;</w:t>
      </w:r>
      <w:r>
        <w:t xml:space="preserve"> </w:t>
      </w:r>
      <w:hyperlink w:anchor="ref-korpi_paradox_1998">
        <w:r>
          <w:rPr>
            <w:rStyle w:val="Hyperlink"/>
          </w:rPr>
          <w:t xml:space="preserve">Korpi and Palme, 1998</w:t>
        </w:r>
      </w:hyperlink>
      <w:r>
        <w:t xml:space="preserve">)</w:t>
      </w:r>
      <w:r>
        <w:t xml:space="preserve">. The progressive decoupling between that model and the actual forms of work, mainly through temporary contracts, self-employment and platform-mediated work, raises the question of how citizens today perceive the justice of the exchange they maintain with the institutions that ought to protect them. In Europe, this question has also entered the policy agenda: access to social protection for self-employed and platform workers has been the object of a Council Recommendation</w:t>
      </w:r>
      <w:r>
        <w:t xml:space="preserve"> </w:t>
      </w:r>
      <w:r>
        <w:t xml:space="preserve">(</w:t>
      </w:r>
      <w:hyperlink w:anchor="X8f09c96f00ce2967a1485d0ccd3bfdbc82ad32c">
        <w:r>
          <w:rPr>
            <w:rStyle w:val="Hyperlink"/>
          </w:rPr>
          <w:t xml:space="preserve">Council of the European Union, 2019</w:t>
        </w:r>
      </w:hyperlink>
      <w:r>
        <w:t xml:space="preserve">)</w:t>
      </w:r>
      <w:r>
        <w:t xml:space="preserve"> </w:t>
      </w:r>
      <w:r>
        <w:t xml:space="preserve">and, more recently, of a directive on improving working conditions in platform work</w:t>
      </w:r>
      <w:r>
        <w:t xml:space="preserve"> </w:t>
      </w:r>
      <w:r>
        <w:t xml:space="preserve">(</w:t>
      </w:r>
      <w:hyperlink w:anchor="X84184924b7d64ffb4d0b8e850c04b813ecf2c5f">
        <w:r>
          <w:rPr>
            <w:rStyle w:val="Hyperlink"/>
          </w:rPr>
          <w:t xml:space="preserve">European Parliament and Council of the European Union, 2024</w:t>
        </w:r>
      </w:hyperlink>
      <w:r>
        <w:t xml:space="preserve">)</w:t>
      </w:r>
      <w:r>
        <w:t xml:space="preserve">.</w:t>
      </w:r>
    </w:p>
    <w:p>
      <w:pPr>
        <w:pStyle w:val="BodyText"/>
      </w:pPr>
      <w:r>
        <w:t xml:space="preserve">Research on attitudes towards the welfare state has examined extensively the determinants of support for redistribution, showing that exposure to labour market risk and to automation tends to increase the demand for social protection</w:t>
      </w:r>
      <w:r>
        <w:t xml:space="preserve"> </w:t>
      </w:r>
      <w:r>
        <w:t xml:space="preserve">(</w:t>
      </w:r>
      <w:hyperlink w:anchor="ref-busemeyer_social_2022">
        <w:r>
          <w:rPr>
            <w:rStyle w:val="Hyperlink"/>
          </w:rPr>
          <w:t xml:space="preserve">Busemeyer and Sahm, 2022</w:t>
        </w:r>
      </w:hyperlink>
      <w:r>
        <w:t xml:space="preserve">;</w:t>
      </w:r>
      <w:r>
        <w:t xml:space="preserve"> </w:t>
      </w:r>
      <w:hyperlink w:anchor="ref-rehm_risks_2009">
        <w:r>
          <w:rPr>
            <w:rStyle w:val="Hyperlink"/>
          </w:rPr>
          <w:t xml:space="preserve">Rehm, 2009</w:t>
        </w:r>
      </w:hyperlink>
      <w:r>
        <w:t xml:space="preserve">;</w:t>
      </w:r>
      <w:r>
        <w:t xml:space="preserve"> </w:t>
      </w:r>
      <w:hyperlink w:anchor="ref-thewissen_automation_2019">
        <w:r>
          <w:rPr>
            <w:rStyle w:val="Hyperlink"/>
          </w:rPr>
          <w:t xml:space="preserve">Thewissen and Rueda, 2019</w:t>
        </w:r>
      </w:hyperlink>
      <w:r>
        <w:t xml:space="preserve">)</w:t>
      </w:r>
      <w:r>
        <w:t xml:space="preserve">. Much less attention has been paid, by contrast, to perceived redistributive justice, that is, to the evaluative judgement of whether the benefits that an individual receives from the state constitute just compensation for the taxes and contributions they pay</w:t>
      </w:r>
      <w:r>
        <w:t xml:space="preserve"> </w:t>
      </w:r>
      <w:r>
        <w:t xml:space="preserve">(</w:t>
      </w:r>
      <w:hyperlink w:anchor="ref-roosma_just_2016">
        <w:r>
          <w:rPr>
            <w:rStyle w:val="Hyperlink"/>
          </w:rPr>
          <w:t xml:space="preserve">Roosma et al., 2016</w:t>
        </w:r>
      </w:hyperlink>
      <w:r>
        <w:t xml:space="preserve">)</w:t>
      </w:r>
      <w:r>
        <w:t xml:space="preserve">.</w:t>
      </w:r>
    </w:p>
    <w:p>
      <w:pPr>
        <w:pStyle w:val="BodyText"/>
      </w:pPr>
      <w:r>
        <w:t xml:space="preserve">This study addresses whether perceiving the functioning of the state as just is related to labour market position and the perception of technological risk. Drawing on data from the Risks That Matter survey of the OECD (2024), which covers more than 27,000 people in 27 countries, this research places European welfare states in comparative perspective and simultaneously introduces three little-explored elements. First, it distinguishes labour market position according to type of employment —formal employees, self-employed workers and platform workers—, forms that maintain unequal links with the social protection system and that have rarely been examined together in relation to perceived redistributive justice. Second, it incorporates the perception of technological risk as a source of redistributive dissatisfaction distinct from type of employment and from conventional job insecurity, distinguishing its threatening dimension —the likelihood of being displaced by technology— from its enabling dimension —the perception that technology can improve working conditions—. Third, it incorporates the perceived deservingness of others —the judgement of whether others receive benefits from the state that they do not deserve— as a predictor of the assessment that each individual makes of their own relationship with the system</w:t>
      </w:r>
      <w:r>
        <w:t xml:space="preserve"> </w:t>
      </w:r>
      <w:r>
        <w:t xml:space="preserve">(</w:t>
      </w:r>
      <w:hyperlink w:anchor="ref-oorschot_who_2000">
        <w:r>
          <w:rPr>
            <w:rStyle w:val="Hyperlink"/>
          </w:rPr>
          <w:t xml:space="preserve">Van Oorschot, 2000</w:t>
        </w:r>
      </w:hyperlink>
      <w:r>
        <w:t xml:space="preserve">,</w:t>
      </w:r>
      <w:r>
        <w:t xml:space="preserve"> </w:t>
      </w:r>
      <w:hyperlink w:anchor="ref-vanoorschot_making_2006">
        <w:r>
          <w:rPr>
            <w:rStyle w:val="Hyperlink"/>
          </w:rPr>
          <w:t xml:space="preserve">2006</w:t>
        </w:r>
      </w:hyperlink>
      <w:r>
        <w:t xml:space="preserve">)</w:t>
      </w:r>
      <w:r>
        <w:t xml:space="preserve">.</w:t>
      </w:r>
    </w:p>
    <w:p>
      <w:pPr>
        <w:pStyle w:val="BodyText"/>
      </w:pPr>
      <w:r>
        <w:t xml:space="preserve">The study makes three contributions. First, it extends comparative research on welfare attitudes by situating the structural conditions of the labour market as explanatory variables of perceived redistributive justice, linking subjective assessments of the welfare state with the organisation of work</w:t>
      </w:r>
      <w:r>
        <w:t xml:space="preserve"> </w:t>
      </w:r>
      <w:r>
        <w:t xml:space="preserve">(</w:t>
      </w:r>
      <w:hyperlink w:anchor="ref-emmenegger_age_2012">
        <w:r>
          <w:rPr>
            <w:rStyle w:val="Hyperlink"/>
          </w:rPr>
          <w:t xml:space="preserve">Emmenegger et al., 2012</w:t>
        </w:r>
      </w:hyperlink>
      <w:r>
        <w:t xml:space="preserve">;</w:t>
      </w:r>
      <w:r>
        <w:t xml:space="preserve"> </w:t>
      </w:r>
      <w:hyperlink w:anchor="ref-kalleberg_good_2011">
        <w:r>
          <w:rPr>
            <w:rStyle w:val="Hyperlink"/>
          </w:rPr>
          <w:t xml:space="preserve">Kalleberg, 2011</w:t>
        </w:r>
      </w:hyperlink>
      <w:r>
        <w:t xml:space="preserve">)</w:t>
      </w:r>
      <w:r>
        <w:t xml:space="preserve">. Second, it provides comparative evidence on the effect of the perception of technological risk in an attitudinal domain distinct from the one that recent literature has concentrated on, concerned above all with support for redistribution or for social investment</w:t>
      </w:r>
      <w:r>
        <w:t xml:space="preserve"> </w:t>
      </w:r>
      <w:r>
        <w:t xml:space="preserve">(</w:t>
      </w:r>
      <w:hyperlink w:anchor="ref-busemeyer_social_2022">
        <w:r>
          <w:rPr>
            <w:rStyle w:val="Hyperlink"/>
          </w:rPr>
          <w:t xml:space="preserve">Busemeyer and Sahm, 2022</w:t>
        </w:r>
      </w:hyperlink>
      <w:r>
        <w:t xml:space="preserve">;</w:t>
      </w:r>
      <w:r>
        <w:t xml:space="preserve"> </w:t>
      </w:r>
      <w:hyperlink w:anchor="ref-thewissen_automation_2019">
        <w:r>
          <w:rPr>
            <w:rStyle w:val="Hyperlink"/>
          </w:rPr>
          <w:t xml:space="preserve">Thewissen and Rueda, 2019</w:t>
        </w:r>
      </w:hyperlink>
      <w:r>
        <w:t xml:space="preserve">)</w:t>
      </w:r>
      <w:r>
        <w:t xml:space="preserve">. Third, it places these processes within a comparative framework of welfare regimes, which makes it possible to assess how different institutional contexts moderate the relationship between labour market vulnerability, technological perception and judgements of justice</w:t>
      </w:r>
      <w:r>
        <w:t xml:space="preserve"> </w:t>
      </w:r>
      <w:r>
        <w:t xml:space="preserve">(</w:t>
      </w:r>
      <w:hyperlink w:anchor="ref-esping-andersen_three_1993">
        <w:r>
          <w:rPr>
            <w:rStyle w:val="Hyperlink"/>
          </w:rPr>
          <w:t xml:space="preserve">Esping-Andersen, 1990</w:t>
        </w:r>
      </w:hyperlink>
      <w:r>
        <w:t xml:space="preserve">;</w:t>
      </w:r>
      <w:r>
        <w:t xml:space="preserve"> </w:t>
      </w:r>
      <w:hyperlink w:anchor="ref-larsen_institutional_2008">
        <w:r>
          <w:rPr>
            <w:rStyle w:val="Hyperlink"/>
          </w:rPr>
          <w:t xml:space="preserve">Larsen, 2008</w:t>
        </w:r>
      </w:hyperlink>
      <w:r>
        <w:t xml:space="preserve">)</w:t>
      </w:r>
      <w:r>
        <w:t xml:space="preserve">, and speaks to the discussion on how welfare states should adapt social protection to employment forms that depart from the standard employment relationship.</w:t>
      </w:r>
    </w:p>
    <w:p>
      <w:pPr>
        <w:pStyle w:val="BodyText"/>
      </w:pPr>
      <w:r>
        <w:t xml:space="preserve">The argument organising this work is that the perception of justice in the relationship between what one contributes and what one receives is not solely a function of ideological predispositions or of abstract beliefs about inequality, but is anchored in workers’ everyday experience of the labour market: the employment relationship that links them to the protection system, how secure they feel in their jobs, whether they perceive technology as a threat or an opportunity, and how they judge the deservingness of those who also receive from the state. Although the welfare state was designed for a world of stable employment, its perceived legitimacy is called into question by labour markets that increasingly depart from that foundational assumption</w:t>
      </w:r>
      <w:r>
        <w:t xml:space="preserve"> </w:t>
      </w:r>
      <w:r>
        <w:t xml:space="preserve">(</w:t>
      </w:r>
      <w:hyperlink w:anchor="ref-howcroft_digitalisation_2025">
        <w:r>
          <w:rPr>
            <w:rStyle w:val="Hyperlink"/>
          </w:rPr>
          <w:t xml:space="preserve">Howcroft et al., 2025</w:t>
        </w:r>
      </w:hyperlink>
      <w:r>
        <w:t xml:space="preserve">;</w:t>
      </w:r>
      <w:r>
        <w:t xml:space="preserve"> </w:t>
      </w:r>
      <w:hyperlink w:anchor="ref-standing_precariat_2014">
        <w:r>
          <w:rPr>
            <w:rStyle w:val="Hyperlink"/>
          </w:rPr>
          <w:t xml:space="preserve">Standing, 2014</w:t>
        </w:r>
      </w:hyperlink>
      <w:r>
        <w:t xml:space="preserve">)</w:t>
      </w:r>
      <w:r>
        <w:t xml:space="preserve">.</w:t>
      </w:r>
    </w:p>
    <w:bookmarkStart w:id="14" w:name="redistributive-justice-as-reciprocity"/>
    <w:p>
      <w:pPr>
        <w:pStyle w:val="Heading2"/>
      </w:pPr>
      <w:r>
        <w:t xml:space="preserve">1.1 Redistributive justice as reciprocity</w:t>
      </w:r>
    </w:p>
    <w:p>
      <w:pPr>
        <w:pStyle w:val="FirstParagraph"/>
      </w:pPr>
      <w:r>
        <w:t xml:space="preserve">Research on attitudes towards the welfare state and inequality has distinguished between preferences -normative beliefs about how resources should be distributed- and perceptions -evaluative judgements about how the system actually works-</w:t>
      </w:r>
      <w:r>
        <w:t xml:space="preserve"> </w:t>
      </w:r>
      <w:r>
        <w:t xml:space="preserve">(</w:t>
      </w:r>
      <w:hyperlink w:anchor="ref-castillo_perception_2022">
        <w:r>
          <w:rPr>
            <w:rStyle w:val="Hyperlink"/>
          </w:rPr>
          <w:t xml:space="preserve">Castillo et al., 2022</w:t>
        </w:r>
      </w:hyperlink>
      <w:r>
        <w:t xml:space="preserve">;</w:t>
      </w:r>
      <w:r>
        <w:t xml:space="preserve"> </w:t>
      </w:r>
      <w:hyperlink w:anchor="ref-mccall_undeserving_2013">
        <w:r>
          <w:rPr>
            <w:rStyle w:val="Hyperlink"/>
          </w:rPr>
          <w:t xml:space="preserve">McCall, 2013</w:t>
        </w:r>
      </w:hyperlink>
      <w:r>
        <w:t xml:space="preserve">;</w:t>
      </w:r>
      <w:r>
        <w:t xml:space="preserve"> </w:t>
      </w:r>
      <w:hyperlink w:anchor="ref-osberg_fair_2006">
        <w:r>
          <w:rPr>
            <w:rStyle w:val="Hyperlink"/>
          </w:rPr>
          <w:t xml:space="preserve">Osberg and Smeeding, 2006</w:t>
        </w:r>
      </w:hyperlink>
      <w:r>
        <w:t xml:space="preserve">)</w:t>
      </w:r>
      <w:r>
        <w:t xml:space="preserve">. While the former have received greater attention, the latter have emerged as an object of study with distinct dynamics and consequences</w:t>
      </w:r>
      <w:r>
        <w:t xml:space="preserve"> </w:t>
      </w:r>
      <w:r>
        <w:t xml:space="preserve">(</w:t>
      </w:r>
      <w:hyperlink w:anchor="ref-roosma_just_2016">
        <w:r>
          <w:rPr>
            <w:rStyle w:val="Hyperlink"/>
          </w:rPr>
          <w:t xml:space="preserve">Roosma et al., 2016</w:t>
        </w:r>
      </w:hyperlink>
      <w:r>
        <w:t xml:space="preserve">;</w:t>
      </w:r>
      <w:r>
        <w:t xml:space="preserve"> </w:t>
      </w:r>
      <w:hyperlink w:anchor="ref-svallfors_government_2013">
        <w:r>
          <w:rPr>
            <w:rStyle w:val="Hyperlink"/>
          </w:rPr>
          <w:t xml:space="preserve">Svallfors, 2013</w:t>
        </w:r>
      </w:hyperlink>
      <w:r>
        <w:t xml:space="preserve">)</w:t>
      </w:r>
      <w:r>
        <w:t xml:space="preserve">. Perceived redistributive justice captures whether individuals consider just the exchange they maintain with the welfare state when paying taxes and contributions in return for access to services and transfers. Its theoretical foundation lies in the logic of reciprocity, the principle according to which the legitimacy of the system rests not only on its redistributive outcomes, but on the perceived justice of the institutions that allocate contributions and benefits</w:t>
      </w:r>
      <w:r>
        <w:t xml:space="preserve"> </w:t>
      </w:r>
      <w:r>
        <w:t xml:space="preserve">(</w:t>
      </w:r>
      <w:hyperlink w:anchor="ref-mau_moral_2014">
        <w:r>
          <w:rPr>
            <w:rStyle w:val="Hyperlink"/>
          </w:rPr>
          <w:t xml:space="preserve">Mau, 2014</w:t>
        </w:r>
      </w:hyperlink>
      <w:r>
        <w:t xml:space="preserve">;</w:t>
      </w:r>
      <w:r>
        <w:t xml:space="preserve"> </w:t>
      </w:r>
      <w:hyperlink w:anchor="ref-rothstein_just_1998">
        <w:r>
          <w:rPr>
            <w:rStyle w:val="Hyperlink"/>
          </w:rPr>
          <w:t xml:space="preserve">Rothstein, 1998</w:t>
        </w:r>
      </w:hyperlink>
      <w:r>
        <w:t xml:space="preserve">)</w:t>
      </w:r>
      <w:r>
        <w:t xml:space="preserve">. When individuals feel that their contributions yield adequate returns, institutional trust is sustained; when the reciprocal logic is perceived to be broken (disproportionate contributions, insufficient benefits or a system that favours some over others), legitimacy is eroded</w:t>
      </w:r>
      <w:r>
        <w:t xml:space="preserve"> </w:t>
      </w:r>
      <w:r>
        <w:t xml:space="preserve">(</w:t>
      </w:r>
      <w:hyperlink w:anchor="ref-cavaille_fair_2025">
        <w:r>
          <w:rPr>
            <w:rStyle w:val="Hyperlink"/>
          </w:rPr>
          <w:t xml:space="preserve">Cavaillé, 2025</w:t>
        </w:r>
      </w:hyperlink>
      <w:r>
        <w:t xml:space="preserve">)</w:t>
      </w:r>
      <w:r>
        <w:t xml:space="preserve">, and social cohesion is affected.</w:t>
      </w:r>
    </w:p>
    <w:p>
      <w:pPr>
        <w:pStyle w:val="BodyText"/>
      </w:pPr>
      <w:r>
        <w:t xml:space="preserve">In recent decades, the study of redistributive attitudes has shown that, despite the sustained rise in inequality in most advanced democracies, there has been no proportional increase in the demand for redistribution</w:t>
      </w:r>
      <w:r>
        <w:t xml:space="preserve"> </w:t>
      </w:r>
      <w:r>
        <w:t xml:space="preserve">(</w:t>
      </w:r>
      <w:hyperlink w:anchor="ref-cavaille_fair_2025">
        <w:r>
          <w:rPr>
            <w:rStyle w:val="Hyperlink"/>
          </w:rPr>
          <w:t xml:space="preserve">Cavaillé, 2025</w:t>
        </w:r>
      </w:hyperlink>
      <w:r>
        <w:t xml:space="preserve">;</w:t>
      </w:r>
      <w:r>
        <w:t xml:space="preserve"> </w:t>
      </w:r>
      <w:hyperlink w:anchor="ref-kenworthy_inequality_2007">
        <w:r>
          <w:rPr>
            <w:rStyle w:val="Hyperlink"/>
          </w:rPr>
          <w:t xml:space="preserve">Kenworthy and McCall, 2007</w:t>
        </w:r>
      </w:hyperlink>
      <w:r>
        <w:t xml:space="preserve">;</w:t>
      </w:r>
      <w:r>
        <w:t xml:space="preserve"> </w:t>
      </w:r>
      <w:hyperlink w:anchor="ref-mijs_paradox_2021">
        <w:r>
          <w:rPr>
            <w:rStyle w:val="Hyperlink"/>
          </w:rPr>
          <w:t xml:space="preserve">Mijs, 2021</w:t>
        </w:r>
      </w:hyperlink>
      <w:r>
        <w:t xml:space="preserve">)</w:t>
      </w:r>
      <w:r>
        <w:t xml:space="preserve">. Explanations of this apparent disconnect point to how citizens perceive inequality and their own position in the distribution</w:t>
      </w:r>
      <w:r>
        <w:t xml:space="preserve"> </w:t>
      </w:r>
      <w:r>
        <w:t xml:space="preserve">(</w:t>
      </w:r>
      <w:hyperlink w:anchor="ref-garcia-castro_perceiving_2020">
        <w:r>
          <w:rPr>
            <w:rStyle w:val="Hyperlink"/>
          </w:rPr>
          <w:t xml:space="preserve">García-Castro et al., 2020</w:t>
        </w:r>
      </w:hyperlink>
      <w:r>
        <w:t xml:space="preserve">;</w:t>
      </w:r>
      <w:r>
        <w:t xml:space="preserve"> </w:t>
      </w:r>
      <w:hyperlink w:anchor="ref-garcia-sanchez_attitudes_2020">
        <w:r>
          <w:rPr>
            <w:rStyle w:val="Hyperlink"/>
          </w:rPr>
          <w:t xml:space="preserve">García-Sánchez et al., 2020</w:t>
        </w:r>
      </w:hyperlink>
      <w:r>
        <w:t xml:space="preserve">;</w:t>
      </w:r>
      <w:r>
        <w:t xml:space="preserve"> </w:t>
      </w:r>
      <w:hyperlink w:anchor="ref-gimpelson_misperceiving_2018">
        <w:r>
          <w:rPr>
            <w:rStyle w:val="Hyperlink"/>
          </w:rPr>
          <w:t xml:space="preserve">Gimpelson and Treisman, 2018</w:t>
        </w:r>
      </w:hyperlink>
      <w:r>
        <w:t xml:space="preserve">)</w:t>
      </w:r>
      <w:r>
        <w:t xml:space="preserve">, perceptions that interact with meritocratic beliefs to shape which type of distribution is considered just</w:t>
      </w:r>
      <w:r>
        <w:t xml:space="preserve"> </w:t>
      </w:r>
      <w:r>
        <w:t xml:space="preserve">(</w:t>
      </w:r>
      <w:hyperlink w:anchor="ref-castillo_perceptions_2025">
        <w:r>
          <w:rPr>
            <w:rStyle w:val="Hyperlink"/>
          </w:rPr>
          <w:t xml:space="preserve">Castillo et al., 2025</w:t>
        </w:r>
      </w:hyperlink>
      <w:r>
        <w:t xml:space="preserve">)</w:t>
      </w:r>
      <w:r>
        <w:t xml:space="preserve">. Within this framework, the perceived justice of the fiscal exchange occupies a particular place in that it does not measure how much redistribution a person wants, but rather judges whether the system treats them in a just way given what they contribute.</w:t>
      </w:r>
    </w:p>
    <w:p>
      <w:pPr>
        <w:pStyle w:val="BodyText"/>
      </w:pPr>
      <w:r>
        <w:t xml:space="preserve">Comparative evidence shows that these perceptions vary systematically across countries</w:t>
      </w:r>
      <w:r>
        <w:t xml:space="preserve"> </w:t>
      </w:r>
      <w:r>
        <w:t xml:space="preserve">(</w:t>
      </w:r>
      <w:hyperlink w:anchor="ref-blekesaune_public_2003">
        <w:r>
          <w:rPr>
            <w:rStyle w:val="Hyperlink"/>
          </w:rPr>
          <w:t xml:space="preserve">Blekesaune, 2003</w:t>
        </w:r>
      </w:hyperlink>
      <w:r>
        <w:t xml:space="preserve">;</w:t>
      </w:r>
      <w:r>
        <w:t xml:space="preserve"> </w:t>
      </w:r>
      <w:hyperlink w:anchor="ref-schmidt-catran_economic_2016">
        <w:r>
          <w:rPr>
            <w:rStyle w:val="Hyperlink"/>
          </w:rPr>
          <w:t xml:space="preserve">Schmidt-Catran, 2016</w:t>
        </w:r>
      </w:hyperlink>
      <w:r>
        <w:t xml:space="preserve">)</w:t>
      </w:r>
      <w:r>
        <w:t xml:space="preserve">.</w:t>
      </w:r>
      <w:r>
        <w:t xml:space="preserve"> </w:t>
      </w:r>
      <w:hyperlink w:anchor="fig-cleveland">
        <w:r>
          <w:rPr>
            <w:rStyle w:val="Hyperlink"/>
          </w:rPr>
          <w:t xml:space="preserve">Figure 1</w:t>
        </w:r>
      </w:hyperlink>
      <w:r>
        <w:t xml:space="preserve"> </w:t>
      </w:r>
      <w:r>
        <w:t xml:space="preserve">presents the average of perceived redistributive justice in 27 countries and shows considerable heterogeneity, independently of welfare regime type.</w:t>
      </w:r>
    </w:p>
    <w:tbl>
      <w:tblPr>
        <w:tblStyle w:val="Table"/>
        <w:tblW w:type="pct" w:w="5000"/>
        <w:tblLayout w:type="fixed"/>
        <w:tblLook w:firstRow="0" w:lastRow="0" w:firstColumn="0" w:lastColumn="0" w:noHBand="0" w:noVBand="0" w:val="0000"/>
      </w:tblPr>
      <w:tblGrid>
        <w:gridCol w:w="7920"/>
      </w:tblGrid>
      <w:tr>
        <w:tc>
          <w:tcPr/>
          <w:bookmarkStart w:id="13" w:name="fig-cleveland"/>
          <w:p>
            <w:pPr>
              <w:jc w:val="center"/>
            </w:pPr>
            <w:pPr>
              <w:jc w:val="left"/>
              <w:spacing w:before="200"/>
              <w:pStyle w:val="ImageCaption"/>
            </w:pPr>
            <w:r>
              <w:t xml:space="preserve">Figure 1: Mean of perceived redistributive justice by OECD country</w:t>
            </w:r>
          </w:p>
          <w:tbl>
            <w:tblPr>
              <w:tblStyle w:val="Table"/>
              <w:tblW w:type="pct" w:w="5000"/>
              <w:tblLayout w:type="fixed"/>
              <w:tblLook w:firstRow="0" w:lastRow="0" w:firstColumn="0" w:lastColumn="0" w:noHBand="0" w:noVBand="0" w:val="0000"/>
            </w:tblPr>
            <w:tblGrid>
              <w:gridCol w:w="7920"/>
            </w:tblGrid>
            <w:tr>
              <w:tc>
                <w:tcPr/>
                <w:bookmarkStart w:id="12" w:name="fig-cleveland"/>
                <w:p>
                  <w:pPr>
                    <w:pStyle w:val="Compact"/>
                    <w:jc w:val="center"/>
                    <w:jc w:val="center"/>
                  </w:pPr>
                  <w:r>
                    <w:drawing>
                      <wp:inline>
                        <wp:extent cx="4533900" cy="2418079"/>
                        <wp:effectExtent b="0" l="0" r="0" t="0"/>
                        <wp:docPr descr="" title="" id="10" name="Picture"/>
                        <a:graphic>
                          <a:graphicData uri="http://schemas.openxmlformats.org/drawingml/2006/picture">
                            <pic:pic>
                              <pic:nvPicPr>
                                <pic:cNvPr descr="paper-anonymized_files/figure-docx/fig-cleveland-1.png" id="11" name="Picture"/>
                                <pic:cNvPicPr>
                                  <a:picLocks noChangeArrowheads="1" noChangeAspect="1"/>
                                </pic:cNvPicPr>
                              </pic:nvPicPr>
                              <pic:blipFill>
                                <a:blip r:embed="rId9"/>
                                <a:stretch>
                                  <a:fillRect/>
                                </a:stretch>
                              </pic:blipFill>
                              <pic:spPr bwMode="auto">
                                <a:xfrm>
                                  <a:off x="0" y="0"/>
                                  <a:ext cx="4533900" cy="2418079"/>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Source: own elaboration with data from the OECD, Risks That Matter survey 2024. Perceived redistributive justice corresponds to the degree of agreement with the item on receiving a fair share of public benefits given the taxes and contributions paid (scale 1–5). The vertical grey line shows the OECD mean of redistributive justice.</w:t>
                  </w:r>
                </w:p>
                <w:bookmarkEnd w:id="12"/>
              </w:tc>
            </w:tr>
          </w:tbl>
          <w:bookmarkEnd w:id="13"/>
          <w:p/>
        </w:tc>
      </w:tr>
    </w:tbl>
    <w:bookmarkEnd w:id="14"/>
    <w:bookmarkStart w:id="15" w:name="X7c9b72c64a1cb2bacd1b914daad363e57d43b47"/>
    <w:p>
      <w:pPr>
        <w:pStyle w:val="Heading2"/>
      </w:pPr>
      <w:r>
        <w:t xml:space="preserve">1.2 Work, type of employment and platform economy</w:t>
      </w:r>
    </w:p>
    <w:p>
      <w:pPr>
        <w:pStyle w:val="FirstParagraph"/>
      </w:pPr>
      <w:r>
        <w:t xml:space="preserve">The sociology of work has documented in multiple contexts the growing polarisation between formal, well-paid employment and an expanding stratum of precarious work</w:t>
      </w:r>
      <w:r>
        <w:t xml:space="preserve"> </w:t>
      </w:r>
      <w:r>
        <w:t xml:space="preserve">(</w:t>
      </w:r>
      <w:hyperlink w:anchor="ref-gallie_economic_2013">
        <w:r>
          <w:rPr>
            <w:rStyle w:val="Hyperlink"/>
          </w:rPr>
          <w:t xml:space="preserve">Gallie, 2013</w:t>
        </w:r>
      </w:hyperlink>
      <w:r>
        <w:t xml:space="preserve">;</w:t>
      </w:r>
      <w:r>
        <w:t xml:space="preserve"> </w:t>
      </w:r>
      <w:hyperlink w:anchor="ref-kalleberg_good_2011">
        <w:r>
          <w:rPr>
            <w:rStyle w:val="Hyperlink"/>
          </w:rPr>
          <w:t xml:space="preserve">Kalleberg, 2011</w:t>
        </w:r>
      </w:hyperlink>
      <w:r>
        <w:t xml:space="preserve">)</w:t>
      </w:r>
      <w:r>
        <w:t xml:space="preserve">. Precarious work —uncertain and unpredictable employment that shifts risk from employers to workers— has spread beyond the margins of the labour market to reach growing portions of the workforce</w:t>
      </w:r>
      <w:r>
        <w:t xml:space="preserve"> </w:t>
      </w:r>
      <w:r>
        <w:t xml:space="preserve">(</w:t>
      </w:r>
      <w:hyperlink w:anchor="ref-kalleberg_good_2011">
        <w:r>
          <w:rPr>
            <w:rStyle w:val="Hyperlink"/>
          </w:rPr>
          <w:t xml:space="preserve">Kalleberg, 2011</w:t>
        </w:r>
      </w:hyperlink>
      <w:r>
        <w:t xml:space="preserve">)</w:t>
      </w:r>
      <w:r>
        <w:t xml:space="preserve">, and is not reduced to income insecurity, but entails the absence of the occupational identity, social rights and temporal stability that characterised the standard employment relationship</w:t>
      </w:r>
      <w:r>
        <w:t xml:space="preserve"> </w:t>
      </w:r>
      <w:r>
        <w:t xml:space="preserve">(</w:t>
      </w:r>
      <w:hyperlink w:anchor="ref-standing_precariat_2014">
        <w:r>
          <w:rPr>
            <w:rStyle w:val="Hyperlink"/>
          </w:rPr>
          <w:t xml:space="preserve">Standing, 2014</w:t>
        </w:r>
      </w:hyperlink>
      <w:r>
        <w:t xml:space="preserve">)</w:t>
      </w:r>
      <w:r>
        <w:t xml:space="preserve">. These transformations matter for the welfare state because its institutions were designed around that formal relationship, so that those who depart from it tend to maintain a weaker and more unequal link with the protection system</w:t>
      </w:r>
      <w:r>
        <w:t xml:space="preserve"> </w:t>
      </w:r>
      <w:r>
        <w:t xml:space="preserve">(</w:t>
      </w:r>
      <w:hyperlink w:anchor="ref-emmenegger_age_2012">
        <w:r>
          <w:rPr>
            <w:rStyle w:val="Hyperlink"/>
          </w:rPr>
          <w:t xml:space="preserve">Emmenegger et al., 2012</w:t>
        </w:r>
      </w:hyperlink>
      <w:r>
        <w:t xml:space="preserve">;</w:t>
      </w:r>
      <w:r>
        <w:t xml:space="preserve"> </w:t>
      </w:r>
      <w:hyperlink w:anchor="ref-schwander_who_2013">
        <w:r>
          <w:rPr>
            <w:rStyle w:val="Hyperlink"/>
          </w:rPr>
          <w:t xml:space="preserve">Schwander and Häusermann, 2013</w:t>
        </w:r>
      </w:hyperlink>
      <w:r>
        <w:t xml:space="preserve">)</w:t>
      </w:r>
      <w:r>
        <w:t xml:space="preserve">. This structural position in the labour market shapes that material link, and also conditions attitudes towards inequality and redistribution</w:t>
      </w:r>
      <w:r>
        <w:t xml:space="preserve"> </w:t>
      </w:r>
      <w:r>
        <w:t xml:space="preserve">(</w:t>
      </w:r>
      <w:hyperlink w:anchor="ref-lindh_class_2020">
        <w:r>
          <w:rPr>
            <w:rStyle w:val="Hyperlink"/>
          </w:rPr>
          <w:t xml:space="preserve">Lindh and McCall, 2020</w:t>
        </w:r>
      </w:hyperlink>
      <w:r>
        <w:t xml:space="preserve">)</w:t>
      </w:r>
      <w:r>
        <w:t xml:space="preserve">, an effect especially visible in contexts of marked commodification such as the Chilean one</w:t>
      </w:r>
      <w:r>
        <w:t xml:space="preserve"> </w:t>
      </w:r>
      <w:r>
        <w:t xml:space="preserve">(</w:t>
      </w:r>
      <w:hyperlink w:anchor="ref-perez-ahumada_conditioning_2026">
        <w:r>
          <w:rPr>
            <w:rStyle w:val="Hyperlink"/>
          </w:rPr>
          <w:t xml:space="preserve">Pérez-Ahumada et al., 2026</w:t>
        </w:r>
      </w:hyperlink>
      <w:r>
        <w:t xml:space="preserve">)</w:t>
      </w:r>
      <w:r>
        <w:t xml:space="preserve">.</w:t>
      </w:r>
    </w:p>
    <w:p>
      <w:pPr>
        <w:pStyle w:val="BodyText"/>
      </w:pPr>
      <w:r>
        <w:t xml:space="preserve">Type of employment structures that relationship directly. Workers in formal waged employment contribute through registered contributions and accumulate rights in a legible way, which makes the relationship between what they contribute and what they receive traceable. Workers in non-formal employment face a more opaque and often less favourable relationship, since the self-employed tend to pay higher net contributions and remain excluded from unemployment insurance, while temporary workers accumulate interrupted contribution records that reduce their future benefits</w:t>
      </w:r>
      <w:r>
        <w:t xml:space="preserve"> </w:t>
      </w:r>
      <w:r>
        <w:t xml:space="preserve">(</w:t>
      </w:r>
      <w:hyperlink w:anchor="ref-marx_effect_2014">
        <w:r>
          <w:rPr>
            <w:rStyle w:val="Hyperlink"/>
          </w:rPr>
          <w:t xml:space="preserve">Marx, 2014</w:t>
        </w:r>
      </w:hyperlink>
      <w:r>
        <w:t xml:space="preserve">;</w:t>
      </w:r>
      <w:r>
        <w:t xml:space="preserve"> </w:t>
      </w:r>
      <w:hyperlink w:anchor="ref-rueda_social_2007">
        <w:r>
          <w:rPr>
            <w:rStyle w:val="Hyperlink"/>
          </w:rPr>
          <w:t xml:space="preserve">Rueda, 2007</w:t>
        </w:r>
      </w:hyperlink>
      <w:r>
        <w:t xml:space="preserve">)</w:t>
      </w:r>
      <w:r>
        <w:t xml:space="preserve">. This institutional distance between insiders and outsiders in the labour market creates conditions for the latter to perceive that the system was not designed for people in their situation, which may translate into a less favourable assessment of the justice of the fiscal exchange</w:t>
      </w:r>
      <w:r>
        <w:t xml:space="preserve"> </w:t>
      </w:r>
      <w:r>
        <w:t xml:space="preserve">(</w:t>
      </w:r>
      <w:hyperlink w:anchor="ref-schwander_who_2013">
        <w:r>
          <w:rPr>
            <w:rStyle w:val="Hyperlink"/>
          </w:rPr>
          <w:t xml:space="preserve">Schwander and Häusermann, 2013</w:t>
        </w:r>
      </w:hyperlink>
      <w:r>
        <w:t xml:space="preserve">)</w:t>
      </w:r>
      <w:r>
        <w:t xml:space="preserve">.</w:t>
      </w:r>
    </w:p>
    <w:p>
      <w:pPr>
        <w:pStyle w:val="BodyText"/>
      </w:pPr>
      <w:r>
        <w:t xml:space="preserve">Platform-mediated work constitutes a particularly acute form of non-formal employment. Algorithmic intermediation, the classification of workers as independent contractors and the fragmentation of tasks place these workers largely outside the formal architecture of social insurance</w:t>
      </w:r>
      <w:r>
        <w:t xml:space="preserve"> </w:t>
      </w:r>
      <w:r>
        <w:t xml:space="preserve">(</w:t>
      </w:r>
      <w:hyperlink w:anchor="ref-vallas_what_2020">
        <w:r>
          <w:rPr>
            <w:rStyle w:val="Hyperlink"/>
          </w:rPr>
          <w:t xml:space="preserve">Vallas and Schor, 2020</w:t>
        </w:r>
      </w:hyperlink>
      <w:r>
        <w:t xml:space="preserve">;</w:t>
      </w:r>
      <w:r>
        <w:t xml:space="preserve"> </w:t>
      </w:r>
      <w:hyperlink w:anchor="ref-wood_good_2019">
        <w:r>
          <w:rPr>
            <w:rStyle w:val="Hyperlink"/>
          </w:rPr>
          <w:t xml:space="preserve">Wood et al., 2019</w:t>
        </w:r>
      </w:hyperlink>
      <w:r>
        <w:t xml:space="preserve">)</w:t>
      </w:r>
      <w:r>
        <w:t xml:space="preserve">. Several studies have shown that platform workers combine nominal autonomy with a high degree of external control and a fragmented or non-existent social protection</w:t>
      </w:r>
      <w:r>
        <w:t xml:space="preserve"> </w:t>
      </w:r>
      <w:r>
        <w:t xml:space="preserve">(</w:t>
      </w:r>
      <w:hyperlink w:anchor="ref-behrendt_social_2019">
        <w:r>
          <w:rPr>
            <w:rStyle w:val="Hyperlink"/>
          </w:rPr>
          <w:t xml:space="preserve">Behrendt et al., 2019</w:t>
        </w:r>
      </w:hyperlink>
      <w:r>
        <w:t xml:space="preserve">;</w:t>
      </w:r>
      <w:r>
        <w:t xml:space="preserve"> </w:t>
      </w:r>
      <w:hyperlink w:anchor="ref-schor_gig_2020">
        <w:r>
          <w:rPr>
            <w:rStyle w:val="Hyperlink"/>
          </w:rPr>
          <w:t xml:space="preserve">Schor, 2020</w:t>
        </w:r>
      </w:hyperlink>
      <w:r>
        <w:t xml:space="preserve">)</w:t>
      </w:r>
      <w:r>
        <w:t xml:space="preserve">, a pattern that evidence for Latin America has documented in platform-mediated delivery, where classification as independent contractors shifts risk onto workers and leaves them outside social security</w:t>
      </w:r>
      <w:r>
        <w:t xml:space="preserve"> </w:t>
      </w:r>
      <w:r>
        <w:t xml:space="preserve">(</w:t>
      </w:r>
      <w:hyperlink w:anchor="ref-gutierrezcrocco_effects_2022">
        <w:r>
          <w:rPr>
            <w:rStyle w:val="Hyperlink"/>
          </w:rPr>
          <w:t xml:space="preserve">Gutiérrez Crocco and Atzeni, 2022</w:t>
        </w:r>
      </w:hyperlink>
      <w:r>
        <w:t xml:space="preserve">)</w:t>
      </w:r>
      <w:r>
        <w:t xml:space="preserve">. The European directive on platform work responds to this situation by introducing a legal presumption of employment and rules on algorithmic management</w:t>
      </w:r>
      <w:r>
        <w:t xml:space="preserve"> </w:t>
      </w:r>
      <w:r>
        <w:t xml:space="preserve">(</w:t>
      </w:r>
      <w:hyperlink w:anchor="X84184924b7d64ffb4d0b8e850c04b813ecf2c5f">
        <w:r>
          <w:rPr>
            <w:rStyle w:val="Hyperlink"/>
          </w:rPr>
          <w:t xml:space="preserve">European Parliament and Council of the European Union, 2024</w:t>
        </w:r>
      </w:hyperlink>
      <w:r>
        <w:t xml:space="preserve">)</w:t>
      </w:r>
      <w:r>
        <w:t xml:space="preserve">. This structural position exposes these workers to a lack of protection that leads one to expect a comparatively lower perception of the justice of their relationship with the welfare state. These considerations give rise to the first hypothesis: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H1: Workers in non-formal employment —platform work and self-employment— will perceive lower redistributive justice than workers in formal waged employment.</w:t>
            </w:r>
          </w:p>
        </w:tc>
      </w:tr>
    </w:tbl>
    <w:bookmarkEnd w:id="15"/>
    <w:bookmarkStart w:id="16" w:name="job-insecurity"/>
    <w:p>
      <w:pPr>
        <w:pStyle w:val="Heading2"/>
      </w:pPr>
      <w:r>
        <w:t xml:space="preserve">1.3 Job insecurity</w:t>
      </w:r>
    </w:p>
    <w:p>
      <w:pPr>
        <w:pStyle w:val="FirstParagraph"/>
      </w:pPr>
      <w:r>
        <w:t xml:space="preserve">Beyond type of employment, the level of job insecurity experienced by workers constitutes a distinct dimension of vulnerability. Job insecurity is defined as the subjective assessment of the concern of losing one’s own job or self-employment income in the short term, with the chronic uncertainty and anticipatory anxiety this entails</w:t>
      </w:r>
      <w:r>
        <w:t xml:space="preserve"> </w:t>
      </w:r>
      <w:r>
        <w:t xml:space="preserve">(</w:t>
      </w:r>
      <w:hyperlink w:anchor="ref-dewitte_job_2005">
        <w:r>
          <w:rPr>
            <w:rStyle w:val="Hyperlink"/>
          </w:rPr>
          <w:t xml:space="preserve">De Witte, 2005</w:t>
        </w:r>
      </w:hyperlink>
      <w:r>
        <w:t xml:space="preserve">;</w:t>
      </w:r>
      <w:r>
        <w:t xml:space="preserve"> </w:t>
      </w:r>
      <w:hyperlink w:anchor="ref-sverke_no_2002">
        <w:r>
          <w:rPr>
            <w:rStyle w:val="Hyperlink"/>
          </w:rPr>
          <w:t xml:space="preserve">Sverke et al., 2002</w:t>
        </w:r>
      </w:hyperlink>
      <w:r>
        <w:t xml:space="preserve">)</w:t>
      </w:r>
      <w:r>
        <w:t xml:space="preserve">. Unlike objective precarity, it is a perceived state that can also affect formally protected workers and whose effects on behaviour and attitudes are widely documented</w:t>
      </w:r>
      <w:r>
        <w:t xml:space="preserve"> </w:t>
      </w:r>
      <w:r>
        <w:t xml:space="preserve">(</w:t>
      </w:r>
      <w:hyperlink w:anchor="ref-anderson_workers_2007">
        <w:r>
          <w:rPr>
            <w:rStyle w:val="Hyperlink"/>
          </w:rPr>
          <w:t xml:space="preserve">Anderson and Pontusson, 2007</w:t>
        </w:r>
      </w:hyperlink>
      <w:r>
        <w:t xml:space="preserve">;</w:t>
      </w:r>
      <w:r>
        <w:t xml:space="preserve"> </w:t>
      </w:r>
      <w:hyperlink w:anchor="ref-chung_institutions_2011">
        <w:r>
          <w:rPr>
            <w:rStyle w:val="Hyperlink"/>
          </w:rPr>
          <w:t xml:space="preserve">Chung and Van Oorschot, 2011</w:t>
        </w:r>
      </w:hyperlink>
      <w:r>
        <w:t xml:space="preserve">)</w:t>
      </w:r>
      <w:r>
        <w:t xml:space="preserve">.</w:t>
      </w:r>
    </w:p>
    <w:p>
      <w:pPr>
        <w:pStyle w:val="BodyText"/>
      </w:pPr>
      <w:r>
        <w:t xml:space="preserve">From the perspective of redistributive justice, job insecurity raises what is at stake in the relationship between contributions and benefits. The literature on risk and redistribution has shown that exposure to insecurity increases support for social protection</w:t>
      </w:r>
      <w:r>
        <w:t xml:space="preserve"> </w:t>
      </w:r>
      <w:r>
        <w:t xml:space="preserve">(</w:t>
      </w:r>
      <w:hyperlink w:anchor="ref-cusack_risks_2006">
        <w:r>
          <w:rPr>
            <w:rStyle w:val="Hyperlink"/>
          </w:rPr>
          <w:t xml:space="preserve">Cusack et al., 2006</w:t>
        </w:r>
      </w:hyperlink>
      <w:r>
        <w:t xml:space="preserve">;</w:t>
      </w:r>
      <w:r>
        <w:t xml:space="preserve"> </w:t>
      </w:r>
      <w:hyperlink w:anchor="ref-iversen_asset_2001">
        <w:r>
          <w:rPr>
            <w:rStyle w:val="Hyperlink"/>
          </w:rPr>
          <w:t xml:space="preserve">Iversen and Soskice, 2001</w:t>
        </w:r>
      </w:hyperlink>
      <w:r>
        <w:t xml:space="preserve">;</w:t>
      </w:r>
      <w:r>
        <w:t xml:space="preserve"> </w:t>
      </w:r>
      <w:hyperlink w:anchor="ref-rehm_risks_2009">
        <w:r>
          <w:rPr>
            <w:rStyle w:val="Hyperlink"/>
          </w:rPr>
          <w:t xml:space="preserve">Rehm, 2009</w:t>
        </w:r>
      </w:hyperlink>
      <w:r>
        <w:t xml:space="preserve">)</w:t>
      </w:r>
      <w:r>
        <w:t xml:space="preserve">. The relationship with perceived redistributive justice may, however, operate in a different direction: workers who anticipate losing their job assess with greater scrutiny what they would receive from the state in that scenario, and when that expectation is not accompanied by confidence in the protective capacity of the system, they are likely to perceive the exchange as less just</w:t>
      </w:r>
      <w:r>
        <w:t xml:space="preserve"> </w:t>
      </w:r>
      <w:r>
        <w:t xml:space="preserve">(</w:t>
      </w:r>
      <w:hyperlink w:anchor="ref-marx_effect_2014">
        <w:r>
          <w:rPr>
            <w:rStyle w:val="Hyperlink"/>
          </w:rPr>
          <w:t xml:space="preserve">Marx, 2014</w:t>
        </w:r>
      </w:hyperlink>
      <w:r>
        <w:t xml:space="preserve">)</w:t>
      </w:r>
      <w:r>
        <w:t xml:space="preserve">. The second hypothesis is thus proposed: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H2: Greater perceived job insecurity will be associated with a lower perception of redistributive justice.</w:t>
            </w:r>
          </w:p>
        </w:tc>
      </w:tr>
    </w:tbl>
    <w:bookmarkEnd w:id="16"/>
    <w:bookmarkStart w:id="19" w:name="perceived-technological-change"/>
    <w:p>
      <w:pPr>
        <w:pStyle w:val="Heading2"/>
      </w:pPr>
      <w:r>
        <w:t xml:space="preserve">1.4 Perceived technological change</w:t>
      </w:r>
    </w:p>
    <w:p>
      <w:pPr>
        <w:pStyle w:val="FirstParagraph"/>
      </w:pPr>
      <w:r>
        <w:t xml:space="preserve">The rise of digital technologies has introduced an additional source of occupational vulnerability, distinct from conventional job insecurity. Estimates of the proportion of jobs susceptible to automation vary widely, but even the most conservative ones anticipate significant changes in the content of tasks and in the viability of numerous occupations</w:t>
      </w:r>
      <w:r>
        <w:t xml:space="preserve"> </w:t>
      </w:r>
      <w:r>
        <w:t xml:space="preserve">(</w:t>
      </w:r>
      <w:hyperlink w:anchor="ref-arntz_risk_2016">
        <w:r>
          <w:rPr>
            <w:rStyle w:val="Hyperlink"/>
          </w:rPr>
          <w:t xml:space="preserve">Arntz et al., 2016</w:t>
        </w:r>
      </w:hyperlink>
      <w:r>
        <w:t xml:space="preserve">;</w:t>
      </w:r>
      <w:r>
        <w:t xml:space="preserve"> </w:t>
      </w:r>
      <w:hyperlink w:anchor="ref-autor_why_2015">
        <w:r>
          <w:rPr>
            <w:rStyle w:val="Hyperlink"/>
          </w:rPr>
          <w:t xml:space="preserve">Autor, 2015</w:t>
        </w:r>
      </w:hyperlink>
      <w:r>
        <w:t xml:space="preserve">;</w:t>
      </w:r>
      <w:r>
        <w:t xml:space="preserve"> </w:t>
      </w:r>
      <w:hyperlink w:anchor="ref-bustelo_automation_2020">
        <w:r>
          <w:rPr>
            <w:rStyle w:val="Hyperlink"/>
          </w:rPr>
          <w:t xml:space="preserve">Bustelo et al., 2020</w:t>
        </w:r>
      </w:hyperlink>
      <w:r>
        <w:t xml:space="preserve">;</w:t>
      </w:r>
      <w:r>
        <w:t xml:space="preserve"> </w:t>
      </w:r>
      <w:hyperlink w:anchor="ref-frey_future_2017">
        <w:r>
          <w:rPr>
            <w:rStyle w:val="Hyperlink"/>
          </w:rPr>
          <w:t xml:space="preserve">Frey and Osborne, 2017</w:t>
        </w:r>
      </w:hyperlink>
      <w:r>
        <w:t xml:space="preserve">)</w:t>
      </w:r>
      <w:r>
        <w:t xml:space="preserve">. What matters for welfare attitudes is the objective magnitude of that process, and also the way in which workers anticipate its effects on their own job</w:t>
      </w:r>
      <w:r>
        <w:t xml:space="preserve"> </w:t>
      </w:r>
      <w:r>
        <w:t xml:space="preserve">(</w:t>
      </w:r>
      <w:hyperlink w:anchor="ref-gallego_automation_2022">
        <w:r>
          <w:rPr>
            <w:rStyle w:val="Hyperlink"/>
          </w:rPr>
          <w:t xml:space="preserve">Gallego and Kurer, 2022</w:t>
        </w:r>
      </w:hyperlink>
      <w:r>
        <w:t xml:space="preserve">)</w:t>
      </w:r>
      <w:r>
        <w:t xml:space="preserve">. That anticipation comprises both the perception of a displacement risk (the probability of losing the job to technology) and the perception of a benefit (the probability that technology will improve the quality of work).</w:t>
      </w:r>
    </w:p>
    <w:bookmarkStart w:id="17" w:name="Xf752983f0d6aa46ec373dde49c77e20db5c212b"/>
    <w:p>
      <w:pPr>
        <w:pStyle w:val="Heading3"/>
      </w:pPr>
      <w:r>
        <w:t xml:space="preserve">1.4.1 Perception of technological displacement risk</w:t>
      </w:r>
    </w:p>
    <w:p>
      <w:pPr>
        <w:pStyle w:val="FirstParagraph"/>
      </w:pPr>
      <w:r>
        <w:t xml:space="preserve">On the one hand, technological change refers to the perception of technological displacement risk, that is, the probability that one’s own job will be replaced by a robot or by artificial intelligence, substituted by a provider offering a similar service through a platform, or rendered unviable by the obsolescence of one’s own digital skills. Research has shown that the fear of automation is distributed unevenly across occupations and social groups and that it has measurable political and attitudinal consequences</w:t>
      </w:r>
      <w:r>
        <w:t xml:space="preserve"> </w:t>
      </w:r>
      <w:r>
        <w:t xml:space="preserve">(</w:t>
      </w:r>
      <w:hyperlink w:anchor="ref-dekker_fear_2017">
        <w:r>
          <w:rPr>
            <w:rStyle w:val="Hyperlink"/>
          </w:rPr>
          <w:t xml:space="preserve">Dekker et al., 2017</w:t>
        </w:r>
      </w:hyperlink>
      <w:r>
        <w:t xml:space="preserve">;</w:t>
      </w:r>
      <w:r>
        <w:t xml:space="preserve"> </w:t>
      </w:r>
      <w:hyperlink w:anchor="ref-im_losers_2019">
        <w:r>
          <w:rPr>
            <w:rStyle w:val="Hyperlink"/>
          </w:rPr>
          <w:t xml:space="preserve">Im et al., 2019</w:t>
        </w:r>
      </w:hyperlink>
      <w:r>
        <w:t xml:space="preserve">;</w:t>
      </w:r>
      <w:r>
        <w:t xml:space="preserve"> </w:t>
      </w:r>
      <w:hyperlink w:anchor="ref-kurer_declining_2020">
        <w:r>
          <w:rPr>
            <w:rStyle w:val="Hyperlink"/>
          </w:rPr>
          <w:t xml:space="preserve">Kurer, 2020</w:t>
        </w:r>
      </w:hyperlink>
      <w:r>
        <w:t xml:space="preserve">)</w:t>
      </w:r>
      <w:r>
        <w:t xml:space="preserve">. The literature on risk and redistribution has robustly established that perceived exposure to technological risk increases the demand for social protection</w:t>
      </w:r>
      <w:r>
        <w:t xml:space="preserve"> </w:t>
      </w:r>
      <w:r>
        <w:t xml:space="preserve">(</w:t>
      </w:r>
      <w:hyperlink w:anchor="ref-busemeyer_social_2022">
        <w:r>
          <w:rPr>
            <w:rStyle w:val="Hyperlink"/>
          </w:rPr>
          <w:t xml:space="preserve">Busemeyer and Sahm, 2022</w:t>
        </w:r>
      </w:hyperlink>
      <w:r>
        <w:t xml:space="preserve">;</w:t>
      </w:r>
      <w:r>
        <w:t xml:space="preserve"> </w:t>
      </w:r>
      <w:hyperlink w:anchor="ref-iversen_asset_2001">
        <w:r>
          <w:rPr>
            <w:rStyle w:val="Hyperlink"/>
          </w:rPr>
          <w:t xml:space="preserve">Iversen and Soskice, 2001</w:t>
        </w:r>
      </w:hyperlink>
      <w:r>
        <w:t xml:space="preserve">;</w:t>
      </w:r>
      <w:r>
        <w:t xml:space="preserve"> </w:t>
      </w:r>
      <w:hyperlink w:anchor="ref-rehm_risks_2009">
        <w:r>
          <w:rPr>
            <w:rStyle w:val="Hyperlink"/>
          </w:rPr>
          <w:t xml:space="preserve">Rehm, 2009</w:t>
        </w:r>
      </w:hyperlink>
      <w:r>
        <w:t xml:space="preserve">;</w:t>
      </w:r>
      <w:r>
        <w:t xml:space="preserve"> </w:t>
      </w:r>
      <w:hyperlink w:anchor="ref-thewissen_automation_2019">
        <w:r>
          <w:rPr>
            <w:rStyle w:val="Hyperlink"/>
          </w:rPr>
          <w:t xml:space="preserve">Thewissen and Rueda, 2019</w:t>
        </w:r>
      </w:hyperlink>
      <w:r>
        <w:t xml:space="preserve">)</w:t>
      </w:r>
      <w:r>
        <w:t xml:space="preserve">. Following that logic, workers who perceive their job as threatened by technology hold greater expectations of protection and, when contrasting these with what they actually receive, are more likely to assess their exchange with the welfare state as insufficient</w:t>
      </w:r>
      <w:r>
        <w:t xml:space="preserve"> </w:t>
      </w:r>
      <w:r>
        <w:t xml:space="preserve">(</w:t>
      </w:r>
      <w:hyperlink w:anchor="ref-marx_effect_2014">
        <w:r>
          <w:rPr>
            <w:rStyle w:val="Hyperlink"/>
          </w:rPr>
          <w:t xml:space="preserve">Marx, 2014</w:t>
        </w:r>
      </w:hyperlink>
      <w:r>
        <w:t xml:space="preserve">)</w:t>
      </w:r>
      <w:r>
        <w:t xml:space="preserve">. The third hypothesis is thus derived: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H3: Workers who perceive a higher probability of being displaced by automation, platform competition or the obsolescence of their skills will report a lower perception of redistributive justice.</w:t>
            </w:r>
          </w:p>
        </w:tc>
      </w:tr>
    </w:tbl>
    <w:bookmarkEnd w:id="17"/>
    <w:bookmarkStart w:id="18" w:name="perception-of-technological-benefit"/>
    <w:p>
      <w:pPr>
        <w:pStyle w:val="Heading3"/>
      </w:pPr>
      <w:r>
        <w:t xml:space="preserve">1.4.2 Perception of technological benefit</w:t>
      </w:r>
    </w:p>
    <w:p>
      <w:pPr>
        <w:pStyle w:val="FirstParagraph"/>
      </w:pPr>
      <w:r>
        <w:t xml:space="preserve">On the other hand, technological change refers to the perception of technological benefit, which addresses the probability that technology will make working hours more compatible with private life, reduce the dangerousness or physical demands of work, or lessen its monotony and mental load. This enabling dimension has received much less attention than its threatening counterpart, even though workers’ orientation towards technology is not solely negative</w:t>
      </w:r>
      <w:r>
        <w:t xml:space="preserve"> </w:t>
      </w:r>
      <w:r>
        <w:t xml:space="preserve">(</w:t>
      </w:r>
      <w:hyperlink w:anchor="ref-autor_why_2015">
        <w:r>
          <w:rPr>
            <w:rStyle w:val="Hyperlink"/>
          </w:rPr>
          <w:t xml:space="preserve">Autor, 2015</w:t>
        </w:r>
      </w:hyperlink>
      <w:r>
        <w:t xml:space="preserve">;</w:t>
      </w:r>
      <w:r>
        <w:t xml:space="preserve"> </w:t>
      </w:r>
      <w:hyperlink w:anchor="ref-brougham_smart_2018">
        <w:r>
          <w:rPr>
            <w:rStyle w:val="Hyperlink"/>
          </w:rPr>
          <w:t xml:space="preserve">Brougham and Haar, 2018</w:t>
        </w:r>
      </w:hyperlink>
      <w:r>
        <w:t xml:space="preserve">)</w:t>
      </w:r>
      <w:r>
        <w:t xml:space="preserve">. Unlike displacement risk, perceiving technology as an improvement in working conditions implies lower exposure to risk and greater optimism about one’s occupational trajectory. To the extent that the assessment of the exchange with the welfare state reflects the individual’s position of economic security</w:t>
      </w:r>
      <w:r>
        <w:t xml:space="preserve"> </w:t>
      </w:r>
      <w:r>
        <w:t xml:space="preserve">(</w:t>
      </w:r>
      <w:hyperlink w:anchor="ref-rehm_risks_2009">
        <w:r>
          <w:rPr>
            <w:rStyle w:val="Hyperlink"/>
          </w:rPr>
          <w:t xml:space="preserve">Rehm, 2009</w:t>
        </w:r>
      </w:hyperlink>
      <w:r>
        <w:t xml:space="preserve">)</w:t>
      </w:r>
      <w:r>
        <w:t xml:space="preserve">, this positive orientation can be expected to be associated with a more favourable perception of redistributive justice. The fourth hypothesis follows from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H4: Workers who perceive technology as enabling —reducing physical demands, improving the balance between work and private life or making work less stressful or monotonous— will perceive greater redistributive justice.</w:t>
            </w:r>
          </w:p>
        </w:tc>
      </w:tr>
    </w:tbl>
    <w:bookmarkEnd w:id="18"/>
    <w:bookmarkEnd w:id="19"/>
    <w:bookmarkStart w:id="20" w:name="perceived-deservingness-of-others"/>
    <w:p>
      <w:pPr>
        <w:pStyle w:val="Heading2"/>
      </w:pPr>
      <w:r>
        <w:t xml:space="preserve">1.5 Perceived deservingness of others</w:t>
      </w:r>
    </w:p>
    <w:p>
      <w:pPr>
        <w:pStyle w:val="FirstParagraph"/>
      </w:pPr>
      <w:r>
        <w:t xml:space="preserve">Perceptions of redistributive justice do not depend solely on structural position, but also on the normative frameworks through which individuals assess who and what deserves to receive from the state. Deservingness literature holds that people direct their solidarity towards the groups they consider deserving and withdraw it from those they judge undeserving, on the basis of criteria such as control over one’s own situation, attitude, reciprocity, identity and need</w:t>
      </w:r>
      <w:r>
        <w:t xml:space="preserve"> </w:t>
      </w:r>
      <w:r>
        <w:t xml:space="preserve">(</w:t>
      </w:r>
      <w:hyperlink w:anchor="ref-petersen_social_2012">
        <w:r>
          <w:rPr>
            <w:rStyle w:val="Hyperlink"/>
          </w:rPr>
          <w:t xml:space="preserve">Petersen, 2012</w:t>
        </w:r>
      </w:hyperlink>
      <w:r>
        <w:t xml:space="preserve">;</w:t>
      </w:r>
      <w:r>
        <w:t xml:space="preserve"> </w:t>
      </w:r>
      <w:hyperlink w:anchor="ref-oorschot_who_2000">
        <w:r>
          <w:rPr>
            <w:rStyle w:val="Hyperlink"/>
          </w:rPr>
          <w:t xml:space="preserve">Van Oorschot, 2000</w:t>
        </w:r>
      </w:hyperlink>
      <w:r>
        <w:t xml:space="preserve">)</w:t>
      </w:r>
      <w:r>
        <w:t xml:space="preserve">. In strongly commodified contexts, meritocratic and market-justice beliefs reinforce the tendency to consider undeserving those who are perceived not to contribute enough</w:t>
      </w:r>
      <w:r>
        <w:t xml:space="preserve"> </w:t>
      </w:r>
      <w:r>
        <w:t xml:space="preserve">(</w:t>
      </w:r>
      <w:hyperlink w:anchor="ref-castillo_perceptions_2025">
        <w:r>
          <w:rPr>
            <w:rStyle w:val="Hyperlink"/>
          </w:rPr>
          <w:t xml:space="preserve">Castillo et al., 2025</w:t>
        </w:r>
      </w:hyperlink>
      <w:r>
        <w:t xml:space="preserve">)</w:t>
      </w:r>
      <w:r>
        <w:t xml:space="preserve">. These judgements about the deservingness of others are analytically distinct from the judgement about the justice of one’s own relationship with the system: a person may consider themselves a contributor who does not receive their just share and, at the same time, judge that others receive benefits they do not deserve. Both assessments are, however, part of the same moral economy of welfare, and they can be expected to be connected</w:t>
      </w:r>
      <w:r>
        <w:t xml:space="preserve"> </w:t>
      </w:r>
      <w:r>
        <w:t xml:space="preserve">(</w:t>
      </w:r>
      <w:hyperlink w:anchor="ref-mau_moral_2014">
        <w:r>
          <w:rPr>
            <w:rStyle w:val="Hyperlink"/>
          </w:rPr>
          <w:t xml:space="preserve">Mau, 2014</w:t>
        </w:r>
      </w:hyperlink>
      <w:r>
        <w:t xml:space="preserve">;</w:t>
      </w:r>
      <w:r>
        <w:t xml:space="preserve"> </w:t>
      </w:r>
      <w:hyperlink w:anchor="ref-vanoorschot_social_2017">
        <w:r>
          <w:rPr>
            <w:rStyle w:val="Hyperlink"/>
          </w:rPr>
          <w:t xml:space="preserve">Van Oorschot et al., 2017</w:t>
        </w:r>
      </w:hyperlink>
      <w:r>
        <w:t xml:space="preserve">)</w:t>
      </w:r>
      <w:r>
        <w:t xml:space="preserve">.</w:t>
      </w:r>
    </w:p>
    <w:p>
      <w:pPr>
        <w:pStyle w:val="BodyText"/>
      </w:pPr>
      <w:r>
        <w:t xml:space="preserve">The connection between the two judgements operates through the norm of reciprocity. The resources that an individual contributes appear to sustain those who do not fulfil their part, which erodes the sense that the system treats them in a just way</w:t>
      </w:r>
      <w:r>
        <w:t xml:space="preserve"> </w:t>
      </w:r>
      <w:r>
        <w:t xml:space="preserve">(</w:t>
      </w:r>
      <w:hyperlink w:anchor="ref-cavaille_fair_2025">
        <w:r>
          <w:rPr>
            <w:rStyle w:val="Hyperlink"/>
          </w:rPr>
          <w:t xml:space="preserve">Cavaillé, 2025</w:t>
        </w:r>
      </w:hyperlink>
      <w:r>
        <w:t xml:space="preserve">;</w:t>
      </w:r>
      <w:r>
        <w:t xml:space="preserve"> </w:t>
      </w:r>
      <w:hyperlink w:anchor="ref-reeskens_equity_2013">
        <w:r>
          <w:rPr>
            <w:rStyle w:val="Hyperlink"/>
          </w:rPr>
          <w:t xml:space="preserve">Reeskens and Van Oorschot, 2013</w:t>
        </w:r>
      </w:hyperlink>
      <w:r>
        <w:t xml:space="preserve">)</w:t>
      </w:r>
      <w:r>
        <w:t xml:space="preserve">. Comparative research has shown that deservingness perceptions robustly structure support for the welfare state and that the control criterion occupies a central place in those judgements</w:t>
      </w:r>
      <w:r>
        <w:t xml:space="preserve"> </w:t>
      </w:r>
      <w:r>
        <w:t xml:space="preserve">(</w:t>
      </w:r>
      <w:hyperlink w:anchor="ref-laenen_welfare_2020">
        <w:r>
          <w:rPr>
            <w:rStyle w:val="Hyperlink"/>
          </w:rPr>
          <w:t xml:space="preserve">Laenen, 2020</w:t>
        </w:r>
      </w:hyperlink>
      <w:r>
        <w:t xml:space="preserve">;</w:t>
      </w:r>
      <w:r>
        <w:t xml:space="preserve"> </w:t>
      </w:r>
      <w:hyperlink w:anchor="ref-vanoorschot_making_2006">
        <w:r>
          <w:rPr>
            <w:rStyle w:val="Hyperlink"/>
          </w:rPr>
          <w:t xml:space="preserve">Van Oorschot, 2006</w:t>
        </w:r>
      </w:hyperlink>
      <w:r>
        <w:t xml:space="preserve">)</w:t>
      </w:r>
      <w:r>
        <w:t xml:space="preserve">. It can therefore be expected that those who perceive greater abuse of the system by others will assess their own relationship with it as less just. The fifth hypothesis is proposed: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H5: Workers who perceive that many people receive public benefits without deserving them will report a lower perception of redistributive justice.</w:t>
            </w:r>
          </w:p>
        </w:tc>
      </w:tr>
    </w:tbl>
    <w:bookmarkEnd w:id="20"/>
    <w:bookmarkStart w:id="21" w:name="X5cb47c704e11e71b5378c30af02acb350a29c68"/>
    <w:p>
      <w:pPr>
        <w:pStyle w:val="Heading2"/>
      </w:pPr>
      <w:r>
        <w:t xml:space="preserve">1.6 Welfare regimes and institutional context</w:t>
      </w:r>
    </w:p>
    <w:p>
      <w:pPr>
        <w:pStyle w:val="FirstParagraph"/>
      </w:pPr>
      <w:r>
        <w:t xml:space="preserve">Individual perceptions of redistributive justice are formed in institutional contexts that vary systematically across welfare regimes</w:t>
      </w:r>
      <w:r>
        <w:t xml:space="preserve"> </w:t>
      </w:r>
      <w:r>
        <w:t xml:space="preserve">(</w:t>
      </w:r>
      <w:hyperlink w:anchor="ref-arts_three_2002">
        <w:r>
          <w:rPr>
            <w:rStyle w:val="Hyperlink"/>
          </w:rPr>
          <w:t xml:space="preserve">Arts and Gelissen, 2002</w:t>
        </w:r>
      </w:hyperlink>
      <w:r>
        <w:t xml:space="preserve">;</w:t>
      </w:r>
      <w:r>
        <w:t xml:space="preserve"> </w:t>
      </w:r>
      <w:hyperlink w:anchor="ref-esping-andersen_three_1993">
        <w:r>
          <w:rPr>
            <w:rStyle w:val="Hyperlink"/>
          </w:rPr>
          <w:t xml:space="preserve">Esping-Andersen, 1990</w:t>
        </w:r>
      </w:hyperlink>
      <w:r>
        <w:t xml:space="preserve">)</w:t>
      </w:r>
      <w:r>
        <w:t xml:space="preserve">.</w:t>
      </w:r>
      <w:r>
        <w:t xml:space="preserve"> </w:t>
      </w:r>
      <w:r>
        <w:t xml:space="preserve">Esping-Andersen (</w:t>
      </w:r>
      <w:hyperlink w:anchor="ref-esping-andersen_three_1993">
        <w:r>
          <w:rPr>
            <w:rStyle w:val="Hyperlink"/>
          </w:rPr>
          <w:t xml:space="preserve">1990</w:t>
        </w:r>
      </w:hyperlink>
      <w:r>
        <w:t xml:space="preserve">)</w:t>
      </w:r>
      <w:r>
        <w:t xml:space="preserve"> </w:t>
      </w:r>
      <w:r>
        <w:t xml:space="preserve">’s classic typology distinguishes three worlds of welfare capitalism according to how they organise the relationship between state, market and family in the provision of social protection. In social democratic regimes (mainly Nordic countries), protection is comprehensive and universal, and redistribution constitutes a central expression of social solidarity sustained by universalist institutions</w:t>
      </w:r>
      <w:r>
        <w:t xml:space="preserve"> </w:t>
      </w:r>
      <w:r>
        <w:t xml:space="preserve">(</w:t>
      </w:r>
      <w:hyperlink w:anchor="ref-korpi_paradox_1998">
        <w:r>
          <w:rPr>
            <w:rStyle w:val="Hyperlink"/>
          </w:rPr>
          <w:t xml:space="preserve">Korpi and Palme, 1998</w:t>
        </w:r>
      </w:hyperlink>
      <w:r>
        <w:t xml:space="preserve">)</w:t>
      </w:r>
      <w:r>
        <w:t xml:space="preserve">. In liberal regimes (mainly Anglo-Saxon countries and, for example, Chile as a case of a commodified welfare state in Latin America), protection is residual and targeted, is organised around market participation and is politically more contested</w:t>
      </w:r>
      <w:r>
        <w:t xml:space="preserve"> </w:t>
      </w:r>
      <w:r>
        <w:t xml:space="preserve">Pérez-Ahumada (</w:t>
      </w:r>
      <w:hyperlink w:anchor="ref-perez_building_2023">
        <w:r>
          <w:rPr>
            <w:rStyle w:val="Hyperlink"/>
          </w:rPr>
          <w:t xml:space="preserve">2023</w:t>
        </w:r>
      </w:hyperlink>
      <w:r>
        <w:t xml:space="preserve">)</w:t>
      </w:r>
      <w:r>
        <w:t xml:space="preserve">. In conservative-corporatist regimes (continental Europe), rights are strongly tied to employment status, which preserves status differences and links protection to the employment trajectory</w:t>
      </w:r>
      <w:r>
        <w:t xml:space="preserve"> </w:t>
      </w:r>
      <w:r>
        <w:t xml:space="preserve">(</w:t>
      </w:r>
      <w:hyperlink w:anchor="ref-ferrera_southern_1996">
        <w:r>
          <w:rPr>
            <w:rStyle w:val="Hyperlink"/>
          </w:rPr>
          <w:t xml:space="preserve">Ferrera, 1996</w:t>
        </w:r>
      </w:hyperlink>
      <w:r>
        <w:t xml:space="preserve">)</w:t>
      </w:r>
      <w:r>
        <w:t xml:space="preserve">.</w:t>
      </w:r>
    </w:p>
    <w:p>
      <w:pPr>
        <w:pStyle w:val="BodyText"/>
      </w:pPr>
      <w:r>
        <w:t xml:space="preserve">Alongside institutional design, macroeconomic factors bear on welfare attitudes: income inequality is associated with perceptions of the justice of the system, although the direction of that relationship is a matter of debate</w:t>
      </w:r>
      <w:r>
        <w:t xml:space="preserve"> </w:t>
      </w:r>
      <w:r>
        <w:t xml:space="preserve">(</w:t>
      </w:r>
      <w:hyperlink w:anchor="ref-finseraas_income_2009">
        <w:r>
          <w:rPr>
            <w:rStyle w:val="Hyperlink"/>
          </w:rPr>
          <w:t xml:space="preserve">Finseraas, 2009</w:t>
        </w:r>
      </w:hyperlink>
      <w:r>
        <w:t xml:space="preserve">;</w:t>
      </w:r>
      <w:r>
        <w:t xml:space="preserve"> </w:t>
      </w:r>
      <w:hyperlink w:anchor="ref-schmidt-catran_economic_2016">
        <w:r>
          <w:rPr>
            <w:rStyle w:val="Hyperlink"/>
          </w:rPr>
          <w:t xml:space="preserve">Schmidt-Catran, 2016</w:t>
        </w:r>
      </w:hyperlink>
      <w:r>
        <w:t xml:space="preserve">)</w:t>
      </w:r>
      <w:r>
        <w:t xml:space="preserve">, and the level of economic development conditions both the fiscal capacity of the state and citizens’ expectations regarding social protection</w:t>
      </w:r>
      <w:r>
        <w:t xml:space="preserve"> </w:t>
      </w:r>
      <w:r>
        <w:t xml:space="preserve">(</w:t>
      </w:r>
      <w:hyperlink w:anchor="ref-blekesaune_public_2003">
        <w:r>
          <w:rPr>
            <w:rStyle w:val="Hyperlink"/>
          </w:rPr>
          <w:t xml:space="preserve">Blekesaune, 2003</w:t>
        </w:r>
      </w:hyperlink>
      <w:r>
        <w:t xml:space="preserve">)</w:t>
      </w:r>
      <w:r>
        <w:t xml:space="preserve">. Taken together, the perception of redistributive justice can be expected to be, on average, higher in social democratic regimes, where protection is more comprehensive and universal, than in liberal and conservative regimes</w:t>
      </w:r>
      <w:r>
        <w:t xml:space="preserve"> </w:t>
      </w:r>
      <w:r>
        <w:t xml:space="preserve">(</w:t>
      </w:r>
      <w:hyperlink w:anchor="ref-jaeger_welfare_2006">
        <w:r>
          <w:rPr>
            <w:rStyle w:val="Hyperlink"/>
          </w:rPr>
          <w:t xml:space="preserve">Jæger, 2006</w:t>
        </w:r>
      </w:hyperlink>
      <w:r>
        <w:t xml:space="preserve">;</w:t>
      </w:r>
      <w:r>
        <w:t xml:space="preserve"> </w:t>
      </w:r>
      <w:hyperlink w:anchor="ref-larsen_institutional_2008">
        <w:r>
          <w:rPr>
            <w:rStyle w:val="Hyperlink"/>
          </w:rPr>
          <w:t xml:space="preserve">Larsen, 2008</w:t>
        </w:r>
      </w:hyperlink>
      <w:r>
        <w:t xml:space="preserve">;</w:t>
      </w:r>
      <w:r>
        <w:t xml:space="preserve"> </w:t>
      </w:r>
      <w:hyperlink w:anchor="ref-svallfors_worlds_1997">
        <w:r>
          <w:rPr>
            <w:rStyle w:val="Hyperlink"/>
          </w:rPr>
          <w:t xml:space="preserve">Svallfors, 1997</w:t>
        </w:r>
      </w:hyperlink>
      <w:r>
        <w:t xml:space="preserve">)</w:t>
      </w:r>
      <w:r>
        <w:t xml:space="preserve">. Hence the sixth hypothesis: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H6: On average, workers in social democratic regimes will perceive higher redistributive justice than workers in liberal and conservative regimes.</w:t>
            </w:r>
          </w:p>
        </w:tc>
      </w:tr>
    </w:tbl>
    <w:p>
      <w:pPr>
        <w:pStyle w:val="BodyText"/>
      </w:pPr>
      <w:r>
        <w:t xml:space="preserve">The institutional context shifts the average level of perceptions, and may moderate the effect of individual predictors. The institutional distance between workers in non-formal employment and the protection system is greater in liberal and conservative regimes than in social democratic ones, which are universalist in character</w:t>
      </w:r>
      <w:r>
        <w:t xml:space="preserve"> </w:t>
      </w:r>
      <w:r>
        <w:t xml:space="preserve">(</w:t>
      </w:r>
      <w:hyperlink w:anchor="ref-ferrera_southern_1996">
        <w:r>
          <w:rPr>
            <w:rStyle w:val="Hyperlink"/>
          </w:rPr>
          <w:t xml:space="preserve">Ferrera, 1996</w:t>
        </w:r>
      </w:hyperlink>
      <w:r>
        <w:t xml:space="preserve">;</w:t>
      </w:r>
      <w:r>
        <w:t xml:space="preserve"> </w:t>
      </w:r>
      <w:hyperlink w:anchor="ref-schwander_who_2013">
        <w:r>
          <w:rPr>
            <w:rStyle w:val="Hyperlink"/>
          </w:rPr>
          <w:t xml:space="preserve">Schwander and Häusermann, 2013</w:t>
        </w:r>
      </w:hyperlink>
      <w:r>
        <w:t xml:space="preserve">)</w:t>
      </w:r>
      <w:r>
        <w:t xml:space="preserve">. It can therefore be expected that the negative effect of labour market position on perceived redistributive justice will be more pronounced in the former: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H7: The negative relationship between non-standard employment (platform work and self-employment) and perceived redistributive justice will be moderated by the welfare regime.</w:t>
            </w:r>
          </w:p>
        </w:tc>
      </w:tr>
    </w:tbl>
    <w:p>
      <w:pPr>
        <w:pStyle w:val="BodyText"/>
      </w:pPr>
      <w:r>
        <w:t xml:space="preserve">An analogous expectation can be formulated for the perception of technological risk. In universalist regimes, protection against the risks associated with digitalisation is more robust and less dependent on the individual employment trajectory, which could moderate the effect of perceived displacement risk on the assessment of the fiscal exchange</w:t>
      </w:r>
      <w:r>
        <w:t xml:space="preserve"> </w:t>
      </w:r>
      <w:r>
        <w:t xml:space="preserve">(</w:t>
      </w:r>
      <w:hyperlink w:anchor="ref-busemeyer_social_2022">
        <w:r>
          <w:rPr>
            <w:rStyle w:val="Hyperlink"/>
          </w:rPr>
          <w:t xml:space="preserve">Busemeyer and Sahm, 2022</w:t>
        </w:r>
      </w:hyperlink>
      <w:r>
        <w:t xml:space="preserve">;</w:t>
      </w:r>
      <w:r>
        <w:t xml:space="preserve"> </w:t>
      </w:r>
      <w:hyperlink w:anchor="ref-fan_how_2024">
        <w:r>
          <w:rPr>
            <w:rStyle w:val="Hyperlink"/>
          </w:rPr>
          <w:t xml:space="preserve">Fan et al., 2024</w:t>
        </w:r>
      </w:hyperlink>
      <w:r>
        <w:t xml:space="preserve">;</w:t>
      </w:r>
      <w:r>
        <w:t xml:space="preserve"> </w:t>
      </w:r>
      <w:hyperlink w:anchor="ref-gallego_automation_2022">
        <w:r>
          <w:rPr>
            <w:rStyle w:val="Hyperlink"/>
          </w:rPr>
          <w:t xml:space="preserve">Gallego and Kurer, 2022</w:t>
        </w:r>
      </w:hyperlink>
      <w:r>
        <w:t xml:space="preserve">)</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H8: The negative effect of the perception of technological displacement risk on the perception of redistributive justice will be moderated by the welfare regime.</w:t>
            </w:r>
          </w:p>
        </w:tc>
      </w:tr>
    </w:tbl>
    <w:p>
      <w:pPr>
        <w:pStyle w:val="BodyText"/>
      </w:pPr>
      <w:r>
        <w:t xml:space="preserve">Finally, the salience of deservingness judgements varies according to institutional design. In universalist regimes, where benefits are conceived as general rights rather than as targeted assistance, the distinctions between deserving and undeserving tend to be less pronounced than in residual regimes, organised around means testing</w:t>
      </w:r>
      <w:r>
        <w:t xml:space="preserve"> </w:t>
      </w:r>
      <w:r>
        <w:t xml:space="preserve">(</w:t>
      </w:r>
      <w:hyperlink w:anchor="ref-larsen_institutional_2008">
        <w:r>
          <w:rPr>
            <w:rStyle w:val="Hyperlink"/>
          </w:rPr>
          <w:t xml:space="preserve">Larsen, 2008</w:t>
        </w:r>
      </w:hyperlink>
      <w:r>
        <w:t xml:space="preserve">;</w:t>
      </w:r>
      <w:r>
        <w:t xml:space="preserve"> </w:t>
      </w:r>
      <w:hyperlink w:anchor="ref-vanoorschot_social_2017">
        <w:r>
          <w:rPr>
            <w:rStyle w:val="Hyperlink"/>
          </w:rPr>
          <w:t xml:space="preserve">Van Oorschot et al., 2017</w:t>
        </w:r>
      </w:hyperlink>
      <w:r>
        <w:t xml:space="preserve">)</w:t>
      </w:r>
      <w:r>
        <w:t xml:space="preserve">. It can therefore be expected that the effect of the perceived deservingness of others on the justice of one’s own exchange will be stronger in liberal and conservative regimes: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H9: The negative effect of the perceived deservingness of others on the perception of redistributive justice will be moderated by the welfare regime.</w:t>
            </w:r>
          </w:p>
        </w:tc>
      </w:tr>
    </w:tbl>
    <w:bookmarkEnd w:id="21"/>
    <w:bookmarkEnd w:id="22"/>
    <w:bookmarkStart w:id="29" w:name="data-variables-and-methods"/>
    <w:p>
      <w:pPr>
        <w:pStyle w:val="Heading1"/>
      </w:pPr>
      <w:r>
        <w:t xml:space="preserve">2. Data, variables and methods</w:t>
      </w:r>
    </w:p>
    <w:bookmarkStart w:id="23" w:name="data"/>
    <w:p>
      <w:pPr>
        <w:pStyle w:val="Heading2"/>
      </w:pPr>
      <w:r>
        <w:t xml:space="preserve">2.1 Data</w:t>
      </w:r>
    </w:p>
    <w:p>
      <w:pPr>
        <w:pStyle w:val="FirstParagraph"/>
      </w:pPr>
      <w:r>
        <w:t xml:space="preserve">﻿</w:t>
      </w:r>
      <w:r>
        <w:t xml:space="preserve"> </w:t>
      </w:r>
      <w:r>
        <w:t xml:space="preserve">This study uses data from the most recent wave (2024) of the Risks That Matter (RTM) survey of the OECD, a cross-national public opinion survey covering 27,229 people aged 18 to 64 in 27 member countries (Austria, Belgium, Canada, Chile, Denmark, Estonia, Finland, France, Germany, Greece, Ireland, Israel, Italy, Korea, Latvia, Lithuania, Mexico, the Netherlands, Norway, Poland, Portugal, Slovenia, Spain, Switzerland, Türkiye, the United Kingdom and the United States). The survey is fielded online and weighted with post-stratification weights calibrated by age, sex, region and educational level</w:t>
      </w:r>
      <w:r>
        <w:t xml:space="preserve"> </w:t>
      </w:r>
      <w:r>
        <w:t xml:space="preserve">(</w:t>
      </w:r>
      <w:hyperlink w:anchor="ref-thomas_survey_2025">
        <w:r>
          <w:rPr>
            <w:rStyle w:val="Hyperlink"/>
          </w:rPr>
          <w:t xml:space="preserve">Thomas et al., 2025</w:t>
        </w:r>
      </w:hyperlink>
      <w:r>
        <w:t xml:space="preserve">)</w:t>
      </w:r>
      <w:r>
        <w:t xml:space="preserve">. The 2024 wave captures attitudes in the period after the COVID-19 pandemic, which accelerated the digitalisation of work and expanded platform employment.</w:t>
      </w:r>
    </w:p>
    <w:p>
      <w:pPr>
        <w:pStyle w:val="BodyText"/>
      </w:pPr>
      <w:r>
        <w:t xml:space="preserve">The analysis is restricted to respondents who were in paid work in the week before the interview or temporarily away from a job for health or other reasons (n = 22,063). This restriction follows the structure of the questionnaire. The items on type of employment, platform work and perceived technological change refer to the respondent’s own job and are only administered to those attached to the labour market, so the 5,166 respondents who were not employed, whether seeking work or not, do not enter the analysis by design. After listwise deletion of cases with missing values on the model variables, the final analytic sample comprises 19,669 respondents, 89.1 per cent of the eligible sample. Sample sizes by country are reported in the appendix at</w:t>
      </w:r>
      <w:r>
        <w:t xml:space="preserve"> </w:t>
      </w:r>
      <w:hyperlink w:anchor="tbl-classification">
        <w:r>
          <w:rPr>
            <w:rStyle w:val="Hyperlink"/>
          </w:rPr>
          <w:t xml:space="preserve">Table 5</w:t>
        </w:r>
      </w:hyperlink>
      <w:r>
        <w:t xml:space="preserve">.</w:t>
      </w:r>
    </w:p>
    <w:bookmarkEnd w:id="23"/>
    <w:bookmarkStart w:id="26" w:name="variables"/>
    <w:p>
      <w:pPr>
        <w:pStyle w:val="Heading2"/>
      </w:pPr>
      <w:r>
        <w:t xml:space="preserve">2.2 Variables</w:t>
      </w:r>
    </w:p>
    <w:p>
      <w:pPr>
        <w:pStyle w:val="FirstParagraph"/>
      </w:pPr>
      <w:r>
        <w:t xml:space="preserve">The dependent variable is the perception of redistributive justice, measured by the item</w:t>
      </w:r>
      <w:r>
        <w:t xml:space="preserve"> </w:t>
      </w:r>
      <w:r>
        <w:t xml:space="preserve">“I feel that I receive a fair share of public benefits, given the taxes and social contributions that I pay and/or have paid in the past”</w:t>
      </w:r>
      <w:r>
        <w:t xml:space="preserve">. Responses are recorded on a five-point Likert scale from strongly disagree to strongly agree, and the variable is treated as ordinal in all the analyses.</w:t>
      </w:r>
    </w:p>
    <w:p>
      <w:pPr>
        <w:pStyle w:val="BodyText"/>
      </w:pPr>
      <w:r>
        <w:t xml:space="preserve">Three sets of independent variables constitute the core of the analysis. The first concerns labour market position and job insecurity. Labour market position is captured by two binary indicators, one identifying self-employed workers and one identifying platform workers, understood as those whose work is mediated by digital platforms. The two indicators are not mutually exclusive, since platform work is often carried out under self-employment arrangements. Respondents scoring zero on both correspond to formal dependent employment, which serves as the reference situation, and the overlap between the two categories is examined directly in the analysis. Job insecurity is measured by the item</w:t>
      </w:r>
      <w:r>
        <w:t xml:space="preserve"> </w:t>
      </w:r>
      <w:r>
        <w:t xml:space="preserve">“Losing a job or self-employment income”</w:t>
      </w:r>
      <w:r>
        <w:t xml:space="preserve">, asked within the battery</w:t>
      </w:r>
      <w:r>
        <w:t xml:space="preserve"> </w:t>
      </w:r>
      <w:r>
        <w:t xml:space="preserve">“Thinking about the next year or two, how concerned are you about each of the following?”</w:t>
      </w:r>
      <w:r>
        <w:t xml:space="preserve">, with response categories from not at all concerned to very concerned.</w:t>
      </w:r>
    </w:p>
    <w:p>
      <w:pPr>
        <w:pStyle w:val="BodyText"/>
      </w:pPr>
      <w:r>
        <w:t xml:space="preserve">The second set captures the perception of technological change with respect to one’s own job, measured through the battery</w:t>
      </w:r>
      <w:r>
        <w:t xml:space="preserve"> </w:t>
      </w:r>
      <w:r>
        <w:t xml:space="preserve">“How likely do you think it is that the following will happen in your job (or job opportunities) in the next five years?”</w:t>
      </w:r>
      <w:r>
        <w:t xml:space="preserve">, with items rated on a four-point probability scale. Four items refer to displacement. They ask about the replacement of the job by a robot, by an artificial intelligence tool such as ChatGPT, or by a person offering a similar service through an internet platform, and about losing the job through not being sufficiently technologically skilled. Three items refer to benefits. They ask whether technology will make working hours more compatible with private life, make work less dangerous or physically demanding, and make it less boring, repetitive, stressful or mentally demanding. An exploratory factor analysis of the seven items supports a two-factor structure. Three of the four displacement items load on a first factor and the three benefit items on a second, while the item on replacement by artificial intelligence defines a separate third dimension suggested by the parallel analysis and is excluded from the scales.</w:t>
      </w:r>
      <w:r>
        <w:rPr>
          <w:rStyle w:val="FootnoteReference"/>
        </w:rPr>
        <w:footnoteReference w:id="24"/>
      </w:r>
      <w:r>
        <w:t xml:space="preserve"> </w:t>
      </w:r>
      <w:r>
        <w:t xml:space="preserve">Two scales are built accordingly, Technological Displacement Risk (the average of the three displacement items) and Perceived Technological Benefit (the average of the three benefit items). In both cases higher values indicate a stronger perception of the corresponding risk or benefit. The full factor analysis is reported in the appendix at</w:t>
      </w:r>
      <w:r>
        <w:t xml:space="preserve"> </w:t>
      </w:r>
      <w:hyperlink w:anchor="tbl-efa">
        <w:r>
          <w:rPr>
            <w:rStyle w:val="Hyperlink"/>
          </w:rPr>
          <w:t xml:space="preserve">Table 4</w:t>
        </w:r>
      </w:hyperlink>
      <w:r>
        <w:t xml:space="preserve">.</w:t>
      </w:r>
    </w:p>
    <w:p>
      <w:pPr>
        <w:pStyle w:val="BodyText"/>
      </w:pPr>
      <w:r>
        <w:t xml:space="preserve">The third set concerns the perceived deservingness of others, operationalised through the degree of agreement with the statement</w:t>
      </w:r>
      <w:r>
        <w:t xml:space="preserve"> </w:t>
      </w:r>
      <w:r>
        <w:t xml:space="preserve">“Many people receive public benefits without deserving them”</w:t>
      </w:r>
      <w:r>
        <w:t xml:space="preserve">, rated on a five-point scale (1 = strongly disagree to 5 = strongly agree). This item refers to the deservingness of other beneficiaries, while the dependent variable refers to the respondent’s own exchange with the system, a distinction that is central in the deservingness literature</w:t>
      </w:r>
      <w:r>
        <w:t xml:space="preserve"> </w:t>
      </w:r>
      <w:r>
        <w:t xml:space="preserve">(</w:t>
      </w:r>
      <w:hyperlink w:anchor="ref-oorschot_who_2000">
        <w:r>
          <w:rPr>
            <w:rStyle w:val="Hyperlink"/>
          </w:rPr>
          <w:t xml:space="preserve">Van Oorschot, 2000</w:t>
        </w:r>
      </w:hyperlink>
      <w:r>
        <w:t xml:space="preserve">,</w:t>
      </w:r>
      <w:r>
        <w:t xml:space="preserve"> </w:t>
      </w:r>
      <w:hyperlink w:anchor="ref-vanoorschot_making_2006">
        <w:r>
          <w:rPr>
            <w:rStyle w:val="Hyperlink"/>
          </w:rPr>
          <w:t xml:space="preserve">2006</w:t>
        </w:r>
      </w:hyperlink>
      <w:r>
        <w:t xml:space="preserve">)</w:t>
      </w:r>
      <w:r>
        <w:t xml:space="preserve">. Higher values indicate a stronger perception that others receive benefits without deserving them.</w:t>
      </w:r>
    </w:p>
    <w:p>
      <w:pPr>
        <w:pStyle w:val="BodyText"/>
      </w:pPr>
      <w:r>
        <w:t xml:space="preserve">The welfare regime is operationalised as a three-category variable that distinguishes social democratic, liberal and conservative-corporatist regimes, following</w:t>
      </w:r>
      <w:r>
        <w:t xml:space="preserve"> </w:t>
      </w:r>
      <w:r>
        <w:t xml:space="preserve">Esping-Andersen (</w:t>
      </w:r>
      <w:hyperlink w:anchor="ref-esping-andersen_three_1993">
        <w:r>
          <w:rPr>
            <w:rStyle w:val="Hyperlink"/>
          </w:rPr>
          <w:t xml:space="preserve">1990</w:t>
        </w:r>
      </w:hyperlink>
      <w:r>
        <w:t xml:space="preserve">)</w:t>
      </w:r>
      <w:r>
        <w:t xml:space="preserve"> </w:t>
      </w:r>
      <w:r>
        <w:t xml:space="preserve">and</w:t>
      </w:r>
      <w:r>
        <w:t xml:space="preserve"> </w:t>
      </w:r>
      <w:r>
        <w:t xml:space="preserve">Bambra (</w:t>
      </w:r>
      <w:hyperlink w:anchor="ref-bambra_sifting_2007">
        <w:r>
          <w:rPr>
            <w:rStyle w:val="Hyperlink"/>
          </w:rPr>
          <w:t xml:space="preserve">2007</w:t>
        </w:r>
      </w:hyperlink>
      <w:r>
        <w:t xml:space="preserve">)</w:t>
      </w:r>
      <w:r>
        <w:t xml:space="preserve">. The countries of southern Europe and of central and eastern Europe are integrated into the conservative category, given the initial specificity of the post-socialist regimes and their progressive convergence towards the continental types</w:t>
      </w:r>
      <w:r>
        <w:t xml:space="preserve"> </w:t>
      </w:r>
      <w:r>
        <w:t xml:space="preserve">(</w:t>
      </w:r>
      <w:hyperlink w:anchor="ref-Fenger2006WelfareRI">
        <w:r>
          <w:rPr>
            <w:rStyle w:val="Hyperlink"/>
          </w:rPr>
          <w:t xml:space="preserve">Fenger, 2006</w:t>
        </w:r>
      </w:hyperlink>
      <w:r>
        <w:t xml:space="preserve">;</w:t>
      </w:r>
      <w:r>
        <w:t xml:space="preserve"> </w:t>
      </w:r>
      <w:hyperlink w:anchor="ref-ferrera_southern_1996">
        <w:r>
          <w:rPr>
            <w:rStyle w:val="Hyperlink"/>
          </w:rPr>
          <w:t xml:space="preserve">Ferrera, 1996</w:t>
        </w:r>
      </w:hyperlink>
      <w:r>
        <w:t xml:space="preserve">)</w:t>
      </w:r>
      <w:r>
        <w:t xml:space="preserve">, while the Baltic states, characterised by a more liberal orientation of their post-socialist reforms, are incorporated into the liberal regime</w:t>
      </w:r>
      <w:r>
        <w:t xml:space="preserve"> </w:t>
      </w:r>
      <w:r>
        <w:t xml:space="preserve">(</w:t>
      </w:r>
      <w:hyperlink w:anchor="ref-aidukaite_welfare_2011">
        <w:r>
          <w:rPr>
            <w:rStyle w:val="Hyperlink"/>
          </w:rPr>
          <w:t xml:space="preserve">Aidukaite, 2011</w:t>
        </w:r>
      </w:hyperlink>
      <w:r>
        <w:t xml:space="preserve">)</w:t>
      </w:r>
      <w:r>
        <w:t xml:space="preserve">. Among the non-European countries, Chile and Mexico are classified as liberal, following the characterisation of their welfare regimes as market-centred</w:t>
      </w:r>
      <w:r>
        <w:t xml:space="preserve"> </w:t>
      </w:r>
      <w:r>
        <w:t xml:space="preserve">(</w:t>
      </w:r>
      <w:hyperlink w:anchor="ref-franzoni_welfare_2008">
        <w:r>
          <w:rPr>
            <w:rStyle w:val="Hyperlink"/>
          </w:rPr>
          <w:t xml:space="preserve">Martínez Franzoni, 2008</w:t>
        </w:r>
      </w:hyperlink>
      <w:r>
        <w:t xml:space="preserve">)</w:t>
      </w:r>
      <w:r>
        <w:t xml:space="preserve">, while Israel, Korea and Türkiye are assigned to the conservative category. The full classification by country, with its sources, is reported in the appendix at</w:t>
      </w:r>
      <w:r>
        <w:t xml:space="preserve"> </w:t>
      </w:r>
      <w:hyperlink w:anchor="tbl-classification">
        <w:r>
          <w:rPr>
            <w:rStyle w:val="Hyperlink"/>
          </w:rPr>
          <w:t xml:space="preserve">Table 5</w:t>
        </w:r>
      </w:hyperlink>
      <w:r>
        <w:t xml:space="preserve">.</w:t>
      </w:r>
    </w:p>
    <w:p>
      <w:pPr>
        <w:pStyle w:val="BodyText"/>
      </w:pPr>
      <w:r>
        <w:t xml:space="preserve">At the country level the models include four macroeconomic indicators. The Gini coefficient of disposable income, GDP per capita (PPP, constant international dollars) and the unemployment rate (ILO estimate) are drawn from the World Bank’s World Development Indicators, and public social expenditure as a percentage of GDP is drawn from the OECD Social Expenditure Database (SOCX). For each country the most recent value available within the 2015–2024 window is used. GDP per capita is log-transformed, and all four indicators are grand-mean standardised, so that their coefficients express the association with a difference of one standard deviation between countries. Income inequality and the level of economic development have been shown to condition welfare attitudes</w:t>
      </w:r>
      <w:r>
        <w:t xml:space="preserve"> </w:t>
      </w:r>
      <w:r>
        <w:t xml:space="preserve">(</w:t>
      </w:r>
      <w:hyperlink w:anchor="ref-blekesaune_public_2003">
        <w:r>
          <w:rPr>
            <w:rStyle w:val="Hyperlink"/>
          </w:rPr>
          <w:t xml:space="preserve">Blekesaune, 2003</w:t>
        </w:r>
      </w:hyperlink>
      <w:r>
        <w:t xml:space="preserve">;</w:t>
      </w:r>
      <w:r>
        <w:t xml:space="preserve"> </w:t>
      </w:r>
      <w:hyperlink w:anchor="ref-finseraas_income_2009">
        <w:r>
          <w:rPr>
            <w:rStyle w:val="Hyperlink"/>
          </w:rPr>
          <w:t xml:space="preserve">Finseraas, 2009</w:t>
        </w:r>
      </w:hyperlink>
      <w:r>
        <w:t xml:space="preserve">;</w:t>
      </w:r>
      <w:r>
        <w:t xml:space="preserve"> </w:t>
      </w:r>
      <w:hyperlink w:anchor="ref-schmidt-catran_economic_2016">
        <w:r>
          <w:rPr>
            <w:rStyle w:val="Hyperlink"/>
          </w:rPr>
          <w:t xml:space="preserve">Schmidt-Catran, 2016</w:t>
        </w:r>
      </w:hyperlink>
      <w:r>
        <w:t xml:space="preserve">)</w:t>
      </w:r>
      <w:r>
        <w:t xml:space="preserve">, while social expenditure provides a continuous indicator of welfare effort that complements the categorical regime typology.</w:t>
      </w:r>
    </w:p>
    <w:p>
      <w:pPr>
        <w:pStyle w:val="BodyText"/>
      </w:pPr>
      <w:r>
        <w:t xml:space="preserve">All the models include sex, age, educational level (highest level of studies completed) and income decile (self-reported position in the national income distribution) as control variables associated with welfare attitudes and perceived redistributive justice.</w:t>
      </w:r>
    </w:p>
    <w:p>
      <w:pPr>
        <w:pStyle w:val="BodyText"/>
      </w:pPr>
      <w:r>
        <w:t xml:space="preserve">A summary of these variables and their main descriptive statistics is available in</w:t>
      </w:r>
      <w:r>
        <w:t xml:space="preserve"> </w:t>
      </w:r>
      <w:hyperlink w:anchor="tbl-summary">
        <w:r>
          <w:rPr>
            <w:rStyle w:val="Hyperlink"/>
          </w:rPr>
          <w:t xml:space="preserve">Table 1</w:t>
        </w:r>
      </w:hyperlink>
      <w:r>
        <w:t xml:space="preserve">; the macroeconomic indicators are reported there on their original scales, with statistics computed over individuals, so each country contributes in proportion to its sample size.</w:t>
      </w:r>
    </w:p>
    <w:tbl>
      <w:tblPr>
        <w:tblStyle w:val="Table"/>
        <w:tblW w:type="pct" w:w="5000"/>
        <w:tblLayout w:type="fixed"/>
        <w:tblLook w:firstRow="0" w:lastRow="0" w:firstColumn="0" w:lastColumn="0" w:noHBand="0" w:noVBand="0" w:val="0000"/>
      </w:tblPr>
      <w:tblGrid>
        <w:gridCol w:w="7920"/>
      </w:tblGrid>
      <w:tr>
        <w:tc>
          <w:tcPr/>
          <w:bookmarkStart w:id="25" w:name="tbl-summary"/>
          <w:p>
            <w:pPr>
              <w:jc w:val="center"/>
            </w:pPr>
            <w:pPr>
              <w:jc w:val="left"/>
              <w:spacing w:before="200"/>
              <w:pStyle w:val="ImageCaption"/>
            </w:pPr>
            <w:r>
              <w:t xml:space="preserve">Table 1: Main descriptive statistics</w:t>
            </w:r>
          </w:p>
          <w:tbl>
            <w:tblPr>
              <w:tblStyle w:val="Table"/>
              <w:tblW w:type="pct" w:w="5000"/>
              <w:tblLayout w:type="fixed"/>
              <w:tblLook w:firstRow="1" w:lastRow="0" w:firstColumn="0" w:lastColumn="0" w:noHBand="0" w:noVBand="0" w:val="0020"/>
            </w:tblPr>
            <w:tblGrid>
              <w:gridCol w:w="3108"/>
              <w:gridCol w:w="2442"/>
              <w:gridCol w:w="1554"/>
              <w:gridCol w:w="814"/>
            </w:tblGrid>
            <w:tr>
              <w:trPr>
                <w:tblHeader w:val="on"/>
              </w:trPr>
              <w:tc>
                <w:tcPr/>
                <w:p>
                  <w:pPr>
                    <w:pStyle w:val="Compact"/>
                    <w:jc w:val="left"/>
                    <w:jc w:val="center"/>
                  </w:pPr>
                  <w:r>
                    <w:t xml:space="preserve">Label</w:t>
                  </w:r>
                </w:p>
              </w:tc>
              <w:tc>
                <w:tcPr/>
                <w:p>
                  <w:pPr>
                    <w:pStyle w:val="Compact"/>
                    <w:jc w:val="left"/>
                    <w:jc w:val="center"/>
                  </w:pPr>
                  <w:r>
                    <w:t xml:space="preserve">Stats / Values</w:t>
                  </w:r>
                </w:p>
              </w:tc>
              <w:tc>
                <w:tcPr/>
                <w:p>
                  <w:pPr>
                    <w:pStyle w:val="Compact"/>
                    <w:jc w:val="left"/>
                    <w:jc w:val="center"/>
                  </w:pPr>
                  <w:r>
                    <w:t xml:space="preserve">Freqs (% of Valid)</w:t>
                  </w:r>
                </w:p>
              </w:tc>
              <w:tc>
                <w:tcPr/>
                <w:p>
                  <w:pPr>
                    <w:pStyle w:val="Compact"/>
                    <w:jc w:val="left"/>
                    <w:jc w:val="center"/>
                  </w:pPr>
                  <w:r>
                    <w:t xml:space="preserve">Valid</w:t>
                  </w:r>
                </w:p>
              </w:tc>
            </w:tr>
            <w:tr>
              <w:tc>
                <w:tcPr/>
                <w:p>
                  <w:pPr>
                    <w:pStyle w:val="Compact"/>
                    <w:jc w:val="left"/>
                    <w:jc w:val="center"/>
                  </w:pPr>
                  <w:r>
                    <w:t xml:space="preserve">Redistributive justice</w:t>
                  </w:r>
                </w:p>
              </w:tc>
              <w:tc>
                <w:tcPr/>
                <w:p>
                  <w:pPr>
                    <w:pStyle w:val="Compact"/>
                    <w:jc w:val="left"/>
                    <w:jc w:val="center"/>
                  </w:pPr>
                  <w:r>
                    <w:t xml:space="preserve">1. Strongly disagree</w:t>
                  </w:r>
                  <w:r>
                    <w:br/>
                  </w:r>
                  <w:r>
                    <w:t xml:space="preserve">2. Disagree</w:t>
                  </w:r>
                  <w:r>
                    <w:br/>
                  </w:r>
                  <w:r>
                    <w:t xml:space="preserve">3. Neither agree nor disagre</w:t>
                  </w:r>
                  <w:r>
                    <w:br/>
                  </w:r>
                  <w:r>
                    <w:t xml:space="preserve">4. Agree</w:t>
                  </w:r>
                  <w:r>
                    <w:br/>
                  </w:r>
                  <w:r>
                    <w:t xml:space="preserve">5. Strongly agree</w:t>
                  </w:r>
                </w:p>
              </w:tc>
              <w:tc>
                <w:tcPr/>
                <w:p>
                  <w:pPr>
                    <w:pStyle w:val="Compact"/>
                    <w:jc w:val="left"/>
                    <w:jc w:val="center"/>
                  </w:pPr>
                  <w:r>
                    <w:t xml:space="preserve">3600 (18.3%)</w:t>
                  </w:r>
                  <w:r>
                    <w:br/>
                  </w:r>
                  <w:r>
                    <w:t xml:space="preserve">4765 (24.2%)</w:t>
                  </w:r>
                  <w:r>
                    <w:br/>
                  </w:r>
                  <w:r>
                    <w:t xml:space="preserve">5641 (28.7%)</w:t>
                  </w:r>
                  <w:r>
                    <w:br/>
                  </w:r>
                  <w:r>
                    <w:t xml:space="preserve">4255 (21.6%)</w:t>
                  </w:r>
                  <w:r>
                    <w:br/>
                  </w:r>
                  <w:r>
                    <w:t xml:space="preserve">1408 ( 7.2%)</w:t>
                  </w:r>
                </w:p>
              </w:tc>
              <w:tc>
                <w:tcPr/>
                <w:p>
                  <w:pPr>
                    <w:pStyle w:val="Compact"/>
                    <w:jc w:val="left"/>
                    <w:jc w:val="center"/>
                  </w:pPr>
                  <w:r>
                    <w:t xml:space="preserve">19669</w:t>
                  </w:r>
                  <w:r>
                    <w:br/>
                  </w:r>
                  <w:r>
                    <w:t xml:space="preserve">(100.0%)</w:t>
                  </w:r>
                </w:p>
              </w:tc>
            </w:tr>
            <w:tr>
              <w:tc>
                <w:tcPr/>
                <w:p>
                  <w:pPr>
                    <w:pStyle w:val="Compact"/>
                    <w:jc w:val="left"/>
                    <w:jc w:val="center"/>
                  </w:pPr>
                  <w:r>
                    <w:t xml:space="preserve">Sex</w:t>
                  </w:r>
                </w:p>
              </w:tc>
              <w:tc>
                <w:tcPr/>
                <w:p>
                  <w:pPr>
                    <w:pStyle w:val="Compact"/>
                    <w:jc w:val="left"/>
                    <w:jc w:val="center"/>
                  </w:pPr>
                  <w:r>
                    <w:t xml:space="preserve">1. Man</w:t>
                  </w:r>
                  <w:r>
                    <w:br/>
                  </w:r>
                  <w:r>
                    <w:t xml:space="preserve">2. Woman</w:t>
                  </w:r>
                </w:p>
              </w:tc>
              <w:tc>
                <w:tcPr/>
                <w:p>
                  <w:pPr>
                    <w:pStyle w:val="Compact"/>
                    <w:jc w:val="left"/>
                    <w:jc w:val="center"/>
                  </w:pPr>
                  <w:r>
                    <w:t xml:space="preserve">10520 (53.5%)</w:t>
                  </w:r>
                  <w:r>
                    <w:br/>
                  </w:r>
                  <w:r>
                    <w:t xml:space="preserve">9149 (46.5%)</w:t>
                  </w:r>
                </w:p>
              </w:tc>
              <w:tc>
                <w:tcPr/>
                <w:p>
                  <w:pPr>
                    <w:pStyle w:val="Compact"/>
                    <w:jc w:val="left"/>
                    <w:jc w:val="center"/>
                  </w:pPr>
                  <w:r>
                    <w:t xml:space="preserve">19669</w:t>
                  </w:r>
                  <w:r>
                    <w:br/>
                  </w:r>
                  <w:r>
                    <w:t xml:space="preserve">(100.0%)</w:t>
                  </w:r>
                </w:p>
              </w:tc>
            </w:tr>
            <w:tr>
              <w:tc>
                <w:tcPr/>
                <w:p>
                  <w:pPr>
                    <w:pStyle w:val="Compact"/>
                    <w:jc w:val="left"/>
                    <w:jc w:val="center"/>
                  </w:pPr>
                  <w:r>
                    <w:t xml:space="preserve">Age group</w:t>
                  </w:r>
                </w:p>
              </w:tc>
              <w:tc>
                <w:tcPr/>
                <w:p>
                  <w:pPr>
                    <w:pStyle w:val="Compact"/>
                    <w:jc w:val="left"/>
                    <w:jc w:val="center"/>
                  </w:pPr>
                  <w:r>
                    <w:t xml:space="preserve">1. 18-24</w:t>
                  </w:r>
                  <w:r>
                    <w:br/>
                  </w:r>
                  <w:r>
                    <w:t xml:space="preserve">2. 25-34</w:t>
                  </w:r>
                  <w:r>
                    <w:br/>
                  </w:r>
                  <w:r>
                    <w:t xml:space="preserve">3. 35-44</w:t>
                  </w:r>
                  <w:r>
                    <w:br/>
                  </w:r>
                  <w:r>
                    <w:t xml:space="preserve">4. 45-54</w:t>
                  </w:r>
                  <w:r>
                    <w:br/>
                  </w:r>
                  <w:r>
                    <w:t xml:space="preserve">5. 55-64</w:t>
                  </w:r>
                </w:p>
              </w:tc>
              <w:tc>
                <w:tcPr/>
                <w:p>
                  <w:pPr>
                    <w:pStyle w:val="Compact"/>
                    <w:jc w:val="left"/>
                    <w:jc w:val="center"/>
                  </w:pPr>
                  <w:r>
                    <w:t xml:space="preserve">2136 (10.9%)</w:t>
                  </w:r>
                  <w:r>
                    <w:br/>
                  </w:r>
                  <w:r>
                    <w:t xml:space="preserve">4626 (23.5%)</w:t>
                  </w:r>
                  <w:r>
                    <w:br/>
                  </w:r>
                  <w:r>
                    <w:t xml:space="preserve">4854 (24.7%)</w:t>
                  </w:r>
                  <w:r>
                    <w:br/>
                  </w:r>
                  <w:r>
                    <w:t xml:space="preserve">4599 (23.4%)</w:t>
                  </w:r>
                  <w:r>
                    <w:br/>
                  </w:r>
                  <w:r>
                    <w:t xml:space="preserve">3454 (17.6%)</w:t>
                  </w:r>
                </w:p>
              </w:tc>
              <w:tc>
                <w:tcPr/>
                <w:p>
                  <w:pPr>
                    <w:pStyle w:val="Compact"/>
                    <w:jc w:val="left"/>
                    <w:jc w:val="center"/>
                  </w:pPr>
                  <w:r>
                    <w:t xml:space="preserve">19669</w:t>
                  </w:r>
                  <w:r>
                    <w:br/>
                  </w:r>
                  <w:r>
                    <w:t xml:space="preserve">(100.0%)</w:t>
                  </w:r>
                </w:p>
              </w:tc>
            </w:tr>
            <w:tr>
              <w:tc>
                <w:tcPr/>
                <w:p>
                  <w:pPr>
                    <w:pStyle w:val="Compact"/>
                    <w:jc w:val="left"/>
                    <w:jc w:val="center"/>
                  </w:pPr>
                  <w:r>
                    <w:t xml:space="preserve">Educational level</w:t>
                  </w:r>
                </w:p>
              </w:tc>
              <w:tc>
                <w:tcPr/>
                <w:p>
                  <w:pPr>
                    <w:pStyle w:val="Compact"/>
                    <w:jc w:val="left"/>
                    <w:jc w:val="center"/>
                  </w:pPr>
                  <w:r>
                    <w:t xml:space="preserve">1. Low</w:t>
                  </w:r>
                  <w:r>
                    <w:br/>
                  </w:r>
                  <w:r>
                    <w:t xml:space="preserve">2. Medium</w:t>
                  </w:r>
                  <w:r>
                    <w:br/>
                  </w:r>
                  <w:r>
                    <w:t xml:space="preserve">3. High</w:t>
                  </w:r>
                </w:p>
              </w:tc>
              <w:tc>
                <w:tcPr/>
                <w:p>
                  <w:pPr>
                    <w:pStyle w:val="Compact"/>
                    <w:jc w:val="left"/>
                    <w:jc w:val="center"/>
                  </w:pPr>
                  <w:r>
                    <w:t xml:space="preserve">1546 ( 7.9%)</w:t>
                  </w:r>
                  <w:r>
                    <w:br/>
                  </w:r>
                  <w:r>
                    <w:t xml:space="preserve">8147 (41.4%)</w:t>
                  </w:r>
                  <w:r>
                    <w:br/>
                  </w:r>
                  <w:r>
                    <w:t xml:space="preserve">9976 (50.7%)</w:t>
                  </w:r>
                </w:p>
              </w:tc>
              <w:tc>
                <w:tcPr/>
                <w:p>
                  <w:pPr>
                    <w:pStyle w:val="Compact"/>
                    <w:jc w:val="left"/>
                    <w:jc w:val="center"/>
                  </w:pPr>
                  <w:r>
                    <w:t xml:space="preserve">19669</w:t>
                  </w:r>
                  <w:r>
                    <w:br/>
                  </w:r>
                  <w:r>
                    <w:t xml:space="preserve">(100.0%)</w:t>
                  </w:r>
                </w:p>
              </w:tc>
            </w:tr>
            <w:tr>
              <w:tc>
                <w:tcPr/>
                <w:p>
                  <w:pPr>
                    <w:pStyle w:val="Compact"/>
                    <w:jc w:val="left"/>
                    <w:jc w:val="center"/>
                  </w:pPr>
                  <w:r>
                    <w:t xml:space="preserve">Equivalised disposable household income</w:t>
                  </w:r>
                  <w:r>
                    <w:t xml:space="preserve"> </w:t>
                  </w:r>
                  <w:r>
                    <w:t xml:space="preserve">decile (2023)</w:t>
                  </w:r>
                </w:p>
              </w:tc>
              <w:tc>
                <w:tcPr/>
                <w:p>
                  <w:pPr>
                    <w:pStyle w:val="Compact"/>
                    <w:jc w:val="left"/>
                    <w:jc w:val="center"/>
                  </w:pPr>
                  <w:r>
                    <w:t xml:space="preserve">Mean (sd) : 4.9 (2.9)</w:t>
                  </w:r>
                  <w:r>
                    <w:br/>
                  </w:r>
                  <w:r>
                    <w:t xml:space="preserve">min &lt; med &lt; max:</w:t>
                  </w:r>
                  <w:r>
                    <w:br/>
                  </w:r>
                  <w:r>
                    <w:t xml:space="preserve">1 &lt; 5 &lt; 10</w:t>
                  </w:r>
                  <w:r>
                    <w:br/>
                  </w:r>
                  <w:r>
                    <w:t xml:space="preserve">IQR (CV) : 5 (0.6)</w:t>
                  </w:r>
                </w:p>
              </w:tc>
              <w:tc>
                <w:tcPr/>
                <w:p>
                  <w:pPr>
                    <w:pStyle w:val="Compact"/>
                    <w:jc w:val="left"/>
                    <w:jc w:val="center"/>
                  </w:pPr>
                  <w:r>
                    <w:t xml:space="preserve">1 : 3398 (17.3%)</w:t>
                  </w:r>
                  <w:r>
                    <w:br/>
                  </w:r>
                  <w:r>
                    <w:t xml:space="preserve">2 : 1844 ( 9.4%)</w:t>
                  </w:r>
                  <w:r>
                    <w:br/>
                  </w:r>
                  <w:r>
                    <w:t xml:space="preserve">3 : 1788 ( 9.1%)</w:t>
                  </w:r>
                  <w:r>
                    <w:br/>
                  </w:r>
                  <w:r>
                    <w:t xml:space="preserve">4 : 2652 (13.5%)</w:t>
                  </w:r>
                  <w:r>
                    <w:br/>
                  </w:r>
                  <w:r>
                    <w:t xml:space="preserve">5 : 2322 (11.8%)</w:t>
                  </w:r>
                  <w:r>
                    <w:br/>
                  </w:r>
                  <w:r>
                    <w:t xml:space="preserve">6 : 1815 ( 9.2%)</w:t>
                  </w:r>
                  <w:r>
                    <w:br/>
                  </w:r>
                  <w:r>
                    <w:t xml:space="preserve">7 : 1488 ( 7.6%)</w:t>
                  </w:r>
                  <w:r>
                    <w:br/>
                  </w:r>
                  <w:r>
                    <w:t xml:space="preserve">8 : 1424 ( 7.2%)</w:t>
                  </w:r>
                  <w:r>
                    <w:br/>
                  </w:r>
                  <w:r>
                    <w:t xml:space="preserve">9 : 1300 ( 6.6%)</w:t>
                  </w:r>
                  <w:r>
                    <w:br/>
                  </w:r>
                  <w:r>
                    <w:t xml:space="preserve">10 : 1638 ( 8.3%)</w:t>
                  </w:r>
                </w:p>
              </w:tc>
              <w:tc>
                <w:tcPr/>
                <w:p>
                  <w:pPr>
                    <w:pStyle w:val="Compact"/>
                    <w:jc w:val="left"/>
                    <w:jc w:val="center"/>
                  </w:pPr>
                  <w:r>
                    <w:t xml:space="preserve">19669</w:t>
                  </w:r>
                  <w:r>
                    <w:br/>
                  </w:r>
                  <w:r>
                    <w:t xml:space="preserve">(100.0%)</w:t>
                  </w:r>
                </w:p>
              </w:tc>
            </w:tr>
            <w:tr>
              <w:tc>
                <w:tcPr/>
                <w:p>
                  <w:pPr>
                    <w:pStyle w:val="Compact"/>
                    <w:jc w:val="left"/>
                    <w:jc w:val="center"/>
                  </w:pPr>
                  <w:r>
                    <w:t xml:space="preserve">Self-employment worker</w:t>
                  </w:r>
                </w:p>
              </w:tc>
              <w:tc>
                <w:tcPr/>
                <w:p>
                  <w:pPr>
                    <w:pStyle w:val="Compact"/>
                    <w:jc w:val="left"/>
                    <w:jc w:val="center"/>
                  </w:pPr>
                  <w:r>
                    <w:t xml:space="preserve">1. No</w:t>
                  </w:r>
                  <w:r>
                    <w:br/>
                  </w:r>
                  <w:r>
                    <w:t xml:space="preserve">2. Yes</w:t>
                  </w:r>
                </w:p>
              </w:tc>
              <w:tc>
                <w:tcPr/>
                <w:p>
                  <w:pPr>
                    <w:pStyle w:val="Compact"/>
                    <w:jc w:val="left"/>
                    <w:jc w:val="center"/>
                  </w:pPr>
                  <w:r>
                    <w:t xml:space="preserve">16887 (85.9%)</w:t>
                  </w:r>
                  <w:r>
                    <w:br/>
                  </w:r>
                  <w:r>
                    <w:t xml:space="preserve">2782 (14.1%)</w:t>
                  </w:r>
                </w:p>
              </w:tc>
              <w:tc>
                <w:tcPr/>
                <w:p>
                  <w:pPr>
                    <w:pStyle w:val="Compact"/>
                    <w:jc w:val="left"/>
                    <w:jc w:val="center"/>
                  </w:pPr>
                  <w:r>
                    <w:t xml:space="preserve">19669</w:t>
                  </w:r>
                  <w:r>
                    <w:br/>
                  </w:r>
                  <w:r>
                    <w:t xml:space="preserve">(100.0%)</w:t>
                  </w:r>
                </w:p>
              </w:tc>
            </w:tr>
            <w:tr>
              <w:tc>
                <w:tcPr/>
                <w:p>
                  <w:pPr>
                    <w:pStyle w:val="Compact"/>
                    <w:jc w:val="left"/>
                    <w:jc w:val="center"/>
                  </w:pPr>
                  <w:r>
                    <w:t xml:space="preserve">Platform worker</w:t>
                  </w:r>
                </w:p>
              </w:tc>
              <w:tc>
                <w:tcPr/>
                <w:p>
                  <w:pPr>
                    <w:pStyle w:val="Compact"/>
                    <w:jc w:val="left"/>
                    <w:jc w:val="center"/>
                  </w:pPr>
                  <w:r>
                    <w:t xml:space="preserve">1. No</w:t>
                  </w:r>
                  <w:r>
                    <w:br/>
                  </w:r>
                  <w:r>
                    <w:t xml:space="preserve">2. Yes</w:t>
                  </w:r>
                </w:p>
              </w:tc>
              <w:tc>
                <w:tcPr/>
                <w:p>
                  <w:pPr>
                    <w:pStyle w:val="Compact"/>
                    <w:jc w:val="left"/>
                    <w:jc w:val="center"/>
                  </w:pPr>
                  <w:r>
                    <w:t xml:space="preserve">17825 (90.6%)</w:t>
                  </w:r>
                  <w:r>
                    <w:br/>
                  </w:r>
                  <w:r>
                    <w:t xml:space="preserve">1844 ( 9.4%)</w:t>
                  </w:r>
                </w:p>
              </w:tc>
              <w:tc>
                <w:tcPr/>
                <w:p>
                  <w:pPr>
                    <w:pStyle w:val="Compact"/>
                    <w:jc w:val="left"/>
                    <w:jc w:val="center"/>
                  </w:pPr>
                  <w:r>
                    <w:t xml:space="preserve">19669</w:t>
                  </w:r>
                  <w:r>
                    <w:br/>
                  </w:r>
                  <w:r>
                    <w:t xml:space="preserve">(100.0%)</w:t>
                  </w:r>
                </w:p>
              </w:tc>
            </w:tr>
            <w:tr>
              <w:tc>
                <w:tcPr/>
                <w:p>
                  <w:pPr>
                    <w:pStyle w:val="Compact"/>
                    <w:jc w:val="left"/>
                    <w:jc w:val="center"/>
                  </w:pPr>
                  <w:r>
                    <w:t xml:space="preserve">Lose job</w:t>
                  </w:r>
                </w:p>
              </w:tc>
              <w:tc>
                <w:tcPr/>
                <w:p>
                  <w:pPr>
                    <w:pStyle w:val="Compact"/>
                    <w:jc w:val="left"/>
                    <w:jc w:val="center"/>
                  </w:pPr>
                  <w:r>
                    <w:t xml:space="preserve">1. Not at all concerned</w:t>
                  </w:r>
                  <w:r>
                    <w:br/>
                  </w:r>
                  <w:r>
                    <w:t xml:space="preserve">2. Not so concerned</w:t>
                  </w:r>
                  <w:r>
                    <w:br/>
                  </w:r>
                  <w:r>
                    <w:t xml:space="preserve">3. Somewhat concerned</w:t>
                  </w:r>
                  <w:r>
                    <w:br/>
                  </w:r>
                  <w:r>
                    <w:t xml:space="preserve">4. Very concerned</w:t>
                  </w:r>
                </w:p>
              </w:tc>
              <w:tc>
                <w:tcPr/>
                <w:p>
                  <w:pPr>
                    <w:pStyle w:val="Compact"/>
                    <w:jc w:val="left"/>
                    <w:jc w:val="center"/>
                  </w:pPr>
                  <w:r>
                    <w:t xml:space="preserve">2927 (14.9%)</w:t>
                  </w:r>
                  <w:r>
                    <w:br/>
                  </w:r>
                  <w:r>
                    <w:t xml:space="preserve">5453 (27.7%)</w:t>
                  </w:r>
                  <w:r>
                    <w:br/>
                  </w:r>
                  <w:r>
                    <w:t xml:space="preserve">6110 (31.1%)</w:t>
                  </w:r>
                  <w:r>
                    <w:br/>
                  </w:r>
                  <w:r>
                    <w:t xml:space="preserve">5179 (26.3%)</w:t>
                  </w:r>
                </w:p>
              </w:tc>
              <w:tc>
                <w:tcPr/>
                <w:p>
                  <w:pPr>
                    <w:pStyle w:val="Compact"/>
                    <w:jc w:val="left"/>
                    <w:jc w:val="center"/>
                  </w:pPr>
                  <w:r>
                    <w:t xml:space="preserve">19669</w:t>
                  </w:r>
                  <w:r>
                    <w:br/>
                  </w:r>
                  <w:r>
                    <w:t xml:space="preserve">(100.0%)</w:t>
                  </w:r>
                </w:p>
              </w:tc>
            </w:tr>
            <w:tr>
              <w:tc>
                <w:tcPr/>
                <w:p>
                  <w:pPr>
                    <w:pStyle w:val="Compact"/>
                    <w:jc w:val="left"/>
                    <w:jc w:val="center"/>
                  </w:pPr>
                  <w:r>
                    <w:t xml:space="preserve">Technological displacement</w:t>
                  </w:r>
                </w:p>
              </w:tc>
              <w:tc>
                <w:tcPr/>
                <w:p>
                  <w:pPr>
                    <w:pStyle w:val="Compact"/>
                    <w:jc w:val="left"/>
                    <w:jc w:val="center"/>
                  </w:pPr>
                  <w:r>
                    <w:t xml:space="preserve">Mean (sd) : 2.1 (0.9)</w:t>
                  </w:r>
                  <w:r>
                    <w:br/>
                  </w:r>
                  <w:r>
                    <w:t xml:space="preserve">min &lt; med &lt; max:</w:t>
                  </w:r>
                  <w:r>
                    <w:br/>
                  </w:r>
                  <w:r>
                    <w:t xml:space="preserve">1 &lt; 2 &lt; 4</w:t>
                  </w:r>
                  <w:r>
                    <w:br/>
                  </w:r>
                  <w:r>
                    <w:t xml:space="preserve">IQR (CV) : 1.3 (0.4)</w:t>
                  </w:r>
                </w:p>
              </w:tc>
              <w:tc>
                <w:tcPr/>
                <w:p>
                  <w:pPr>
                    <w:pStyle w:val="Compact"/>
                    <w:jc w:val="left"/>
                    <w:jc w:val="center"/>
                  </w:pPr>
                  <w:r>
                    <w:t xml:space="preserve">13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Perceived technological benefit</w:t>
                  </w:r>
                </w:p>
              </w:tc>
              <w:tc>
                <w:tcPr/>
                <w:p>
                  <w:pPr>
                    <w:pStyle w:val="Compact"/>
                    <w:jc w:val="left"/>
                    <w:jc w:val="center"/>
                  </w:pPr>
                  <w:r>
                    <w:t xml:space="preserve">Mean (sd) : 2.6 (0.8)</w:t>
                  </w:r>
                  <w:r>
                    <w:br/>
                  </w:r>
                  <w:r>
                    <w:t xml:space="preserve">min &lt; med &lt; max:</w:t>
                  </w:r>
                  <w:r>
                    <w:br/>
                  </w:r>
                  <w:r>
                    <w:t xml:space="preserve">1 &lt; 2.7 &lt; 4</w:t>
                  </w:r>
                  <w:r>
                    <w:br/>
                  </w:r>
                  <w:r>
                    <w:t xml:space="preserve">IQR (CV) : 1 (0.3)</w:t>
                  </w:r>
                </w:p>
              </w:tc>
              <w:tc>
                <w:tcPr/>
                <w:p>
                  <w:pPr>
                    <w:pStyle w:val="Compact"/>
                    <w:jc w:val="left"/>
                    <w:jc w:val="center"/>
                  </w:pPr>
                  <w:r>
                    <w:t xml:space="preserve">13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Deservingness of others</w:t>
                  </w:r>
                </w:p>
              </w:tc>
              <w:tc>
                <w:tcPr/>
                <w:p>
                  <w:pPr>
                    <w:pStyle w:val="Compact"/>
                    <w:jc w:val="left"/>
                    <w:jc w:val="center"/>
                  </w:pPr>
                  <w:r>
                    <w:t xml:space="preserve">1. Strongly disagree</w:t>
                  </w:r>
                  <w:r>
                    <w:br/>
                  </w:r>
                  <w:r>
                    <w:t xml:space="preserve">2. Disagree</w:t>
                  </w:r>
                  <w:r>
                    <w:br/>
                  </w:r>
                  <w:r>
                    <w:t xml:space="preserve">3. Neither agree nor disagre</w:t>
                  </w:r>
                  <w:r>
                    <w:br/>
                  </w:r>
                  <w:r>
                    <w:t xml:space="preserve">4. Agree</w:t>
                  </w:r>
                  <w:r>
                    <w:br/>
                  </w:r>
                  <w:r>
                    <w:t xml:space="preserve">5. Strongly agree</w:t>
                  </w:r>
                </w:p>
              </w:tc>
              <w:tc>
                <w:tcPr/>
                <w:p>
                  <w:pPr>
                    <w:pStyle w:val="Compact"/>
                    <w:jc w:val="left"/>
                    <w:jc w:val="center"/>
                  </w:pPr>
                  <w:r>
                    <w:t xml:space="preserve">624 ( 3.2%)</w:t>
                  </w:r>
                  <w:r>
                    <w:br/>
                  </w:r>
                  <w:r>
                    <w:t xml:space="preserve">1727 ( 8.8%)</w:t>
                  </w:r>
                  <w:r>
                    <w:br/>
                  </w:r>
                  <w:r>
                    <w:t xml:space="preserve">4434 (22.5%)</w:t>
                  </w:r>
                  <w:r>
                    <w:br/>
                  </w:r>
                  <w:r>
                    <w:t xml:space="preserve">6670 (33.9%)</w:t>
                  </w:r>
                  <w:r>
                    <w:br/>
                  </w:r>
                  <w:r>
                    <w:t xml:space="preserve">6214 (31.6%)</w:t>
                  </w:r>
                </w:p>
              </w:tc>
              <w:tc>
                <w:tcPr/>
                <w:p>
                  <w:pPr>
                    <w:pStyle w:val="Compact"/>
                    <w:jc w:val="left"/>
                    <w:jc w:val="center"/>
                  </w:pPr>
                  <w:r>
                    <w:t xml:space="preserve">19669</w:t>
                  </w:r>
                  <w:r>
                    <w:br/>
                  </w:r>
                  <w:r>
                    <w:t xml:space="preserve">(100.0%)</w:t>
                  </w:r>
                </w:p>
              </w:tc>
            </w:tr>
            <w:tr>
              <w:tc>
                <w:tcPr/>
                <w:p>
                  <w:pPr>
                    <w:pStyle w:val="Compact"/>
                    <w:jc w:val="left"/>
                    <w:jc w:val="center"/>
                  </w:pPr>
                  <w:r>
                    <w:t xml:space="preserve">Welfare regime</w:t>
                  </w:r>
                </w:p>
              </w:tc>
              <w:tc>
                <w:tcPr/>
                <w:p>
                  <w:pPr>
                    <w:pStyle w:val="Compact"/>
                    <w:jc w:val="left"/>
                    <w:jc w:val="center"/>
                  </w:pPr>
                  <w:r>
                    <w:t xml:space="preserve">1. Liberal</w:t>
                  </w:r>
                  <w:r>
                    <w:br/>
                  </w:r>
                  <w:r>
                    <w:t xml:space="preserve">2. Social-democratic</w:t>
                  </w:r>
                  <w:r>
                    <w:br/>
                  </w:r>
                  <w:r>
                    <w:t xml:space="preserve">3. Conservative</w:t>
                  </w:r>
                </w:p>
              </w:tc>
              <w:tc>
                <w:tcPr/>
                <w:p>
                  <w:pPr>
                    <w:pStyle w:val="Compact"/>
                    <w:jc w:val="left"/>
                    <w:jc w:val="center"/>
                  </w:pPr>
                  <w:r>
                    <w:t xml:space="preserve">6563 (33.4%)</w:t>
                  </w:r>
                  <w:r>
                    <w:br/>
                  </w:r>
                  <w:r>
                    <w:t xml:space="preserve">2957 (15.0%)</w:t>
                  </w:r>
                  <w:r>
                    <w:br/>
                  </w:r>
                  <w:r>
                    <w:t xml:space="preserve">10149 (51.6%)</w:t>
                  </w:r>
                </w:p>
              </w:tc>
              <w:tc>
                <w:tcPr/>
                <w:p>
                  <w:pPr>
                    <w:pStyle w:val="Compact"/>
                    <w:jc w:val="left"/>
                    <w:jc w:val="center"/>
                  </w:pPr>
                  <w:r>
                    <w:t xml:space="preserve">19669</w:t>
                  </w:r>
                  <w:r>
                    <w:br/>
                  </w:r>
                  <w:r>
                    <w:t xml:space="preserve">(100.0%)</w:t>
                  </w:r>
                </w:p>
              </w:tc>
            </w:tr>
            <w:tr>
              <w:tc>
                <w:tcPr/>
                <w:p>
                  <w:pPr>
                    <w:pStyle w:val="Compact"/>
                    <w:jc w:val="left"/>
                    <w:jc w:val="center"/>
                  </w:pPr>
                  <w:r>
                    <w:t xml:space="preserve">Gini coefficient (disposable income)</w:t>
                  </w:r>
                </w:p>
              </w:tc>
              <w:tc>
                <w:tcPr/>
                <w:p>
                  <w:pPr>
                    <w:pStyle w:val="Compact"/>
                    <w:jc w:val="left"/>
                    <w:jc w:val="center"/>
                  </w:pPr>
                  <w:r>
                    <w:t xml:space="preserve">Mean (sd) : 32.8 (5)</w:t>
                  </w:r>
                  <w:r>
                    <w:br/>
                  </w:r>
                  <w:r>
                    <w:t xml:space="preserve">min &lt; med &lt; max:</w:t>
                  </w:r>
                  <w:r>
                    <w:br/>
                  </w:r>
                  <w:r>
                    <w:t xml:space="preserve">24.7 &lt; 32.4 &lt; 43.7</w:t>
                  </w:r>
                  <w:r>
                    <w:br/>
                  </w:r>
                  <w:r>
                    <w:t xml:space="preserve">IQR (CV) : 5 (0.2)</w:t>
                  </w:r>
                </w:p>
              </w:tc>
              <w:tc>
                <w:tcPr/>
                <w:p>
                  <w:pPr>
                    <w:pStyle w:val="Compact"/>
                    <w:jc w:val="left"/>
                    <w:jc w:val="center"/>
                  </w:pPr>
                  <w:r>
                    <w:t xml:space="preserve">26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GDP per capita (PPP)</w:t>
                  </w:r>
                </w:p>
              </w:tc>
              <w:tc>
                <w:tcPr/>
                <w:p>
                  <w:pPr>
                    <w:pStyle w:val="Compact"/>
                    <w:jc w:val="left"/>
                    <w:jc w:val="center"/>
                  </w:pPr>
                  <w:r>
                    <w:t xml:space="preserve">Mean (sd) : 57093.7 (20396.3)</w:t>
                  </w:r>
                  <w:r>
                    <w:br/>
                  </w:r>
                  <w:r>
                    <w:t xml:space="preserve">min &lt; med &lt; max:</w:t>
                  </w:r>
                  <w:r>
                    <w:br/>
                  </w:r>
                  <w:r>
                    <w:t xml:space="preserve">21970.4 &lt; 53412.1 &lt; 118833.3</w:t>
                  </w:r>
                  <w:r>
                    <w:br/>
                  </w:r>
                  <w:r>
                    <w:t xml:space="preserve">IQR (CV) : 18634.9 (0.4)</w:t>
                  </w:r>
                </w:p>
              </w:tc>
              <w:tc>
                <w:tcPr/>
                <w:p>
                  <w:pPr>
                    <w:pStyle w:val="Compact"/>
                    <w:jc w:val="left"/>
                    <w:jc w:val="center"/>
                  </w:pPr>
                  <w:r>
                    <w:t xml:space="preserve">27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Unemployment rate (%)</w:t>
                  </w:r>
                </w:p>
              </w:tc>
              <w:tc>
                <w:tcPr/>
                <w:p>
                  <w:pPr>
                    <w:pStyle w:val="Compact"/>
                    <w:jc w:val="left"/>
                    <w:jc w:val="center"/>
                  </w:pPr>
                  <w:r>
                    <w:t xml:space="preserve">Mean (sd) : 5.7 (2.3)</w:t>
                  </w:r>
                  <w:r>
                    <w:br/>
                  </w:r>
                  <w:r>
                    <w:t xml:space="preserve">min &lt; med &lt; max:</w:t>
                  </w:r>
                  <w:r>
                    <w:br/>
                  </w:r>
                  <w:r>
                    <w:t xml:space="preserve">2.7 &lt; 5.2 &lt; 11.4</w:t>
                  </w:r>
                  <w:r>
                    <w:br/>
                  </w:r>
                  <w:r>
                    <w:t xml:space="preserve">IQR (CV) : 3.2 (0.4)</w:t>
                  </w:r>
                </w:p>
              </w:tc>
              <w:tc>
                <w:tcPr/>
                <w:p>
                  <w:pPr>
                    <w:pStyle w:val="Compact"/>
                    <w:jc w:val="left"/>
                    <w:jc w:val="center"/>
                  </w:pPr>
                  <w:r>
                    <w:t xml:space="preserve">25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Social expenditure (% of GDP)</w:t>
                  </w:r>
                </w:p>
              </w:tc>
              <w:tc>
                <w:tcPr/>
                <w:p>
                  <w:pPr>
                    <w:pStyle w:val="Compact"/>
                    <w:jc w:val="left"/>
                    <w:jc w:val="center"/>
                  </w:pPr>
                  <w:r>
                    <w:t xml:space="preserve">Mean (sd) : 21.5 (6)</w:t>
                  </w:r>
                  <w:r>
                    <w:br/>
                  </w:r>
                  <w:r>
                    <w:t xml:space="preserve">min &lt; med &lt; max:</w:t>
                  </w:r>
                  <w:r>
                    <w:br/>
                  </w:r>
                  <w:r>
                    <w:t xml:space="preserve">10 &lt; 23 &lt; 31.6</w:t>
                  </w:r>
                  <w:r>
                    <w:br/>
                  </w:r>
                  <w:r>
                    <w:t xml:space="preserve">IQR (CV) : 10.1 (0.3)</w:t>
                  </w:r>
                </w:p>
              </w:tc>
              <w:tc>
                <w:tcPr/>
                <w:p>
                  <w:pPr>
                    <w:pStyle w:val="Compact"/>
                    <w:jc w:val="left"/>
                    <w:jc w:val="center"/>
                  </w:pPr>
                  <w:r>
                    <w:t xml:space="preserve">27 distinct values</w:t>
                  </w:r>
                </w:p>
              </w:tc>
              <w:tc>
                <w:tcPr/>
                <w:p>
                  <w:pPr>
                    <w:pStyle w:val="Compact"/>
                    <w:jc w:val="left"/>
                    <w:jc w:val="center"/>
                  </w:pPr>
                  <w:r>
                    <w:t xml:space="preserve">19669</w:t>
                  </w:r>
                  <w:r>
                    <w:br/>
                  </w:r>
                  <w:r>
                    <w:t xml:space="preserve">(100.0%)</w:t>
                  </w:r>
                </w:p>
              </w:tc>
            </w:tr>
          </w:tbl>
          <w:bookmarkEnd w:id="25"/>
          <w:p/>
        </w:tc>
      </w:tr>
    </w:tbl>
    <w:bookmarkEnd w:id="26"/>
    <w:bookmarkStart w:id="28" w:name="methods"/>
    <w:p>
      <w:pPr>
        <w:pStyle w:val="Heading2"/>
      </w:pPr>
      <w:r>
        <w:t xml:space="preserve">2.3 Methods</w:t>
      </w:r>
    </w:p>
    <w:p>
      <w:pPr>
        <w:pStyle w:val="FirstParagraph"/>
      </w:pPr>
      <w:r>
        <w:t xml:space="preserve">The hypotheses were pre-registered on the Open Science Framework (anonymised view-only</w:t>
      </w:r>
      <w:r>
        <w:t xml:space="preserve"> </w:t>
      </w:r>
      <w:hyperlink r:id="rId27">
        <w:r>
          <w:rPr>
            <w:rStyle w:val="Hyperlink"/>
          </w:rPr>
          <w:t xml:space="preserve">link</w:t>
        </w:r>
      </w:hyperlink>
      <w:r>
        <w:t xml:space="preserve">). Statistical analyses were conducted in R version 4.3.2, and the models are estimated with the clmm function of the ordinal package</w:t>
      </w:r>
      <w:r>
        <w:t xml:space="preserve"> </w:t>
      </w:r>
      <w:r>
        <w:t xml:space="preserve">(</w:t>
      </w:r>
      <w:hyperlink w:anchor="ref-haubo_cumulative_2018">
        <w:r>
          <w:rPr>
            <w:rStyle w:val="Hyperlink"/>
          </w:rPr>
          <w:t xml:space="preserve">Christensen, 2018</w:t>
        </w:r>
      </w:hyperlink>
      <w:r>
        <w:t xml:space="preserve">)</w:t>
      </w:r>
      <w:r>
        <w:t xml:space="preserve">.</w:t>
      </w:r>
    </w:p>
    <w:p>
      <w:pPr>
        <w:pStyle w:val="BodyText"/>
      </w:pPr>
      <w:r>
        <w:t xml:space="preserve">Multilevel ordinal logistic regression models with individuals nested in countries are used to examine the relationship between labour market position, the perceptions of technological displacement and benefit, the deservingness of others and perceived redistributive justice. This approach accounts for the hierarchical structure of the comparative data and decomposes the variance of the outcome into individual and country components</w:t>
      </w:r>
      <w:r>
        <w:t xml:space="preserve"> </w:t>
      </w:r>
      <w:r>
        <w:t xml:space="preserve">(</w:t>
      </w:r>
      <w:hyperlink w:anchor="ref-hox_multilevel_2017">
        <w:r>
          <w:rPr>
            <w:rStyle w:val="Hyperlink"/>
          </w:rPr>
          <w:t xml:space="preserve">Hox et al., 2017</w:t>
        </w:r>
      </w:hyperlink>
      <w:r>
        <w:t xml:space="preserve">;</w:t>
      </w:r>
      <w:r>
        <w:t xml:space="preserve"> </w:t>
      </w:r>
      <w:hyperlink w:anchor="ref-snijders_multilevel_2012">
        <w:r>
          <w:rPr>
            <w:rStyle w:val="Hyperlink"/>
          </w:rPr>
          <w:t xml:space="preserve">Snijders and Bosker, 2012</w:t>
        </w:r>
      </w:hyperlink>
      <w:r>
        <w:t xml:space="preserve">)</w:t>
      </w:r>
      <w:r>
        <w:t xml:space="preserve">, with random intercepts estimated for each country. An unconditional model without predictors is estimated first to establish the share of the variance located at the country level.</w:t>
      </w:r>
    </w:p>
    <w:p>
      <w:pPr>
        <w:pStyle w:val="BodyText"/>
      </w:pPr>
      <w:r>
        <w:t xml:space="preserve">The models are estimated sequentially. At the individual level, Model 1 enters the two labour market indicators, Model 2 adds job insecurity, Model 3 the two technological perceptions, Model 4 the perceived deservingness of others and Model 5 the sociodemographic controls. The country level is then incorporated, with the macroeconomic indicators in Models 6 and 7 and the welfare regime in Model 8.</w:t>
      </w:r>
    </w:p>
    <w:p>
      <w:pPr>
        <w:pStyle w:val="BodyText"/>
      </w:pPr>
      <w:r>
        <w:t xml:space="preserve">Model 9 introduces the interaction between the two labour market indicators, and Models 10 to 14 add cross-level interactions between the welfare regime and each individual-level predictor to test the moderation hypotheses. All the analyses use the individual survey weights provided by the OECD. The clmm function treats these as frequency weights, so the number of observations reported in the tables corresponds to the sum of the weights (17,296), while the models are estimated on the 19,669 respondents of the analytic sample.</w:t>
      </w:r>
    </w:p>
    <w:bookmarkEnd w:id="28"/>
    <w:bookmarkEnd w:id="29"/>
    <w:bookmarkStart w:id="42" w:name="analysis"/>
    <w:p>
      <w:pPr>
        <w:pStyle w:val="Heading1"/>
      </w:pPr>
      <w:r>
        <w:t xml:space="preserve">3. Analysis</w:t>
      </w:r>
    </w:p>
    <w:p>
      <w:pPr>
        <w:pStyle w:val="FirstParagraph"/>
      </w:pPr>
      <w:r>
        <w:t xml:space="preserve">﻿</w:t>
      </w:r>
    </w:p>
    <w:p>
      <w:pPr>
        <w:pStyle w:val="BodyText"/>
      </w:pPr>
      <w:hyperlink w:anchor="fig-correlation">
        <w:r>
          <w:rPr>
            <w:rStyle w:val="Hyperlink"/>
          </w:rPr>
          <w:t xml:space="preserve">Figure 2</w:t>
        </w:r>
      </w:hyperlink>
      <w:r>
        <w:t xml:space="preserve"> </w:t>
      </w:r>
      <w:r>
        <w:t xml:space="preserve">presents the correlation matrix of the main variables, with coefficients ranging from low to moderate. The strongest associations of perceived redistributive justice are with being a platform worker (r = 0.32, p &lt; 0.001), perceived technological benefit (r = 0.26, p &lt; 0.001) and technological displacement (r = 0.24, p &lt; 0.001), all of them positive and moderate. Deservingness of others, in contrast, shows a negative association (r = −0.16, p &lt; 0.01).</w:t>
      </w:r>
    </w:p>
    <w:p>
      <w:pPr>
        <w:pStyle w:val="BodyText"/>
      </w:pPr>
      <w:r>
        <w:t xml:space="preserve">Among the independent variables, concern about job and income loss correlates with being a platform worker (r = 0.15, p &lt; 0.001) and with the two technological perceptions (r = 0.30 with displacement; r = 0.17 with benefit). Technological displacement and perceived benefit are themselves positively correlated (r = 0.48), contrary to the initial intuition that risk and benefit perceptions would be negatively related.</w:t>
      </w:r>
    </w:p>
    <w:tbl>
      <w:tblPr>
        <w:tblStyle w:val="Table"/>
        <w:tblW w:type="pct" w:w="5000"/>
        <w:tblLayout w:type="fixed"/>
        <w:tblLook w:firstRow="0" w:lastRow="0" w:firstColumn="0" w:lastColumn="0" w:noHBand="0" w:noVBand="0" w:val="0000"/>
      </w:tblPr>
      <w:tblGrid>
        <w:gridCol w:w="7920"/>
      </w:tblGrid>
      <w:tr>
        <w:tc>
          <w:tcPr/>
          <w:bookmarkStart w:id="33" w:name="fig-correlation"/>
          <w:p>
            <w:pPr>
              <w:jc w:val="center"/>
            </w:pPr>
            <w:pPr>
              <w:jc w:val="left"/>
              <w:spacing w:before="200"/>
              <w:pStyle w:val="ImageCaption"/>
            </w:pPr>
            <w:r>
              <w:t xml:space="preserve">Figure 2: Correlation matrix of the main variables</w:t>
            </w:r>
          </w:p>
          <w:p>
            <w:pPr>
              <w:pStyle w:val="Compact"/>
              <w:jc w:val="center"/>
            </w:pPr>
            <w:r>
              <w:drawing>
                <wp:inline>
                  <wp:extent cx="4533900" cy="4533900"/>
                  <wp:effectExtent b="0" l="0" r="0" t="0"/>
                  <wp:docPr descr="" title="" id="31" name="Picture"/>
                  <a:graphic>
                    <a:graphicData uri="http://schemas.openxmlformats.org/drawingml/2006/picture">
                      <pic:pic>
                        <pic:nvPicPr>
                          <pic:cNvPr descr="output/figures/corrplot.png" id="32" name="Picture"/>
                          <pic:cNvPicPr>
                            <a:picLocks noChangeArrowheads="1" noChangeAspect="1"/>
                          </pic:cNvPicPr>
                        </pic:nvPicPr>
                        <pic:blipFill>
                          <a:blip r:embed="rId30"/>
                          <a:stretch>
                            <a:fillRect/>
                          </a:stretch>
                        </pic:blipFill>
                        <pic:spPr bwMode="auto">
                          <a:xfrm>
                            <a:off x="0" y="0"/>
                            <a:ext cx="4533900" cy="4533900"/>
                          </a:xfrm>
                          <a:prstGeom prst="rect">
                            <a:avLst/>
                          </a:prstGeom>
                          <a:noFill/>
                          <a:ln w="9525">
                            <a:noFill/>
                            <a:headEnd/>
                            <a:tailEnd/>
                          </a:ln>
                        </pic:spPr>
                      </pic:pic>
                    </a:graphicData>
                  </a:graphic>
                </wp:inline>
              </w:drawing>
            </w:r>
          </w:p>
          <w:bookmarkEnd w:id="33"/>
        </w:tc>
      </w:tr>
    </w:tbl>
    <w:bookmarkStart w:id="41" w:name="X2e6e994f6d6231464fb4cf63b4efb51841123d7"/>
    <w:p>
      <w:pPr>
        <w:pStyle w:val="Heading2"/>
      </w:pPr>
      <w:r>
        <w:t xml:space="preserve">3.1 Multilevel ordinal logistic regression models</w:t>
      </w:r>
    </w:p>
    <w:tbl>
      <w:tblPr>
        <w:tblStyle w:val="Table"/>
        <w:tblW w:type="pct" w:w="5000"/>
        <w:tblLayout w:type="fixed"/>
        <w:tblLook w:firstRow="0" w:lastRow="0" w:firstColumn="0" w:lastColumn="0" w:noHBand="0" w:noVBand="0" w:val="0000"/>
      </w:tblPr>
      <w:tblGrid>
        <w:gridCol w:w="7920"/>
      </w:tblGrid>
      <w:tr>
        <w:tc>
          <w:tcPr/>
          <w:bookmarkStart w:id="34" w:name="tbl-modelos"/>
          <w:p>
            <w:pPr>
              <w:jc w:val="center"/>
            </w:pPr>
            <w:pPr>
              <w:jc w:val="left"/>
              <w:spacing w:before="200"/>
              <w:pStyle w:val="ImageCaption"/>
            </w:pPr>
            <w:r>
              <w:t xml:space="preserve">Table 2: Multilevel models for perceived redistributive justice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68"/>
              <w:gridCol w:w="907"/>
              <w:gridCol w:w="907"/>
              <w:gridCol w:w="907"/>
              <w:gridCol w:w="907"/>
              <w:gridCol w:w="907"/>
              <w:gridCol w:w="907"/>
              <w:gridCol w:w="907"/>
              <w:gridCol w:w="907"/>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8</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worker (ref.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-0.063</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(ref.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1.177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1.193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0.854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0.787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Concern about job and income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0.372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0.366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0.348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Perceived technological benefit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0.439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-0.178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Gini coefficient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-0.086</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(0.097)</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GDP per capita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0.217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0.206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0.191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(0.084)</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Unemployment rate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(0.075)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 expenditure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(0.093)</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16"/>
                      <w:szCs w:val="16"/>
                      <w:color w:val="000000"/>
                    </w:rPr>
                    <w:t xml:space="preserve">Welfare regime (Ref.= 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-0.154</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-0.350 *</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(0.165)</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51477.596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51470.595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50025.832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49857.231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49766.775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49772.518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49791.434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49806.534</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 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Groups (Country)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r>
            <w:tr>
              <w:trPr>
                <w:trHeight w:val="360" w:hRule="auto"/>
              </w:trPr>
              body29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Variance: Country: (Intercept)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0.111</w:t>
                  </w:r>
                </w:p>
              </w:tc>
            </w:tr>
            <w:tr>
              <w:trPr>
                <w:trHeight w:val="360" w:hRule="auto"/>
              </w:trPr>
              footer 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4"/>
                      <w:szCs w:val="14"/>
                      <w:color w:val="000000"/>
                    </w:rPr>
                    <w:t xml:space="preserve">Note: Cells contain regression coefficients with standard errors in parentheses. * p &lt; 0.05; ** p &lt; 0.01; *** p &lt; 0.001. Models 5 to 8 control for sex, age, education and income; sex, age and income show significant effects, education does not.</w:t>
                  </w:r>
                </w:p>
              </w:tc>
            </w:tr>
          </w:tbl>
          <w:bookmarkEnd w:id="34"/>
        </w:tc>
      </w:tr>
    </w:tbl>
    <w:p>
      <w:pPr>
        <w:pStyle w:val="BodyText"/>
      </w:pPr>
      <w:r>
        <w:t xml:space="preserve">Cumulative-link mixed models were fitted for perceived redistributive justice, with a random intercept for country. Note that the ordinal package reports the number of observations as the sum of the sampling weights rather than the count of cases</w:t>
      </w:r>
      <w:r>
        <w:t xml:space="preserve"> </w:t>
      </w:r>
      <w:r>
        <w:t xml:space="preserve">(</w:t>
      </w:r>
      <w:hyperlink w:anchor="ref-haubo_cumulative_2018">
        <w:r>
          <w:rPr>
            <w:rStyle w:val="Hyperlink"/>
          </w:rPr>
          <w:t xml:space="preserve">Christensen, 2018</w:t>
        </w:r>
      </w:hyperlink>
      <w:r>
        <w:t xml:space="preserve">)</w:t>
      </w:r>
      <w:r>
        <w:t xml:space="preserve">; the models were therefore estimated on 19,669 respondents nested in 27 countries (weighted N = 17,296). Coefficients are cumulative log-odds, where a positive value indicates greater odds of reporting a higher category of perceived redistributive justice.</w:t>
      </w:r>
    </w:p>
    <w:p>
      <w:pPr>
        <w:pStyle w:val="BodyText"/>
      </w:pPr>
      <w:hyperlink w:anchor="tbl-modelos">
        <w:r>
          <w:rPr>
            <w:rStyle w:val="Hyperlink"/>
          </w:rPr>
          <w:t xml:space="preserve">Table 2</w:t>
        </w:r>
      </w:hyperlink>
      <w:r>
        <w:t xml:space="preserve"> </w:t>
      </w:r>
      <w:r>
        <w:t xml:space="preserve">follows a block-building logic at the individual level — type of employment (Model 1), concern about job and income loss (Model 2), the technological perceptions (Model 3), deservingness of others (Model 4) and sociodemographic controls (Model 5). Besides, country level variables was added in the next models. Gini coefficient and GDP per capita (Model 6), unemployment rate and social expenditure (Model 7) and welfare regime (Model 8), with all macro indicators standardised. Between the first and the final model the country-level variance declines from 0.238 to 0.111, with the sharpest drop when the macroeconomic indicators enter (0.227 to 0.135 in Model 6). The BIC reaches its minimum in Model 5 (49,766.8) and rises slightly across the macro blocks, indicating that the country-level indicators absorb between-country variance without improving overall fit.</w:t>
      </w:r>
    </w:p>
    <w:p>
      <w:pPr>
        <w:pStyle w:val="BodyText"/>
      </w:pPr>
      <w:r>
        <w:t xml:space="preserve">Platform work is the strongest and most stable predictor. In Model 1 its coefficient is 1.177 (p &lt; 0.001); it attenuates as the technological and deservingness variables enter but remains large in the fully adjusted Model 8 (0.787, p &lt; 0.001), so platform workers have roughly twice the odds of expressing higher perceived redistributive justice. Self-employment is non-significant throughout (≈ −0.06). Concern about job and income loss is negative and strengthens once technological perceptions are held constant, moving from −0.058 in Model 2 to −0.163 in Model 8 (p &lt; 0.001).</w:t>
      </w:r>
    </w:p>
    <w:p>
      <w:pPr>
        <w:pStyle w:val="BodyText"/>
      </w:pPr>
      <w:r>
        <w:t xml:space="preserve">The technological perceptions (from Model 3) are uniformly positive. Perceived technological benefit carries the largest effect (≈ 0.44–0.47, p &lt; 0.001), followed by technological displacement (≈ 0.35–0.37, p &lt; 0.001). The positive sign on technological displacement runs counter to the hypothesised direction, a point developed further in the discussion. Deservingness of others (Model 4) is negative and stable (≈ −0.18, p &lt; 0.001), and the addition of sociodemographic controls in Model 5 leaves this individual-level structure essentially unchanged.</w:t>
      </w:r>
    </w:p>
    <w:p>
      <w:pPr>
        <w:pStyle w:val="BodyText"/>
      </w:pPr>
      <w:r>
        <w:t xml:space="preserve">At the country level, GDP per capita is the only macroeconomic indicator with a significant association: perceived redistributive justice is higher in richer countries (0.217, p &lt; 0.05 in Model 6; 0.191, p &lt; 0.05 in Model 8), and its inclusion absorbs a substantial share of the between-country variance. The Gini coefficient, the unemployment rate and social expenditure are not significant. Welfare regime, entered in Model 8 net of these indicators, shows one significant contrast: perceived justice is lower in conservative regimes than in liberal ones (−0.350, p &lt; 0.05), while the social-democratic contrast is non-significant (−0.154).</w:t>
      </w:r>
    </w:p>
    <w:tbl>
      <w:tblPr>
        <w:tblStyle w:val="Table"/>
        <w:tblW w:type="pct" w:w="5000"/>
        <w:tblLayout w:type="fixed"/>
        <w:tblLook w:firstRow="0" w:lastRow="0" w:firstColumn="0" w:lastColumn="0" w:noHBand="0" w:noVBand="0" w:val="0000"/>
      </w:tblPr>
      <w:tblGrid>
        <w:gridCol w:w="7920"/>
      </w:tblGrid>
      <w:tr>
        <w:tc>
          <w:tcPr/>
          <w:bookmarkStart w:id="35" w:name="tbl-interact"/>
          <w:p>
            <w:pPr>
              <w:jc w:val="center"/>
            </w:pPr>
            <w:pPr>
              <w:jc w:val="left"/>
              <w:spacing w:before="200"/>
              <w:pStyle w:val="ImageCaption"/>
            </w:pPr>
            <w:r>
              <w:t xml:space="preserve">Table 3: Multilevel interaction models for perceived redistributive justice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48"/>
              <w:gridCol w:w="992"/>
              <w:gridCol w:w="992"/>
              <w:gridCol w:w="992"/>
              <w:gridCol w:w="992"/>
              <w:gridCol w:w="992"/>
              <w:gridCol w:w="99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14</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worker (ref.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(ref.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0.873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0.957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0.786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Concern about job and income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0.455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0.346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-0.129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0.057</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(0.287)</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(0.200)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X Platform worker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-0.368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-0.596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Job and income loss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Job and income loss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-0.258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-0.058</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(0.041)</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-0.081 **</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(0.030)</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49806.029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49813.878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49805.971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49812.848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49797.261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49818.774</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 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Groups (Country)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r>
            <w:tr>
              <w:trPr>
                <w:trHeight w:val="360"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Variance: Country: (Intercept)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0.111</w:t>
                  </w:r>
                </w:p>
              </w:tc>
            </w:tr>
            <w:tr>
              <w:trPr>
                <w:trHeight w:val="360" w:hRule="auto"/>
              </w:trPr>
              footer 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4"/>
                      <w:szCs w:val="14"/>
                      <w:color w:val="000000"/>
                    </w:rPr>
                    <w:t xml:space="preserve">Note: Cells contain regression coefficients with standard errors in parentheses. * p &lt; 0.05; ** p &lt; 0.01; *** p &lt; 0.001. All models control for sex, age, education and income; sex, age and income show significant effects, education does not.</w:t>
                  </w:r>
                </w:p>
              </w:tc>
            </w:tr>
          </w:tbl>
          <w:bookmarkEnd w:id="35"/>
        </w:tc>
      </w:tr>
    </w:tbl>
    <w:p>
      <w:pPr>
        <w:pStyle w:val="BodyText"/>
      </w:pPr>
      <w:hyperlink w:anchor="tbl-interact">
        <w:r>
          <w:rPr>
            <w:rStyle w:val="Hyperlink"/>
          </w:rPr>
          <w:t xml:space="preserve">Table 3</w:t>
        </w:r>
      </w:hyperlink>
      <w:r>
        <w:t xml:space="preserve"> </w:t>
      </w:r>
      <w:r>
        <w:t xml:space="preserve">takes the fully adjusted specification and introduces one interaction at a time: self-employed × platform (Model 9), followed by the cross-level products of welfare regime with self-employment (Model 10), platform work (Model 11), concern about job and income loss (Model 12), technological displacement (Model 13) and deservingness (Model 14). The BIC varies little across these models (49,797.3–49,818.8) and the country variance is stable (≈ 0.11). The four regime moderations are displayed in</w:t>
      </w:r>
      <w:r>
        <w:t xml:space="preserve"> </w:t>
      </w:r>
      <w:hyperlink w:anchor="fig-interact">
        <w:r>
          <w:rPr>
            <w:rStyle w:val="Hyperlink"/>
          </w:rPr>
          <w:t xml:space="preserve">Figure 3</w:t>
        </w:r>
      </w:hyperlink>
      <w:r>
        <w:t xml:space="preserve">; because the emmeans package</w:t>
      </w:r>
      <w:r>
        <w:t xml:space="preserve"> </w:t>
      </w:r>
      <w:r>
        <w:t xml:space="preserve">(</w:t>
      </w:r>
      <w:hyperlink w:anchor="ref-lenth_emmeans_2017">
        <w:r>
          <w:rPr>
            <w:rStyle w:val="Hyperlink"/>
          </w:rPr>
          <w:t xml:space="preserve">Lenth and Piaskowski, 2017</w:t>
        </w:r>
      </w:hyperlink>
      <w:r>
        <w:t xml:space="preserve">)</w:t>
      </w:r>
      <w:r>
        <w:t xml:space="preserve"> </w:t>
      </w:r>
      <w:r>
        <w:t xml:space="preserve">evaluates the fitted model on the latent scale, the panels show predicted latent propensity rather than category-specific probabilities, which is why each moderation reduces to a single linear panel.</w:t>
      </w:r>
    </w:p>
    <w:p>
      <w:pPr>
        <w:pStyle w:val="BodyText"/>
      </w:pPr>
      <w:r>
        <w:t xml:space="preserve">The individual-level interaction is negative (self-employed × platform = −0.368 (p &lt; 0.01)), so the platform effect is weaker among workers who are simultaneously self-employed. The cross-level terms then qualify the regime contrasts of</w:t>
      </w:r>
      <w:r>
        <w:t xml:space="preserve"> </w:t>
      </w:r>
      <w:hyperlink w:anchor="tbl-modelos">
        <w:r>
          <w:rPr>
            <w:rStyle w:val="Hyperlink"/>
          </w:rPr>
          <w:t xml:space="preserve">Table 2</w:t>
        </w:r>
      </w:hyperlink>
      <w:r>
        <w:t xml:space="preserve">. Self-employment matters only in social-democratic regimes (× social-democratic = −0.418, p &lt; 0.001; × conservative n.s.), shown in the top-left panel of</w:t>
      </w:r>
      <w:r>
        <w:t xml:space="preserve"> </w:t>
      </w:r>
      <w:hyperlink w:anchor="fig-interact">
        <w:r>
          <w:rPr>
            <w:rStyle w:val="Hyperlink"/>
          </w:rPr>
          <w:t xml:space="preserve">Figure 3</w:t>
        </w:r>
      </w:hyperlink>
      <w:r>
        <w:t xml:space="preserve"> </w:t>
      </w:r>
      <w:r>
        <w:t xml:space="preserve">as the steep social-democratic decline against flat liberal and conservative lines. Platform work is positive across all regimes (top right), but its slope is much shallower under social-democratic arrangements (× social-democratic = −0.596, p &lt; 0.001; × conservative n.s.).</w:t>
      </w:r>
    </w:p>
    <w:p>
      <w:pPr>
        <w:pStyle w:val="BodyText"/>
      </w:pPr>
      <w:r>
        <w:t xml:space="preserve">The remaining interaction terms are also negative. Technological displacement is positive in every regime (bottom left) but significantly attenuated relative to liberal regimes (× social-democratic = −0.258; × conservative = −0.136; both p &lt; 0.001). Deservingness is negative throughout (bottom right), and here the negative interaction implies amplification rather than attenuation, where the slope is steepest in conservative regimes (× conservative = −0.081, p &lt; 0.01), with a non-significant social-democratic term. Concern about job and income loss interacts significantly only with the conservative contrast (−0.115, p &lt; 0.001). The conservative main effect, significant in Models 9 to 11 (≈ −0.33 to −0.35, p &lt; 0.05), loses significance in Models 12 to 14, where it refers to the contrast at the zero point of the interacted predictor rather than to an average difference.</w:t>
      </w:r>
    </w:p>
    <w:p>
      <w:pPr>
        <w:pStyle w:val="BodyText"/>
      </w:pPr>
      <w:r>
        <w:t xml:space="preserve">A consistent pattern emerges throught the models, where every regime interaction with an individual-level predictor is negative, so each association is weaker (or more adverse) than under liberal arrangements. For platform work and technological displacement this translates into visibly flatter slopes in social-democratic regimes, consistent with the view that encompassing welfare institutions partially decouple distributive attitudes from individual technological exposure. The exceptions to this dampening logic are self-employment, which becomes consequential (and negative) only under social-democratic arrangements, and deservingness, whose negative gradient is steepest in conservative regimes.</w:t>
      </w:r>
    </w:p>
    <w:tbl>
      <w:tblPr>
        <w:tblStyle w:val="Table"/>
        <w:tblW w:type="pct" w:w="5000"/>
        <w:tblLayout w:type="fixed"/>
        <w:tblLook w:firstRow="0" w:lastRow="0" w:firstColumn="0" w:lastColumn="0" w:noHBand="0" w:noVBand="0" w:val="0000"/>
      </w:tblPr>
      <w:tblGrid>
        <w:gridCol w:w="7920"/>
      </w:tblGrid>
      <w:tr>
        <w:tc>
          <w:tcPr/>
          <w:bookmarkStart w:id="40" w:name="fig-interact"/>
          <w:p>
            <w:pPr>
              <w:jc w:val="center"/>
            </w:pPr>
            <w:pPr>
              <w:jc w:val="left"/>
              <w:spacing w:before="200"/>
              <w:pStyle w:val="ImageCaption"/>
            </w:pPr>
            <w:r>
              <w:t xml:space="preserve">Figure 3: Estimated latent propensity for perceived redistributive justice, by selected predictors across welfare regimes</w:t>
            </w:r>
          </w:p>
          <w:tbl>
            <w:tblPr>
              <w:tblStyle w:val="Table"/>
              <w:tblW w:type="pct" w:w="5000"/>
              <w:tblLayout w:type="fixed"/>
              <w:tblLook w:firstRow="0" w:lastRow="0" w:firstColumn="0" w:lastColumn="0" w:noHBand="0" w:noVBand="0" w:val="0000"/>
            </w:tblPr>
            <w:tblGrid>
              <w:gridCol w:w="7920"/>
            </w:tblGrid>
            <w:tr>
              <w:tc>
                <w:tcPr/>
                <w:bookmarkStart w:id="39" w:name="fig-interact"/>
                <w:p>
                  <w:pPr>
                    <w:pStyle w:val="Compact"/>
                    <w:jc w:val="center"/>
                    <w:jc w:val="center"/>
                  </w:pPr>
                  <w:r>
                    <w:drawing>
                      <wp:inline>
                        <wp:extent cx="4533900" cy="2418079"/>
                        <wp:effectExtent b="0" l="0" r="0" t="0"/>
                        <wp:docPr descr="" title="" id="37" name="Picture"/>
                        <a:graphic>
                          <a:graphicData uri="http://schemas.openxmlformats.org/drawingml/2006/picture">
                            <pic:pic>
                              <pic:nvPicPr>
                                <pic:cNvPr descr="paper-anonymized_files/figure-docx/fig-interact-1.png" id="38" name="Picture"/>
                                <pic:cNvPicPr>
                                  <a:picLocks noChangeArrowheads="1" noChangeAspect="1"/>
                                </pic:cNvPicPr>
                              </pic:nvPicPr>
                              <pic:blipFill>
                                <a:blip r:embed="rId36"/>
                                <a:stretch>
                                  <a:fillRect/>
                                </a:stretch>
                              </pic:blipFill>
                              <pic:spPr bwMode="auto">
                                <a:xfrm>
                                  <a:off x="0" y="0"/>
                                  <a:ext cx="4533900" cy="2418079"/>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Source: own elaboration with data from the OECD, Risks That Matter survey 2024.</w:t>
                  </w:r>
                </w:p>
                <w:bookmarkEnd w:id="39"/>
              </w:tc>
            </w:tr>
          </w:tbl>
          <w:bookmarkEnd w:id="40"/>
          <w:p/>
        </w:tc>
      </w:tr>
    </w:tbl>
    <w:bookmarkEnd w:id="41"/>
    <w:bookmarkEnd w:id="42"/>
    <w:bookmarkStart w:id="43" w:name="discussion"/>
    <w:p>
      <w:pPr>
        <w:pStyle w:val="Heading1"/>
      </w:pPr>
      <w:r>
        <w:t xml:space="preserve">4. Discussion</w:t>
      </w:r>
    </w:p>
    <w:p>
      <w:pPr>
        <w:pStyle w:val="FirstParagraph"/>
      </w:pPr>
      <w:r>
        <w:t xml:space="preserve">This article asked whether perceived redistributive justice between citizens and the state is anchored in labour-market position and in how workers anticipate technological change, and whether welfare institutions condition that relationship. The results give qualified support to the reciprocity framework that motivated the analysis, and their main interest lies where they depart from the risk-and-redistribution tradition from which the hypotheses were drawn. Concern about losing one’s job or income and the perception that others receive undeserved benefits both depress perceived justice (H2, H5), while perceiving technology as enabling raises it (H4), the largest effect among the technological perceptions. Two expectations failed. Non-standard employment was not associated with lower perceived justice, and platform workers in fact reported higher levels (H1); perceived displacement risk, expected to erode justice, was positively associated with it (H3). At the country level, perceived justice proved higher in richer countries, and the moderation analyses pointed to an institutional patterning that the regime main effects only partly capture.</w:t>
      </w:r>
    </w:p>
    <w:p>
      <w:pPr>
        <w:pStyle w:val="BodyText"/>
      </w:pPr>
      <w:r>
        <w:t xml:space="preserve">The confirmed hypotheses fit the moral-economy reading on which the study rests. Workers worried about losing their job or income over the coming year or two judge the exchange as less just (H2), and those who see others drawing unearned benefits extend that judgement to their own relationship with the system (H5), in line with the view that lateral deservingness assessments and self-referential justice belong to a single moral economy of welfare</w:t>
      </w:r>
      <w:r>
        <w:t xml:space="preserve"> </w:t>
      </w:r>
      <w:r>
        <w:t xml:space="preserve">(</w:t>
      </w:r>
      <w:hyperlink w:anchor="ref-mau_moral_2014">
        <w:r>
          <w:rPr>
            <w:rStyle w:val="Hyperlink"/>
          </w:rPr>
          <w:t xml:space="preserve">Mau, 2014</w:t>
        </w:r>
      </w:hyperlink>
      <w:r>
        <w:t xml:space="preserve">;</w:t>
      </w:r>
      <w:r>
        <w:t xml:space="preserve"> </w:t>
      </w:r>
      <w:hyperlink w:anchor="ref-vanoorschot_making_2006">
        <w:r>
          <w:rPr>
            <w:rStyle w:val="Hyperlink"/>
          </w:rPr>
          <w:t xml:space="preserve">Van Oorschot, 2006</w:t>
        </w:r>
      </w:hyperlink>
      <w:r>
        <w:t xml:space="preserve">)</w:t>
      </w:r>
      <w:r>
        <w:t xml:space="preserve">. That the enabling dimension of technology carries the largest effect (H4) is a reminder that workers do not approach technology only defensively. Its optimistic pole has received far less attention than its threatening counterpart, and it matters for welfare attitudes</w:t>
      </w:r>
      <w:r>
        <w:t xml:space="preserve"> </w:t>
      </w:r>
      <w:r>
        <w:t xml:space="preserve">(</w:t>
      </w:r>
      <w:hyperlink w:anchor="ref-autor_why_2015">
        <w:r>
          <w:rPr>
            <w:rStyle w:val="Hyperlink"/>
          </w:rPr>
          <w:t xml:space="preserve">Autor, 2015</w:t>
        </w:r>
      </w:hyperlink>
      <w:r>
        <w:t xml:space="preserve">;</w:t>
      </w:r>
      <w:r>
        <w:t xml:space="preserve"> </w:t>
      </w:r>
      <w:hyperlink w:anchor="ref-brougham_smart_2018">
        <w:r>
          <w:rPr>
            <w:rStyle w:val="Hyperlink"/>
          </w:rPr>
          <w:t xml:space="preserve">Brougham and Haar, 2018</w:t>
        </w:r>
      </w:hyperlink>
      <w:r>
        <w:t xml:space="preserve">)</w:t>
      </w:r>
      <w:r>
        <w:t xml:space="preserve">.</w:t>
      </w:r>
    </w:p>
    <w:p>
      <w:pPr>
        <w:pStyle w:val="BodyText"/>
      </w:pPr>
      <w:r>
        <w:t xml:space="preserve">Self-employment was unrelated to perceived redistributive justice throughout. This is unsurprising for a category that ranges from established professionals to precarious own-account workers, whose contrasting ties to the protection system plausibly offset one another. The reversal for platform work is harder to set aside, since in the fully adjusted model platform workers show roughly twice the odds of reporting higher perceived justice (OR ≈ 2.2). Part of the answer is compositional. Self-reported platform work in OECD samples is heterogeneous and captures supplementary and intermittent earners alongside the platform-dependent</w:t>
      </w:r>
      <w:r>
        <w:t xml:space="preserve"> </w:t>
      </w:r>
      <w:r>
        <w:t xml:space="preserve">(</w:t>
      </w:r>
      <w:hyperlink w:anchor="ref-schor_gig_2020">
        <w:r>
          <w:rPr>
            <w:rStyle w:val="Hyperlink"/>
          </w:rPr>
          <w:t xml:space="preserve">Schor, 2020</w:t>
        </w:r>
      </w:hyperlink>
      <w:r>
        <w:t xml:space="preserve">;</w:t>
      </w:r>
      <w:r>
        <w:t xml:space="preserve"> </w:t>
      </w:r>
      <w:hyperlink w:anchor="ref-vallas_what_2020">
        <w:r>
          <w:rPr>
            <w:rStyle w:val="Hyperlink"/>
          </w:rPr>
          <w:t xml:space="preserve">Vallas and Schor, 2020</w:t>
        </w:r>
      </w:hyperlink>
      <w:r>
        <w:t xml:space="preserve">)</w:t>
      </w:r>
      <w:r>
        <w:t xml:space="preserve">, and the negative self-employed × platform interaction places the effect among workers most likely to combine platform earnings with other employment. The other part is substantive. Perceived redistributive justice is a judgement of proportionality. Workers loosely attached to the contributory system contribute little and expect little, so a thin return can read as proportionate, while formal employees with visible contributions and clear entitlements may feel short-changed by the same comparison</w:t>
      </w:r>
      <w:r>
        <w:t xml:space="preserve"> </w:t>
      </w:r>
      <w:r>
        <w:t xml:space="preserve">(</w:t>
      </w:r>
      <w:hyperlink w:anchor="ref-schwander_who_2013">
        <w:r>
          <w:rPr>
            <w:rStyle w:val="Hyperlink"/>
          </w:rPr>
          <w:t xml:space="preserve">Schwander and Häusermann, 2013</w:t>
        </w:r>
      </w:hyperlink>
      <w:r>
        <w:t xml:space="preserve">)</w:t>
      </w:r>
      <w:r>
        <w:t xml:space="preserve">.</w:t>
      </w:r>
    </w:p>
    <w:p>
      <w:pPr>
        <w:pStyle w:val="BodyText"/>
      </w:pPr>
      <w:r>
        <w:t xml:space="preserve">The positive association between perceived displacement risk and perceived redistributive justice (H3) is the departure with the most theoretical weight. Conceptually, the dependent variable evaluates the justice of one’s own exchange. It does not measure a demand for redistribution. The literature behind H3 shows that perceived risk raises the demand for protection</w:t>
      </w:r>
      <w:r>
        <w:t xml:space="preserve"> </w:t>
      </w:r>
      <w:r>
        <w:t xml:space="preserve">(</w:t>
      </w:r>
      <w:hyperlink w:anchor="ref-busemeyer_social_2022">
        <w:r>
          <w:rPr>
            <w:rStyle w:val="Hyperlink"/>
          </w:rPr>
          <w:t xml:space="preserve">Busemeyer and Sahm, 2022</w:t>
        </w:r>
      </w:hyperlink>
      <w:r>
        <w:t xml:space="preserve">;</w:t>
      </w:r>
      <w:r>
        <w:t xml:space="preserve"> </w:t>
      </w:r>
      <w:hyperlink w:anchor="ref-iversen_asset_2001">
        <w:r>
          <w:rPr>
            <w:rStyle w:val="Hyperlink"/>
          </w:rPr>
          <w:t xml:space="preserve">Iversen and Soskice, 2001</w:t>
        </w:r>
      </w:hyperlink>
      <w:r>
        <w:t xml:space="preserve">;</w:t>
      </w:r>
      <w:r>
        <w:t xml:space="preserve"> </w:t>
      </w:r>
      <w:hyperlink w:anchor="ref-thewissen_automation_2019">
        <w:r>
          <w:rPr>
            <w:rStyle w:val="Hyperlink"/>
          </w:rPr>
          <w:t xml:space="preserve">Thewissen and Rueda, 2019</w:t>
        </w:r>
      </w:hyperlink>
      <w:r>
        <w:t xml:space="preserve">)</w:t>
      </w:r>
      <w:r>
        <w:t xml:space="preserve">, yet wanting more redistribution and judging the present exchange as just are analytically distinct, and they need not move together. A worker may want the state to do more in the face of automation while still considering that, given what they pay, they receive a just share. The reversal therefore partly reflects the measurement of a different attitudinal object, and it reinforces the distinction between preferences and perceptions on which the article insists</w:t>
      </w:r>
      <w:r>
        <w:t xml:space="preserve"> </w:t>
      </w:r>
      <w:r>
        <w:t xml:space="preserve">(</w:t>
      </w:r>
      <w:hyperlink w:anchor="ref-roosma_just_2016">
        <w:r>
          <w:rPr>
            <w:rStyle w:val="Hyperlink"/>
          </w:rPr>
          <w:t xml:space="preserve">Roosma et al., 2016</w:t>
        </w:r>
      </w:hyperlink>
      <w:r>
        <w:t xml:space="preserve">)</w:t>
      </w:r>
      <w:r>
        <w:t xml:space="preserve">. Composition also plays a role. The diffusion of generative artificial intelligence has extended perceived exposure to formal, higher-skill and digitally engaged workers</w:t>
      </w:r>
      <w:r>
        <w:t xml:space="preserve"> </w:t>
      </w:r>
      <w:r>
        <w:t xml:space="preserve">(</w:t>
      </w:r>
      <w:hyperlink w:anchor="ref-gallego_automation_2022">
        <w:r>
          <w:rPr>
            <w:rStyle w:val="Hyperlink"/>
          </w:rPr>
          <w:t xml:space="preserve">Gallego and Kurer, 2022</w:t>
        </w:r>
      </w:hyperlink>
      <w:r>
        <w:t xml:space="preserve">)</w:t>
      </w:r>
      <w:r>
        <w:t xml:space="preserve">, who are precisely the workers with the most continuous link to the contributory system, so perceived risk now travels together with relative inclusion. The design of the sample reinforces this reading. Because the survey only administers these batteries to people in work, respondents who report high displacement risk are by construction those still employed despite the exposure they perceive, while workers already displaced have left the sample. What the coefficient captures is the judgement of exposed insiders, and exposed insiders have reasons of their own to view their exchange with the state favourably.</w:t>
      </w:r>
    </w:p>
    <w:p>
      <w:pPr>
        <w:pStyle w:val="BodyText"/>
      </w:pPr>
      <w:r>
        <w:t xml:space="preserve">The moderation patterns are consistent with this reading, though they should be read with the caution that 27 countries impose on cross-level estimates. If the positive coefficient reflected institutional reassurance, it should be largest where protection is most encompassing. The estimated slope is instead steepest in liberal regimes and flatter in social-democratic and conservative ones (H8). The time horizon of the items points the same way. The displacement battery is prospective and abstract, asking about a five-year horizon, while the job-insecurity item that behaves as predicted (H2) concerns concrete income loss over the next year or two. Tangible short-term insecurity erodes perceived justice. Distant technological prognosis does not, and it may instead index a reflective engagement with the future of work that comes bundled with other favourable dispositions</w:t>
      </w:r>
      <w:r>
        <w:t xml:space="preserve"> </w:t>
      </w:r>
      <w:r>
        <w:t xml:space="preserve">(</w:t>
      </w:r>
      <w:hyperlink w:anchor="ref-dekker_fear_2017">
        <w:r>
          <w:rPr>
            <w:rStyle w:val="Hyperlink"/>
          </w:rPr>
          <w:t xml:space="preserve">Dekker et al., 2017</w:t>
        </w:r>
      </w:hyperlink>
      <w:r>
        <w:t xml:space="preserve">;</w:t>
      </w:r>
      <w:r>
        <w:t xml:space="preserve"> </w:t>
      </w:r>
      <w:hyperlink w:anchor="ref-kurer_declining_2020">
        <w:r>
          <w:rPr>
            <w:rStyle w:val="Hyperlink"/>
          </w:rPr>
          <w:t xml:space="preserve">Kurer, 2020</w:t>
        </w:r>
      </w:hyperlink>
      <w:r>
        <w:t xml:space="preserve">)</w:t>
      </w:r>
      <w:r>
        <w:t xml:space="preserve">. A measurement caveat remains. Displacement and benefit are positively correlated with each other (r = 0.48) and with the outcome, and although the factor analysis separates them, the shared sign suggests a common component of engagement with the technological frame that future instrumentation should separate from valence.</w:t>
      </w:r>
    </w:p>
    <w:p>
      <w:pPr>
        <w:pStyle w:val="BodyText"/>
      </w:pPr>
      <w:r>
        <w:t xml:space="preserve">The comparative results reshape the regime argument. The strongest country-level patterning is economic. Perceived redistributive justice is higher in richer countries, GDP per capita absorbs a substantial share of the between-country variance, and inequality, unemployment and social expenditure show no association</w:t>
      </w:r>
      <w:r>
        <w:t xml:space="preserve"> </w:t>
      </w:r>
      <w:r>
        <w:t xml:space="preserve">(</w:t>
      </w:r>
      <w:hyperlink w:anchor="ref-blekesaune_public_2003">
        <w:r>
          <w:rPr>
            <w:rStyle w:val="Hyperlink"/>
          </w:rPr>
          <w:t xml:space="preserve">Blekesaune, 2003</w:t>
        </w:r>
      </w:hyperlink>
      <w:r>
        <w:t xml:space="preserve">)</w:t>
      </w:r>
      <w:r>
        <w:t xml:space="preserve">. Net of this composition, regime type orders perceived justice only partially (H6). The conservative contrast is negative and significant relative to liberal regimes, while the social-democratic one is indistinguishable, a pattern at odds with the classic regime hypothesis and consistent with the heterogeneity already visible in</w:t>
      </w:r>
      <w:r>
        <w:t xml:space="preserve"> </w:t>
      </w:r>
      <w:hyperlink w:anchor="fig-cleveland">
        <w:r>
          <w:rPr>
            <w:rStyle w:val="Hyperlink"/>
          </w:rPr>
          <w:t xml:space="preserve">Figure 1</w:t>
        </w:r>
      </w:hyperlink>
      <w:r>
        <w:t xml:space="preserve">. All the regime interactions carry a negative sign, though they only partly match the expected contrast between universalist and residual regimes. The positive association of platform work is steepest under liberal arrangements and flattest under social-democratic ones; the self-employment effect, predicted to be strongest in residual regimes, emerges only under social-democratic arrangements (H7); the displacement effect is dampened in both non-liberal regimes (H8); and the deservingness gradient is steepest in conservative regimes and indistinguishable between liberal and social-democratic ones (H9). For platform work and the technological perceptions, the observed pattern fits the idea that universalist institutions loosen the connection between perceived justice and individual labour-market exposure, while residual, market-tied arrangements keep the two bound together</w:t>
      </w:r>
      <w:r>
        <w:t xml:space="preserve"> </w:t>
      </w:r>
      <w:r>
        <w:t xml:space="preserve">(</w:t>
      </w:r>
      <w:hyperlink w:anchor="ref-larsen_institutional_2008">
        <w:r>
          <w:rPr>
            <w:rStyle w:val="Hyperlink"/>
          </w:rPr>
          <w:t xml:space="preserve">Larsen, 2008</w:t>
        </w:r>
      </w:hyperlink>
      <w:r>
        <w:t xml:space="preserve">;</w:t>
      </w:r>
      <w:r>
        <w:t xml:space="preserve"> </w:t>
      </w:r>
      <w:hyperlink w:anchor="ref-rothstein_just_1998">
        <w:r>
          <w:rPr>
            <w:rStyle w:val="Hyperlink"/>
          </w:rPr>
          <w:t xml:space="preserve">Rothstein, 1998</w:t>
        </w:r>
      </w:hyperlink>
      <w:r>
        <w:t xml:space="preserve">)</w:t>
      </w:r>
      <w:r>
        <w:t xml:space="preserve">. The self-employment exception fits the same reciprocity logic once institutional distance is understood in relative terms. Where dependent employment is most generously covered, own-account workers stand furthest from the prevailing standard of protection, and their exchange with the state reads as comparatively less just</w:t>
      </w:r>
      <w:r>
        <w:t xml:space="preserve"> </w:t>
      </w:r>
      <w:r>
        <w:t xml:space="preserve">(</w:t>
      </w:r>
      <w:hyperlink w:anchor="ref-schwander_who_2013">
        <w:r>
          <w:rPr>
            <w:rStyle w:val="Hyperlink"/>
          </w:rPr>
          <w:t xml:space="preserve">Schwander and Häusermann, 2013</w:t>
        </w:r>
      </w:hyperlink>
      <w:r>
        <w:t xml:space="preserve">)</w:t>
      </w:r>
      <w:r>
        <w:t xml:space="preserve">. On this account, regimes matter for how strongly individual circumstances translate into judgements of justice, while their imprint on the average level of those judgements is weaker. That structuring role is especially salient in highly commodified contexts such as the Chilean one</w:t>
      </w:r>
      <w:r>
        <w:t xml:space="preserve"> </w:t>
      </w:r>
      <w:r>
        <w:t xml:space="preserve">(</w:t>
      </w:r>
      <w:hyperlink w:anchor="ref-emmenegger_age_2012">
        <w:r>
          <w:rPr>
            <w:rStyle w:val="Hyperlink"/>
          </w:rPr>
          <w:t xml:space="preserve">Emmenegger et al., 2012</w:t>
        </w:r>
      </w:hyperlink>
      <w:r>
        <w:t xml:space="preserve">;</w:t>
      </w:r>
      <w:r>
        <w:t xml:space="preserve"> </w:t>
      </w:r>
      <w:hyperlink w:anchor="ref-perez-ahumada_conditioning_2026">
        <w:r>
          <w:rPr>
            <w:rStyle w:val="Hyperlink"/>
          </w:rPr>
          <w:t xml:space="preserve">Pérez-Ahumada et al., 2026</w:t>
        </w:r>
      </w:hyperlink>
      <w:r>
        <w:t xml:space="preserve">)</w:t>
      </w:r>
      <w:r>
        <w:t xml:space="preserve">.</w:t>
      </w:r>
    </w:p>
    <w:bookmarkEnd w:id="43"/>
    <w:bookmarkStart w:id="44" w:name="conclusion"/>
    <w:p>
      <w:pPr>
        <w:pStyle w:val="Heading1"/>
      </w:pPr>
      <w:r>
        <w:t xml:space="preserve">5. Conclusion</w:t>
      </w:r>
    </w:p>
    <w:p>
      <w:pPr>
        <w:pStyle w:val="FirstParagraph"/>
      </w:pPr>
      <w:r>
        <w:t xml:space="preserve">Drawing on the 2024 wave of the OECD Risks That Matter survey across 27 countries, this article has shown that the perceived redistributive justice of the fiscal exchange with the welfare state is anchored in the experience of work, though not in the way the risk-and-redistribution tradition would predict. Concrete employment insecurity and the perception that others receive undeserved benefits erode perceived justice, and perceiving technology as enabling strengthens it. Non-standard employment, however, does not depress justice, since platform workers report higher levels, and perceived displacement risk is positively associated with it. At the country level, perceived justice is higher in richer countries and, net of that economic composition, lower in conservative regimes than in liberal ones. The moderation patterns suggest that universalist welfare institutions loosen the link between perceived justice and both platform work and technological perception, while residual arrangements keep it tight; self-employment, in turn, becomes consequential under universalist arrangements.</w:t>
      </w:r>
    </w:p>
    <w:p>
      <w:pPr>
        <w:pStyle w:val="BodyText"/>
      </w:pPr>
      <w:r>
        <w:t xml:space="preserve">Two implications follow for the comparative study of welfare attitudes. The first is that perceptions and preferences need to be kept analytically apart. The same exposure that raises the demand for redistribution may leave the evaluation of one’s own exchange unchanged, or may even improve it, so findings established for one attitudinal object cannot be transposed to the other</w:t>
      </w:r>
      <w:r>
        <w:t xml:space="preserve"> </w:t>
      </w:r>
      <w:r>
        <w:t xml:space="preserve">(</w:t>
      </w:r>
      <w:hyperlink w:anchor="ref-roosma_just_2016">
        <w:r>
          <w:rPr>
            <w:rStyle w:val="Hyperlink"/>
          </w:rPr>
          <w:t xml:space="preserve">Roosma et al., 2016</w:t>
        </w:r>
      </w:hyperlink>
      <w:r>
        <w:t xml:space="preserve">)</w:t>
      </w:r>
      <w:r>
        <w:t xml:space="preserve">. The second concerns the comparative purchase of welfare-regime theory on these attitudes. Differences of level between regimes are largely absorbed by countries’ economic composition; what regimes appear to shape is how strongly individual circumstances translate into judgements of justice. Reading the regime effect as a matter of structuring, and treating that reading as a hypothesis for further testing, offers a plausible account of why the legitimacy of the welfare state fragments along the contours of the labour market in some institutional settings and holds together in others.</w:t>
      </w:r>
    </w:p>
    <w:p>
      <w:pPr>
        <w:pStyle w:val="BodyText"/>
      </w:pPr>
      <w:r>
        <w:t xml:space="preserve">The findings also bear on the European policy agenda on access to social protection</w:t>
      </w:r>
      <w:r>
        <w:t xml:space="preserve"> </w:t>
      </w:r>
      <w:r>
        <w:t xml:space="preserve">(</w:t>
      </w:r>
      <w:hyperlink w:anchor="X8f09c96f00ce2967a1485d0ccd3bfdbc82ad32c">
        <w:r>
          <w:rPr>
            <w:rStyle w:val="Hyperlink"/>
          </w:rPr>
          <w:t xml:space="preserve">Council of the European Union, 2019</w:t>
        </w:r>
      </w:hyperlink>
      <w:r>
        <w:t xml:space="preserve">;</w:t>
      </w:r>
      <w:r>
        <w:t xml:space="preserve"> </w:t>
      </w:r>
      <w:hyperlink w:anchor="X84184924b7d64ffb4d0b8e850c04b813ecf2c5f">
        <w:r>
          <w:rPr>
            <w:rStyle w:val="Hyperlink"/>
          </w:rPr>
          <w:t xml:space="preserve">European Parliament and Council of the European Union, 2024</w:t>
        </w:r>
      </w:hyperlink>
      <w:r>
        <w:t xml:space="preserve">)</w:t>
      </w:r>
      <w:r>
        <w:t xml:space="preserve">. That platform workers judge their exchange with the state as comparatively just should not be read as the absence of a problem. On the proportionality reading advanced here, it reflects how little they currently contribute to and expect from the contributory system. Extending coverage, which is the aim of the Council Recommendation and, for platform work, of the recent directive, will draw these workers into a fuller exchange in which more is contributed and more is owed. The legitimacy returns of that extension will depend on whether the ensuing entitlements are proportionate to the new contributions and easy for workers to see. The self-employment finding adds a caution for the most encompassing systems, since formal inclusion that leaves own-account workers at a visible distance from the employee standard may end up depressing their sense of a just exchange.</w:t>
      </w:r>
    </w:p>
    <w:p>
      <w:pPr>
        <w:pStyle w:val="BodyText"/>
      </w:pPr>
      <w:r>
        <w:t xml:space="preserve">These conclusions are bounded by the design, and the most consequential boundary comes from the survey itself. Because the batteries on employment type and technological perception are only administered to those in work, the analysis is conditional on employment. It cannot speak to how the unemployed or the inactive judge their exchange with the welfare state, although these are the groups for whom that exchange is most immediately at stake, and it observes technological risk only among those still employed, the relative survivors of the displacement it asks about. The data are also cross-sectional, so the analysis identifies associations only, and reverse causation remains plausible; those who already regard their exchange as just may simply evaluate technological change more benignly. The principal independent variables rest on single items or short scales, and the platform and self-employment categories are internally heterogeneous, grouping distinct relationships with the protection system under a common label</w:t>
      </w:r>
      <w:r>
        <w:t xml:space="preserve"> </w:t>
      </w:r>
      <w:r>
        <w:t xml:space="preserve">(</w:t>
      </w:r>
      <w:hyperlink w:anchor="ref-vallas_what_2020">
        <w:r>
          <w:rPr>
            <w:rStyle w:val="Hyperlink"/>
          </w:rPr>
          <w:t xml:space="preserve">Vallas and Schor, 2020</w:t>
        </w:r>
      </w:hyperlink>
      <w:r>
        <w:t xml:space="preserve">)</w:t>
      </w:r>
      <w:r>
        <w:t xml:space="preserve">; self-identified platform work in online surveys is, in addition, likely to over-capture marginal and occasional activity</w:t>
      </w:r>
      <w:r>
        <w:t xml:space="preserve"> </w:t>
      </w:r>
      <w:r>
        <w:t xml:space="preserve">(</w:t>
      </w:r>
      <w:hyperlink w:anchor="ref-schor_gig_2020">
        <w:r>
          <w:rPr>
            <w:rStyle w:val="Hyperlink"/>
          </w:rPr>
          <w:t xml:space="preserve">Schor, 2020</w:t>
        </w:r>
      </w:hyperlink>
      <w:r>
        <w:t xml:space="preserve">)</w:t>
      </w:r>
      <w:r>
        <w:t xml:space="preserve">. The positive correlations among the technological-perception items signal that the battery does not fully separate the valence of a perception from engagement with technological change as a frame. The item on replacement by artificial intelligence illustrates the point from another angle, since it forms a perceptual dimension of its own and shows no association with perceived justice when modelled separately, which suggests an object of perception that current instruments do not yet capture well. At the macro level, 27 countries afford limited power for cross-level estimation, so the moderation results are best read as descriptive patterns, and the small number of cases places a heavy burden on the regime classification, whose treatment of the post-socialist, southern European and non-European cases, while defensible, remains open to debate</w:t>
      </w:r>
      <w:r>
        <w:t xml:space="preserve"> </w:t>
      </w:r>
      <w:r>
        <w:t xml:space="preserve">(</w:t>
      </w:r>
      <w:hyperlink w:anchor="ref-aidukaite_welfare_2011">
        <w:r>
          <w:rPr>
            <w:rStyle w:val="Hyperlink"/>
          </w:rPr>
          <w:t xml:space="preserve">Aidukaite, 2011</w:t>
        </w:r>
      </w:hyperlink>
      <w:r>
        <w:t xml:space="preserve">;</w:t>
      </w:r>
      <w:r>
        <w:t xml:space="preserve"> </w:t>
      </w:r>
      <w:hyperlink w:anchor="ref-ferrera_southern_1996">
        <w:r>
          <w:rPr>
            <w:rStyle w:val="Hyperlink"/>
          </w:rPr>
          <w:t xml:space="preserve">Ferrera, 1996</w:t>
        </w:r>
      </w:hyperlink>
      <w:r>
        <w:t xml:space="preserve">;</w:t>
      </w:r>
      <w:r>
        <w:t xml:space="preserve"> </w:t>
      </w:r>
      <w:hyperlink w:anchor="ref-franzoni_welfare_2008">
        <w:r>
          <w:rPr>
            <w:rStyle w:val="Hyperlink"/>
          </w:rPr>
          <w:t xml:space="preserve">Martínez Franzoni, 2008</w:t>
        </w:r>
      </w:hyperlink>
      <w:r>
        <w:t xml:space="preserve">)</w:t>
      </w:r>
      <w:r>
        <w:t xml:space="preserve">.</w:t>
      </w:r>
    </w:p>
    <w:p>
      <w:pPr>
        <w:pStyle w:val="BodyText"/>
      </w:pPr>
      <w:r>
        <w:t xml:space="preserve">Several extensions follow from these limits. Panel data would establish the temporal ordering of technological perception and perceived redistributive justice and allow reverse causation to be assessed directly. Instrumentation that separates concrete from prospective technological risk, and the valence of a perception from the salience of technological change, would clarify the mechanisms behind the displacement result, and qualitative work on how platform and own-account workers construct the reference points against which they judge their exchange would do the same for the platform result. Comparative leverage would improve by complementing categorical regimes with policy-specific continuous indicators, such as decommodification and active labour-market and social-investment provision, beyond the aggregate social expenditure controlled for here. Such indicators would also permit a more direct test of whether policy feedback underlies the institutional patterning observed</w:t>
      </w:r>
      <w:r>
        <w:t xml:space="preserve"> </w:t>
      </w:r>
      <w:r>
        <w:t xml:space="preserve">(</w:t>
      </w:r>
      <w:hyperlink w:anchor="ref-fan_how_2024">
        <w:r>
          <w:rPr>
            <w:rStyle w:val="Hyperlink"/>
          </w:rPr>
          <w:t xml:space="preserve">Fan et al., 2024</w:t>
        </w:r>
      </w:hyperlink>
      <w:r>
        <w:t xml:space="preserve">;</w:t>
      </w:r>
      <w:r>
        <w:t xml:space="preserve"> </w:t>
      </w:r>
      <w:hyperlink w:anchor="ref-gallego_automation_2022">
        <w:r>
          <w:rPr>
            <w:rStyle w:val="Hyperlink"/>
          </w:rPr>
          <w:t xml:space="preserve">Gallego and Kurer, 2022</w:t>
        </w:r>
      </w:hyperlink>
      <w:r>
        <w:t xml:space="preserve">)</w:t>
      </w:r>
      <w:r>
        <w:t xml:space="preserve">. Attention to within-regime heterogeneity, particularly in the commodified welfare states of Latin America, would test how far the structuring argument travels beyond the European core</w:t>
      </w:r>
      <w:r>
        <w:t xml:space="preserve"> </w:t>
      </w:r>
      <w:r>
        <w:t xml:space="preserve">(</w:t>
      </w:r>
      <w:hyperlink w:anchor="ref-perez-ahumada_conditioning_2026">
        <w:r>
          <w:rPr>
            <w:rStyle w:val="Hyperlink"/>
          </w:rPr>
          <w:t xml:space="preserve">Pérez-Ahumada et al., 2026</w:t>
        </w:r>
      </w:hyperlink>
      <w:r>
        <w:t xml:space="preserve">)</w:t>
      </w:r>
      <w:r>
        <w:t xml:space="preserve">.</w:t>
      </w:r>
    </w:p>
    <w:p>
      <w:pPr>
        <w:pStyle w:val="BodyText"/>
      </w:pPr>
      <w:r>
        <w:t xml:space="preserve">In the digital transition, the legitimacy of the welfare state will partly turn on whether institutions can keep perceived redistributive justice from fragmenting along individual labour-market lines. The evidence assembled here is observational, but it points to universalist designs as better equipped for that task. As digitalisation continues to remake the standard employment relationship around which social protection was built</w:t>
      </w:r>
      <w:r>
        <w:t xml:space="preserve"> </w:t>
      </w:r>
      <w:r>
        <w:t xml:space="preserve">(</w:t>
      </w:r>
      <w:hyperlink w:anchor="ref-howcroft_digitalisation_2025">
        <w:r>
          <w:rPr>
            <w:rStyle w:val="Hyperlink"/>
          </w:rPr>
          <w:t xml:space="preserve">Howcroft et al., 2025</w:t>
        </w:r>
      </w:hyperlink>
      <w:r>
        <w:t xml:space="preserve">)</w:t>
      </w:r>
      <w:r>
        <w:t xml:space="preserve">, the distribution of perceived justice across the workforce deserves a place next to the volume of redistribution citizens demand as a question for the comparative study of welfare legitimacy.</w:t>
      </w:r>
    </w:p>
    <w:bookmarkEnd w:id="44"/>
    <w:bookmarkStart w:id="186" w:name="references"/>
    <w:p>
      <w:pPr>
        <w:pStyle w:val="Heading1"/>
      </w:pPr>
      <w:r>
        <w:t xml:space="preserve">6. References</w:t>
      </w:r>
    </w:p>
    <w:bookmarkStart w:id="185" w:name="refs"/>
    <w:bookmarkStart w:id="46" w:name="ref-aidukaite_welfare_2011"/>
    <w:p>
      <w:pPr>
        <w:pStyle w:val="Bibliography"/>
      </w:pPr>
      <w:r>
        <w:t xml:space="preserve">Aidukaite J (2011)</w:t>
      </w:r>
      <w:r>
        <w:t xml:space="preserve"> </w:t>
      </w:r>
      <w:hyperlink r:id="rId45">
        <w:r>
          <w:rPr>
            <w:rStyle w:val="Hyperlink"/>
          </w:rPr>
          <w:t xml:space="preserve">Welfare reforms and socio-economic trends in the 10 new</w:t>
        </w:r>
        <w:r>
          <w:rPr>
            <w:rStyle w:val="Hyperlink"/>
          </w:rPr>
          <w:t xml:space="preserve"> </w:t>
        </w:r>
        <w:r>
          <w:rPr>
            <w:rStyle w:val="Hyperlink"/>
          </w:rPr>
          <w:t xml:space="preserve">EU</w:t>
        </w:r>
        <w:r>
          <w:rPr>
            <w:rStyle w:val="Hyperlink"/>
          </w:rPr>
          <w:t xml:space="preserve"> </w:t>
        </w:r>
        <w:r>
          <w:rPr>
            <w:rStyle w:val="Hyperlink"/>
          </w:rPr>
          <w:t xml:space="preserve">member states of</w:t>
        </w:r>
        <w:r>
          <w:rPr>
            <w:rStyle w:val="Hyperlink"/>
          </w:rPr>
          <w:t xml:space="preserve"> </w:t>
        </w:r>
        <w:r>
          <w:rPr>
            <w:rStyle w:val="Hyperlink"/>
          </w:rPr>
          <w:t xml:space="preserve">Central</w:t>
        </w:r>
        <w:r>
          <w:rPr>
            <w:rStyle w:val="Hyperlink"/>
          </w:rPr>
          <w:t xml:space="preserve"> </w:t>
        </w:r>
        <w:r>
          <w:rPr>
            <w:rStyle w:val="Hyperlink"/>
          </w:rPr>
          <w:t xml:space="preserve">and</w:t>
        </w:r>
        <w:r>
          <w:rPr>
            <w:rStyle w:val="Hyperlink"/>
          </w:rPr>
          <w:t xml:space="preserve"> </w:t>
        </w:r>
        <w:r>
          <w:rPr>
            <w:rStyle w:val="Hyperlink"/>
          </w:rPr>
          <w:t xml:space="preserve">Eastern Europe</w:t>
        </w:r>
      </w:hyperlink>
      <w:r>
        <w:t xml:space="preserve">.</w:t>
      </w:r>
      <w:r>
        <w:t xml:space="preserve"> </w:t>
      </w:r>
      <w:r>
        <w:rPr>
          <w:i/>
          <w:iCs/>
        </w:rPr>
        <w:t xml:space="preserve">Communist and Post-Communist Studies</w:t>
      </w:r>
      <w:r>
        <w:t xml:space="preserve"> </w:t>
      </w:r>
      <w:r>
        <w:t xml:space="preserve">44(3): 211–219.</w:t>
      </w:r>
    </w:p>
    <w:bookmarkEnd w:id="46"/>
    <w:bookmarkStart w:id="48" w:name="ref-anderson_workers_2007"/>
    <w:p>
      <w:pPr>
        <w:pStyle w:val="Bibliography"/>
      </w:pPr>
      <w:r>
        <w:t xml:space="preserve">Anderson CJ and Pontusson J (2007)</w:t>
      </w:r>
      <w:r>
        <w:t xml:space="preserve"> </w:t>
      </w:r>
      <w:hyperlink r:id="rId47">
        <w:r>
          <w:rPr>
            <w:rStyle w:val="Hyperlink"/>
          </w:rPr>
          <w:t xml:space="preserve">Workers, worries and welfare states:</w:t>
        </w:r>
        <w:r>
          <w:rPr>
            <w:rStyle w:val="Hyperlink"/>
          </w:rPr>
          <w:t xml:space="preserve"> </w:t>
        </w:r>
        <w:r>
          <w:rPr>
            <w:rStyle w:val="Hyperlink"/>
          </w:rPr>
          <w:t xml:space="preserve">Social</w:t>
        </w:r>
        <w:r>
          <w:rPr>
            <w:rStyle w:val="Hyperlink"/>
          </w:rPr>
          <w:t xml:space="preserve"> </w:t>
        </w:r>
        <w:r>
          <w:rPr>
            <w:rStyle w:val="Hyperlink"/>
          </w:rPr>
          <w:t xml:space="preserve">protection and job insecurity in 15</w:t>
        </w:r>
        <w:r>
          <w:rPr>
            <w:rStyle w:val="Hyperlink"/>
          </w:rPr>
          <w:t xml:space="preserve"> </w:t>
        </w:r>
        <w:r>
          <w:rPr>
            <w:rStyle w:val="Hyperlink"/>
          </w:rPr>
          <w:t xml:space="preserve">OECD</w:t>
        </w:r>
        <w:r>
          <w:rPr>
            <w:rStyle w:val="Hyperlink"/>
          </w:rPr>
          <w:t xml:space="preserve"> </w:t>
        </w:r>
        <w:r>
          <w:rPr>
            <w:rStyle w:val="Hyperlink"/>
          </w:rPr>
          <w:t xml:space="preserve">countries</w:t>
        </w:r>
      </w:hyperlink>
      <w:r>
        <w:t xml:space="preserve">.</w:t>
      </w:r>
      <w:r>
        <w:t xml:space="preserve"> </w:t>
      </w:r>
      <w:r>
        <w:rPr>
          <w:i/>
          <w:iCs/>
        </w:rPr>
        <w:t xml:space="preserve">European Journal of Political Research</w:t>
      </w:r>
      <w:r>
        <w:t xml:space="preserve"> </w:t>
      </w:r>
      <w:r>
        <w:t xml:space="preserve">46(2): 211–235.</w:t>
      </w:r>
    </w:p>
    <w:bookmarkEnd w:id="48"/>
    <w:bookmarkStart w:id="50" w:name="ref-arntz_risk_2016"/>
    <w:p>
      <w:pPr>
        <w:pStyle w:val="Bibliography"/>
      </w:pPr>
      <w:r>
        <w:t xml:space="preserve">Arntz M, Gregory T and Zierahn U (2016)</w:t>
      </w:r>
      <w:r>
        <w:t xml:space="preserve"> </w:t>
      </w:r>
      <w:hyperlink r:id="rId49">
        <w:r>
          <w:rPr>
            <w:rStyle w:val="Hyperlink"/>
            <w:i/>
            <w:iCs/>
          </w:rPr>
          <w:t xml:space="preserve">The</w:t>
        </w:r>
        <w:r>
          <w:rPr>
            <w:rStyle w:val="Hyperlink"/>
            <w:i/>
            <w:iCs/>
          </w:rPr>
          <w:t xml:space="preserve"> </w:t>
        </w:r>
        <w:r>
          <w:rPr>
            <w:rStyle w:val="Hyperlink"/>
            <w:i/>
            <w:iCs/>
          </w:rPr>
          <w:t xml:space="preserve">Risk</w:t>
        </w:r>
        <w:r>
          <w:rPr>
            <w:rStyle w:val="Hyperlink"/>
            <w:i/>
            <w:iCs/>
          </w:rPr>
          <w:t xml:space="preserve"> </w:t>
        </w:r>
        <w:r>
          <w:rPr>
            <w:rStyle w:val="Hyperlink"/>
            <w:i/>
            <w:iCs/>
          </w:rPr>
          <w:t xml:space="preserve">of</w:t>
        </w:r>
        <w:r>
          <w:rPr>
            <w:rStyle w:val="Hyperlink"/>
            <w:i/>
            <w:iCs/>
          </w:rPr>
          <w:t xml:space="preserve"> </w:t>
        </w:r>
        <w:r>
          <w:rPr>
            <w:rStyle w:val="Hyperlink"/>
            <w:i/>
            <w:iCs/>
          </w:rPr>
          <w:t xml:space="preserve">Automation</w:t>
        </w:r>
        <w:r>
          <w:rPr>
            <w:rStyle w:val="Hyperlink"/>
            <w:i/>
            <w:iCs/>
          </w:rPr>
          <w:t xml:space="preserve"> </w:t>
        </w:r>
        <w:r>
          <w:rPr>
            <w:rStyle w:val="Hyperlink"/>
            <w:i/>
            <w:iCs/>
          </w:rPr>
          <w:t xml:space="preserve">for</w:t>
        </w:r>
        <w:r>
          <w:rPr>
            <w:rStyle w:val="Hyperlink"/>
            <w:i/>
            <w:iCs/>
          </w:rPr>
          <w:t xml:space="preserve"> </w:t>
        </w:r>
        <w:r>
          <w:rPr>
            <w:rStyle w:val="Hyperlink"/>
            <w:i/>
            <w:iCs/>
          </w:rPr>
          <w:t xml:space="preserve">Jobs</w:t>
        </w:r>
        <w:r>
          <w:rPr>
            <w:rStyle w:val="Hyperlink"/>
            <w:i/>
            <w:iCs/>
          </w:rPr>
          <w:t xml:space="preserve"> </w:t>
        </w:r>
        <w:r>
          <w:rPr>
            <w:rStyle w:val="Hyperlink"/>
            <w:i/>
            <w:iCs/>
          </w:rPr>
          <w:t xml:space="preserve">in</w:t>
        </w:r>
        <w:r>
          <w:rPr>
            <w:rStyle w:val="Hyperlink"/>
            <w:i/>
            <w:iCs/>
          </w:rPr>
          <w:t xml:space="preserve"> </w:t>
        </w:r>
        <w:r>
          <w:rPr>
            <w:rStyle w:val="Hyperlink"/>
            <w:i/>
            <w:iCs/>
          </w:rPr>
          <w:t xml:space="preserve">OECD Countries</w:t>
        </w:r>
        <w:r>
          <w:rPr>
            <w:rStyle w:val="Hyperlink"/>
            <w:i/>
            <w:iCs/>
          </w:rPr>
          <w:t xml:space="preserve">:</w:t>
        </w:r>
        <w:r>
          <w:rPr>
            <w:rStyle w:val="Hyperlink"/>
            <w:i/>
            <w:iCs/>
          </w:rPr>
          <w:t xml:space="preserve"> </w:t>
        </w:r>
        <w:r>
          <w:rPr>
            <w:rStyle w:val="Hyperlink"/>
            <w:i/>
            <w:iCs/>
          </w:rPr>
          <w:t xml:space="preserve">A Comparative Analysis</w:t>
        </w:r>
      </w:hyperlink>
      <w:r>
        <w:t xml:space="preserve">.</w:t>
      </w:r>
      <w:r>
        <w:t xml:space="preserve"> </w:t>
      </w:r>
      <w:r>
        <w:t xml:space="preserve">OECD Social</w:t>
      </w:r>
      <w:r>
        <w:t xml:space="preserve">,</w:t>
      </w:r>
      <w:r>
        <w:t xml:space="preserve"> </w:t>
      </w:r>
      <w:r>
        <w:t xml:space="preserve">Employment</w:t>
      </w:r>
      <w:r>
        <w:t xml:space="preserve"> </w:t>
      </w:r>
      <w:r>
        <w:t xml:space="preserve">and</w:t>
      </w:r>
      <w:r>
        <w:t xml:space="preserve"> </w:t>
      </w:r>
      <w:r>
        <w:t xml:space="preserve">Migration Working Papers</w:t>
      </w:r>
      <w:r>
        <w:t xml:space="preserve"> </w:t>
      </w:r>
      <w:r>
        <w:t xml:space="preserve">189, {{OECD Social}}, {{Employment}} and {{Migration Working Papers}}, May.</w:t>
      </w:r>
    </w:p>
    <w:bookmarkEnd w:id="50"/>
    <w:bookmarkStart w:id="52" w:name="ref-arts_three_2002"/>
    <w:p>
      <w:pPr>
        <w:pStyle w:val="Bibliography"/>
      </w:pPr>
      <w:r>
        <w:t xml:space="preserve">Arts W and Gelissen J (2002)</w:t>
      </w:r>
      <w:r>
        <w:t xml:space="preserve"> </w:t>
      </w:r>
      <w:hyperlink r:id="rId51">
        <w:r>
          <w:rPr>
            <w:rStyle w:val="Hyperlink"/>
          </w:rPr>
          <w:t xml:space="preserve">Three worlds of welfare capitalism or more?</w:t>
        </w:r>
        <w:r>
          <w:rPr>
            <w:rStyle w:val="Hyperlink"/>
          </w:rPr>
          <w:t xml:space="preserve"> </w:t>
        </w:r>
        <w:r>
          <w:rPr>
            <w:rStyle w:val="Hyperlink"/>
          </w:rPr>
          <w:t xml:space="preserve">A</w:t>
        </w:r>
        <w:r>
          <w:rPr>
            <w:rStyle w:val="Hyperlink"/>
          </w:rPr>
          <w:t xml:space="preserve"> </w:t>
        </w:r>
        <w:r>
          <w:rPr>
            <w:rStyle w:val="Hyperlink"/>
          </w:rPr>
          <w:t xml:space="preserve">state-of-the-art report</w:t>
        </w:r>
      </w:hyperlink>
      <w:r>
        <w:t xml:space="preserve">.</w:t>
      </w:r>
      <w:r>
        <w:t xml:space="preserve"> </w:t>
      </w:r>
      <w:r>
        <w:rPr>
          <w:i/>
          <w:iCs/>
        </w:rPr>
        <w:t xml:space="preserve">Journal of European Social Policy</w:t>
      </w:r>
      <w:r>
        <w:t xml:space="preserve"> </w:t>
      </w:r>
      <w:r>
        <w:t xml:space="preserve">12(2): 137–158.</w:t>
      </w:r>
    </w:p>
    <w:bookmarkEnd w:id="52"/>
    <w:bookmarkStart w:id="54" w:name="ref-autor_why_2015"/>
    <w:p>
      <w:pPr>
        <w:pStyle w:val="Bibliography"/>
      </w:pPr>
      <w:r>
        <w:t xml:space="preserve">Autor DH (2015)</w:t>
      </w:r>
      <w:r>
        <w:t xml:space="preserve"> </w:t>
      </w:r>
      <w:hyperlink r:id="rId53">
        <w:r>
          <w:rPr>
            <w:rStyle w:val="Hyperlink"/>
          </w:rPr>
          <w:t xml:space="preserve">Why</w:t>
        </w:r>
        <w:r>
          <w:rPr>
            <w:rStyle w:val="Hyperlink"/>
          </w:rPr>
          <w:t xml:space="preserve"> </w:t>
        </w:r>
        <w:r>
          <w:rPr>
            <w:rStyle w:val="Hyperlink"/>
          </w:rPr>
          <w:t xml:space="preserve">Are There Still So Many Jobs</w:t>
        </w:r>
        <w:r>
          <w:rPr>
            <w:rStyle w:val="Hyperlink"/>
          </w:rPr>
          <w:t xml:space="preserve">?</w:t>
        </w:r>
        <w:r>
          <w:rPr>
            <w:rStyle w:val="Hyperlink"/>
          </w:rPr>
          <w:t xml:space="preserve"> </w:t>
        </w:r>
        <w:r>
          <w:rPr>
            <w:rStyle w:val="Hyperlink"/>
          </w:rPr>
          <w:t xml:space="preserve">The History</w:t>
        </w:r>
        <w:r>
          <w:rPr>
            <w:rStyle w:val="Hyperlink"/>
          </w:rPr>
          <w:t xml:space="preserve"> </w:t>
        </w:r>
        <w:r>
          <w:rPr>
            <w:rStyle w:val="Hyperlink"/>
          </w:rPr>
          <w:t xml:space="preserve">and</w:t>
        </w:r>
        <w:r>
          <w:rPr>
            <w:rStyle w:val="Hyperlink"/>
          </w:rPr>
          <w:t xml:space="preserve"> </w:t>
        </w:r>
        <w:r>
          <w:rPr>
            <w:rStyle w:val="Hyperlink"/>
          </w:rPr>
          <w:t xml:space="preserve">Future</w:t>
        </w:r>
        <w:r>
          <w:rPr>
            <w:rStyle w:val="Hyperlink"/>
          </w:rPr>
          <w:t xml:space="preserve"> </w:t>
        </w:r>
        <w:r>
          <w:rPr>
            <w:rStyle w:val="Hyperlink"/>
          </w:rPr>
          <w:t xml:space="preserve">of</w:t>
        </w:r>
        <w:r>
          <w:rPr>
            <w:rStyle w:val="Hyperlink"/>
          </w:rPr>
          <w:t xml:space="preserve"> </w:t>
        </w:r>
        <w:r>
          <w:rPr>
            <w:rStyle w:val="Hyperlink"/>
          </w:rPr>
          <w:t xml:space="preserve">Workplace Automation</w:t>
        </w:r>
      </w:hyperlink>
      <w:r>
        <w:t xml:space="preserve">.</w:t>
      </w:r>
      <w:r>
        <w:t xml:space="preserve"> </w:t>
      </w:r>
      <w:r>
        <w:rPr>
          <w:i/>
          <w:iCs/>
        </w:rPr>
        <w:t xml:space="preserve">Journal of Economic Perspectives</w:t>
      </w:r>
      <w:r>
        <w:t xml:space="preserve"> </w:t>
      </w:r>
      <w:r>
        <w:t xml:space="preserve">29(3): 3–30.</w:t>
      </w:r>
    </w:p>
    <w:bookmarkEnd w:id="54"/>
    <w:bookmarkStart w:id="56" w:name="ref-bambra_sifting_2007"/>
    <w:p>
      <w:pPr>
        <w:pStyle w:val="Bibliography"/>
      </w:pPr>
      <w:r>
        <w:t xml:space="preserve">Bambra C (2007)</w:t>
      </w:r>
      <w:r>
        <w:t xml:space="preserve"> </w:t>
      </w:r>
      <w:hyperlink r:id="rId55">
        <w:r>
          <w:rPr>
            <w:rStyle w:val="Hyperlink"/>
          </w:rPr>
          <w:t xml:space="preserve">‘</w:t>
        </w:r>
        <w:r>
          <w:rPr>
            <w:rStyle w:val="Hyperlink"/>
          </w:rPr>
          <w:t xml:space="preserve">Sifting</w:t>
        </w:r>
        <w:r>
          <w:rPr>
            <w:rStyle w:val="Hyperlink"/>
          </w:rPr>
          <w:t xml:space="preserve"> </w:t>
        </w:r>
        <w:r>
          <w:rPr>
            <w:rStyle w:val="Hyperlink"/>
          </w:rPr>
          <w:t xml:space="preserve">the</w:t>
        </w:r>
        <w:r>
          <w:rPr>
            <w:rStyle w:val="Hyperlink"/>
          </w:rPr>
          <w:t xml:space="preserve"> </w:t>
        </w:r>
        <w:r>
          <w:rPr>
            <w:rStyle w:val="Hyperlink"/>
          </w:rPr>
          <w:t xml:space="preserve">Wheat</w:t>
        </w:r>
        <w:r>
          <w:rPr>
            <w:rStyle w:val="Hyperlink"/>
          </w:rPr>
          <w:t xml:space="preserve"> </w:t>
        </w:r>
        <w:r>
          <w:rPr>
            <w:rStyle w:val="Hyperlink"/>
          </w:rPr>
          <w:t xml:space="preserve">from the</w:t>
        </w:r>
        <w:r>
          <w:rPr>
            <w:rStyle w:val="Hyperlink"/>
          </w:rPr>
          <w:t xml:space="preserve"> </w:t>
        </w:r>
        <w:r>
          <w:rPr>
            <w:rStyle w:val="Hyperlink"/>
          </w:rPr>
          <w:t xml:space="preserve">Chaff</w:t>
        </w:r>
        <w:r>
          <w:rPr>
            <w:rStyle w:val="Hyperlink"/>
          </w:rPr>
          <w:t xml:space="preserve">’</w:t>
        </w:r>
        <w:r>
          <w:rPr>
            <w:rStyle w:val="Hyperlink"/>
          </w:rPr>
          <w:t xml:space="preserve">:</w:t>
        </w:r>
        <w:r>
          <w:rPr>
            <w:rStyle w:val="Hyperlink"/>
          </w:rPr>
          <w:t xml:space="preserve"> </w:t>
        </w:r>
        <w:r>
          <w:rPr>
            <w:rStyle w:val="Hyperlink"/>
          </w:rPr>
          <w:t xml:space="preserve">A Two</w:t>
        </w:r>
        <w:r>
          <w:rPr>
            <w:rStyle w:val="Hyperlink"/>
          </w:rPr>
          <w:t xml:space="preserve">-dimensional</w:t>
        </w:r>
        <w:r>
          <w:rPr>
            <w:rStyle w:val="Hyperlink"/>
          </w:rPr>
          <w:t xml:space="preserve"> </w:t>
        </w:r>
        <w:r>
          <w:rPr>
            <w:rStyle w:val="Hyperlink"/>
          </w:rPr>
          <w:t xml:space="preserve">Discriminant Analysis</w:t>
        </w:r>
        <w:r>
          <w:rPr>
            <w:rStyle w:val="Hyperlink"/>
          </w:rPr>
          <w:t xml:space="preserve"> </w:t>
        </w:r>
        <w:r>
          <w:rPr>
            <w:rStyle w:val="Hyperlink"/>
          </w:rPr>
          <w:t xml:space="preserve">of</w:t>
        </w:r>
        <w:r>
          <w:rPr>
            <w:rStyle w:val="Hyperlink"/>
          </w:rPr>
          <w:t xml:space="preserve"> </w:t>
        </w:r>
        <w:r>
          <w:rPr>
            <w:rStyle w:val="Hyperlink"/>
          </w:rPr>
          <w:t xml:space="preserve">Welfare State Regime Theory</w:t>
        </w:r>
      </w:hyperlink>
      <w:r>
        <w:t xml:space="preserve">.</w:t>
      </w:r>
      <w:r>
        <w:t xml:space="preserve"> </w:t>
      </w:r>
      <w:r>
        <w:rPr>
          <w:i/>
          <w:iCs/>
        </w:rPr>
        <w:t xml:space="preserve">Social Policy &amp; Administration</w:t>
      </w:r>
      <w:r>
        <w:t xml:space="preserve"> </w:t>
      </w:r>
      <w:r>
        <w:t xml:space="preserve">41(1): 1–28.</w:t>
      </w:r>
    </w:p>
    <w:bookmarkEnd w:id="56"/>
    <w:bookmarkStart w:id="58" w:name="ref-behrendt_social_2019"/>
    <w:p>
      <w:pPr>
        <w:pStyle w:val="Bibliography"/>
      </w:pPr>
      <w:r>
        <w:t xml:space="preserve">Behrendt C, Nguyen QA and Rani U (2019)</w:t>
      </w:r>
      <w:r>
        <w:t xml:space="preserve"> </w:t>
      </w:r>
      <w:hyperlink r:id="rId57">
        <w:r>
          <w:rPr>
            <w:rStyle w:val="Hyperlink"/>
          </w:rPr>
          <w:t xml:space="preserve">Social protection systems and the future of work:</w:t>
        </w:r>
        <w:r>
          <w:rPr>
            <w:rStyle w:val="Hyperlink"/>
          </w:rPr>
          <w:t xml:space="preserve"> </w:t>
        </w:r>
        <w:r>
          <w:rPr>
            <w:rStyle w:val="Hyperlink"/>
          </w:rPr>
          <w:t xml:space="preserve">Ensuring</w:t>
        </w:r>
        <w:r>
          <w:rPr>
            <w:rStyle w:val="Hyperlink"/>
          </w:rPr>
          <w:t xml:space="preserve"> </w:t>
        </w:r>
        <w:r>
          <w:rPr>
            <w:rStyle w:val="Hyperlink"/>
          </w:rPr>
          <w:t xml:space="preserve">social security for digital platform workers</w:t>
        </w:r>
      </w:hyperlink>
      <w:r>
        <w:t xml:space="preserve">.</w:t>
      </w:r>
      <w:r>
        <w:t xml:space="preserve"> </w:t>
      </w:r>
      <w:r>
        <w:rPr>
          <w:i/>
          <w:iCs/>
        </w:rPr>
        <w:t xml:space="preserve">International Social Security Review</w:t>
      </w:r>
      <w:r>
        <w:t xml:space="preserve"> </w:t>
      </w:r>
      <w:r>
        <w:t xml:space="preserve">72(3): 17–41.</w:t>
      </w:r>
    </w:p>
    <w:bookmarkEnd w:id="58"/>
    <w:bookmarkStart w:id="60" w:name="ref-blekesaune_public_2003"/>
    <w:p>
      <w:pPr>
        <w:pStyle w:val="Bibliography"/>
      </w:pPr>
      <w:r>
        <w:t xml:space="preserve">Blekesaune M (2003)</w:t>
      </w:r>
      <w:r>
        <w:t xml:space="preserve"> </w:t>
      </w:r>
      <w:hyperlink r:id="rId59">
        <w:r>
          <w:rPr>
            <w:rStyle w:val="Hyperlink"/>
          </w:rPr>
          <w:t xml:space="preserve">Public</w:t>
        </w:r>
        <w:r>
          <w:rPr>
            <w:rStyle w:val="Hyperlink"/>
          </w:rPr>
          <w:t xml:space="preserve"> </w:t>
        </w:r>
        <w:r>
          <w:rPr>
            <w:rStyle w:val="Hyperlink"/>
          </w:rPr>
          <w:t xml:space="preserve">Attitudes</w:t>
        </w:r>
        <w:r>
          <w:rPr>
            <w:rStyle w:val="Hyperlink"/>
          </w:rPr>
          <w:t xml:space="preserve"> </w:t>
        </w:r>
        <w:r>
          <w:rPr>
            <w:rStyle w:val="Hyperlink"/>
          </w:rPr>
          <w:t xml:space="preserve">toward</w:t>
        </w:r>
        <w:r>
          <w:rPr>
            <w:rStyle w:val="Hyperlink"/>
          </w:rPr>
          <w:t xml:space="preserve"> </w:t>
        </w:r>
        <w:r>
          <w:rPr>
            <w:rStyle w:val="Hyperlink"/>
          </w:rPr>
          <w:t xml:space="preserve">Welfare State Policies</w:t>
        </w:r>
        <w:r>
          <w:rPr>
            <w:rStyle w:val="Hyperlink"/>
          </w:rPr>
          <w:t xml:space="preserve">:</w:t>
        </w:r>
        <w:r>
          <w:rPr>
            <w:rStyle w:val="Hyperlink"/>
          </w:rPr>
          <w:t xml:space="preserve"> </w:t>
        </w:r>
        <w:r>
          <w:rPr>
            <w:rStyle w:val="Hyperlink"/>
          </w:rPr>
          <w:t xml:space="preserve">A Comparative Analysis</w:t>
        </w:r>
        <w:r>
          <w:rPr>
            <w:rStyle w:val="Hyperlink"/>
          </w:rPr>
          <w:t xml:space="preserve"> </w:t>
        </w:r>
        <w:r>
          <w:rPr>
            <w:rStyle w:val="Hyperlink"/>
          </w:rPr>
          <w:t xml:space="preserve">of 24</w:t>
        </w:r>
        <w:r>
          <w:rPr>
            <w:rStyle w:val="Hyperlink"/>
          </w:rPr>
          <w:t xml:space="preserve"> </w:t>
        </w:r>
        <w:r>
          <w:rPr>
            <w:rStyle w:val="Hyperlink"/>
          </w:rPr>
          <w:t xml:space="preserve">Nations</w:t>
        </w:r>
      </w:hyperlink>
      <w:r>
        <w:t xml:space="preserve">.</w:t>
      </w:r>
      <w:r>
        <w:t xml:space="preserve"> </w:t>
      </w:r>
      <w:r>
        <w:rPr>
          <w:i/>
          <w:iCs/>
        </w:rPr>
        <w:t xml:space="preserve">European Sociological Review</w:t>
      </w:r>
      <w:r>
        <w:t xml:space="preserve"> </w:t>
      </w:r>
      <w:r>
        <w:t xml:space="preserve">19(5): 415–427.</w:t>
      </w:r>
    </w:p>
    <w:bookmarkEnd w:id="60"/>
    <w:bookmarkStart w:id="62" w:name="ref-brougham_smart_2018"/>
    <w:p>
      <w:pPr>
        <w:pStyle w:val="Bibliography"/>
      </w:pPr>
      <w:r>
        <w:t xml:space="preserve">Brougham D and Haar J (2018)</w:t>
      </w:r>
      <w:r>
        <w:t xml:space="preserve"> </w:t>
      </w:r>
      <w:hyperlink r:id="rId61">
        <w:r>
          <w:rPr>
            <w:rStyle w:val="Hyperlink"/>
          </w:rPr>
          <w:t xml:space="preserve">Smart</w:t>
        </w:r>
        <w:r>
          <w:rPr>
            <w:rStyle w:val="Hyperlink"/>
          </w:rPr>
          <w:t xml:space="preserve"> </w:t>
        </w:r>
        <w:r>
          <w:rPr>
            <w:rStyle w:val="Hyperlink"/>
          </w:rPr>
          <w:t xml:space="preserve">Technology</w:t>
        </w:r>
        <w:r>
          <w:rPr>
            <w:rStyle w:val="Hyperlink"/>
          </w:rPr>
          <w:t xml:space="preserve">,</w:t>
        </w:r>
        <w:r>
          <w:rPr>
            <w:rStyle w:val="Hyperlink"/>
          </w:rPr>
          <w:t xml:space="preserve"> </w:t>
        </w:r>
        <w:r>
          <w:rPr>
            <w:rStyle w:val="Hyperlink"/>
          </w:rPr>
          <w:t xml:space="preserve">Artificial Intelligence</w:t>
        </w:r>
        <w:r>
          <w:rPr>
            <w:rStyle w:val="Hyperlink"/>
          </w:rPr>
          <w:t xml:space="preserve">,</w:t>
        </w:r>
        <w:r>
          <w:rPr>
            <w:rStyle w:val="Hyperlink"/>
          </w:rPr>
          <w:t xml:space="preserve"> </w:t>
        </w:r>
        <w:r>
          <w:rPr>
            <w:rStyle w:val="Hyperlink"/>
          </w:rPr>
          <w:t xml:space="preserve">Robotics</w:t>
        </w:r>
        <w:r>
          <w:rPr>
            <w:rStyle w:val="Hyperlink"/>
          </w:rPr>
          <w:t xml:space="preserve">, and</w:t>
        </w:r>
        <w:r>
          <w:rPr>
            <w:rStyle w:val="Hyperlink"/>
          </w:rPr>
          <w:t xml:space="preserve"> </w:t>
        </w:r>
        <w:r>
          <w:rPr>
            <w:rStyle w:val="Hyperlink"/>
          </w:rPr>
          <w:t xml:space="preserve">Algorithms</w:t>
        </w:r>
        <w:r>
          <w:rPr>
            <w:rStyle w:val="Hyperlink"/>
          </w:rPr>
          <w:t xml:space="preserve"> </w:t>
        </w:r>
        <w:r>
          <w:rPr>
            <w:rStyle w:val="Hyperlink"/>
          </w:rPr>
          <w:t xml:space="preserve">(</w:t>
        </w:r>
        <w:r>
          <w:rPr>
            <w:rStyle w:val="Hyperlink"/>
          </w:rPr>
          <w:t xml:space="preserve">STARA</w:t>
        </w:r>
        <w:r>
          <w:rPr>
            <w:rStyle w:val="Hyperlink"/>
          </w:rPr>
          <w:t xml:space="preserve">):</w:t>
        </w:r>
        <w:r>
          <w:rPr>
            <w:rStyle w:val="Hyperlink"/>
          </w:rPr>
          <w:t xml:space="preserve"> </w:t>
        </w:r>
        <w:r>
          <w:rPr>
            <w:rStyle w:val="Hyperlink"/>
          </w:rPr>
          <w:t xml:space="preserve">Employees</w:t>
        </w:r>
        <w:r>
          <w:rPr>
            <w:rStyle w:val="Hyperlink"/>
          </w:rPr>
          <w:t xml:space="preserve">’ perceptions of our future workplace</w:t>
        </w:r>
      </w:hyperlink>
      <w:r>
        <w:t xml:space="preserve">.</w:t>
      </w:r>
      <w:r>
        <w:t xml:space="preserve"> </w:t>
      </w:r>
      <w:r>
        <w:rPr>
          <w:i/>
          <w:iCs/>
        </w:rPr>
        <w:t xml:space="preserve">Journal of Management &amp; Organization</w:t>
      </w:r>
      <w:r>
        <w:t xml:space="preserve"> </w:t>
      </w:r>
      <w:r>
        <w:t xml:space="preserve">24(2): 239–257.</w:t>
      </w:r>
    </w:p>
    <w:bookmarkEnd w:id="62"/>
    <w:bookmarkStart w:id="64" w:name="ref-busemeyer_social_2022"/>
    <w:p>
      <w:pPr>
        <w:pStyle w:val="Bibliography"/>
      </w:pPr>
      <w:r>
        <w:t xml:space="preserve">Busemeyer MR and Sahm AHJ (2022)</w:t>
      </w:r>
      <w:r>
        <w:t xml:space="preserve"> </w:t>
      </w:r>
      <w:hyperlink r:id="rId63">
        <w:r>
          <w:rPr>
            <w:rStyle w:val="Hyperlink"/>
          </w:rPr>
          <w:t xml:space="preserve">Social</w:t>
        </w:r>
        <w:r>
          <w:rPr>
            <w:rStyle w:val="Hyperlink"/>
          </w:rPr>
          <w:t xml:space="preserve"> </w:t>
        </w:r>
        <w:r>
          <w:rPr>
            <w:rStyle w:val="Hyperlink"/>
          </w:rPr>
          <w:t xml:space="preserve">Investment</w:t>
        </w:r>
        <w:r>
          <w:rPr>
            <w:rStyle w:val="Hyperlink"/>
          </w:rPr>
          <w:t xml:space="preserve">,</w:t>
        </w:r>
        <w:r>
          <w:rPr>
            <w:rStyle w:val="Hyperlink"/>
          </w:rPr>
          <w:t xml:space="preserve"> </w:t>
        </w:r>
        <w:r>
          <w:rPr>
            <w:rStyle w:val="Hyperlink"/>
          </w:rPr>
          <w:t xml:space="preserve">Redistribution</w:t>
        </w:r>
        <w:r>
          <w:rPr>
            <w:rStyle w:val="Hyperlink"/>
          </w:rPr>
          <w:t xml:space="preserve"> </w:t>
        </w:r>
        <w:r>
          <w:rPr>
            <w:rStyle w:val="Hyperlink"/>
          </w:rPr>
          <w:t xml:space="preserve">or</w:t>
        </w:r>
        <w:r>
          <w:rPr>
            <w:rStyle w:val="Hyperlink"/>
          </w:rPr>
          <w:t xml:space="preserve"> </w:t>
        </w:r>
        <w:r>
          <w:rPr>
            <w:rStyle w:val="Hyperlink"/>
          </w:rPr>
          <w:t xml:space="preserve">Basic Income</w:t>
        </w:r>
        <w:r>
          <w:rPr>
            <w:rStyle w:val="Hyperlink"/>
          </w:rPr>
          <w:t xml:space="preserve">?</w:t>
        </w:r>
        <w:r>
          <w:rPr>
            <w:rStyle w:val="Hyperlink"/>
          </w:rPr>
          <w:t xml:space="preserve"> </w:t>
        </w:r>
        <w:r>
          <w:rPr>
            <w:rStyle w:val="Hyperlink"/>
          </w:rPr>
          <w:t xml:space="preserve">Exploring</w:t>
        </w:r>
        <w:r>
          <w:rPr>
            <w:rStyle w:val="Hyperlink"/>
          </w:rPr>
          <w:t xml:space="preserve"> </w:t>
        </w:r>
        <w:r>
          <w:rPr>
            <w:rStyle w:val="Hyperlink"/>
          </w:rPr>
          <w:t xml:space="preserve">the</w:t>
        </w:r>
        <w:r>
          <w:rPr>
            <w:rStyle w:val="Hyperlink"/>
          </w:rPr>
          <w:t xml:space="preserve"> </w:t>
        </w:r>
        <w:r>
          <w:rPr>
            <w:rStyle w:val="Hyperlink"/>
          </w:rPr>
          <w:t xml:space="preserve">Association Between Automation Risk</w:t>
        </w:r>
        <w:r>
          <w:rPr>
            <w:rStyle w:val="Hyperlink"/>
          </w:rPr>
          <w:t xml:space="preserve"> </w:t>
        </w:r>
        <w:r>
          <w:rPr>
            <w:rStyle w:val="Hyperlink"/>
          </w:rPr>
          <w:t xml:space="preserve">and</w:t>
        </w:r>
        <w:r>
          <w:rPr>
            <w:rStyle w:val="Hyperlink"/>
          </w:rPr>
          <w:t xml:space="preserve"> </w:t>
        </w:r>
        <w:r>
          <w:rPr>
            <w:rStyle w:val="Hyperlink"/>
          </w:rPr>
          <w:t xml:space="preserve">Welfare State Attitudes</w:t>
        </w:r>
        <w:r>
          <w:rPr>
            <w:rStyle w:val="Hyperlink"/>
          </w:rPr>
          <w:t xml:space="preserve"> </w:t>
        </w:r>
        <w:r>
          <w:rPr>
            <w:rStyle w:val="Hyperlink"/>
          </w:rPr>
          <w:t xml:space="preserve">in</w:t>
        </w:r>
        <w:r>
          <w:rPr>
            <w:rStyle w:val="Hyperlink"/>
          </w:rPr>
          <w:t xml:space="preserve"> </w:t>
        </w:r>
        <w:r>
          <w:rPr>
            <w:rStyle w:val="Hyperlink"/>
          </w:rPr>
          <w:t xml:space="preserve">Europe</w:t>
        </w:r>
      </w:hyperlink>
      <w:r>
        <w:t xml:space="preserve">.</w:t>
      </w:r>
      <w:r>
        <w:t xml:space="preserve"> </w:t>
      </w:r>
      <w:r>
        <w:rPr>
          <w:i/>
          <w:iCs/>
        </w:rPr>
        <w:t xml:space="preserve">Journal of Social Policy</w:t>
      </w:r>
      <w:r>
        <w:t xml:space="preserve"> </w:t>
      </w:r>
      <w:r>
        <w:t xml:space="preserve">51(4): 751–770.</w:t>
      </w:r>
    </w:p>
    <w:bookmarkEnd w:id="64"/>
    <w:bookmarkStart w:id="66" w:name="ref-bustelo_automation_2020"/>
    <w:p>
      <w:pPr>
        <w:pStyle w:val="Bibliography"/>
      </w:pPr>
      <w:r>
        <w:t xml:space="preserve">Bustelo M, Egaña Del Sol P, Ripani L, et al. (2020)</w:t>
      </w:r>
      <w:r>
        <w:t xml:space="preserve"> </w:t>
      </w:r>
      <w:hyperlink r:id="rId65">
        <w:r>
          <w:rPr>
            <w:rStyle w:val="Hyperlink"/>
            <w:i/>
            <w:iCs/>
          </w:rPr>
          <w:t xml:space="preserve">Automation in</w:t>
        </w:r>
        <w:r>
          <w:rPr>
            <w:rStyle w:val="Hyperlink"/>
            <w:i/>
            <w:iCs/>
          </w:rPr>
          <w:t xml:space="preserve"> </w:t>
        </w:r>
        <w:r>
          <w:rPr>
            <w:rStyle w:val="Hyperlink"/>
            <w:i/>
            <w:iCs/>
          </w:rPr>
          <w:t xml:space="preserve">Latin America</w:t>
        </w:r>
        <w:r>
          <w:rPr>
            <w:rStyle w:val="Hyperlink"/>
            <w:i/>
            <w:iCs/>
          </w:rPr>
          <w:t xml:space="preserve">:</w:t>
        </w:r>
        <w:r>
          <w:rPr>
            <w:rStyle w:val="Hyperlink"/>
            <w:i/>
            <w:iCs/>
          </w:rPr>
          <w:t xml:space="preserve"> </w:t>
        </w:r>
        <w:r>
          <w:rPr>
            <w:rStyle w:val="Hyperlink"/>
            <w:i/>
            <w:iCs/>
          </w:rPr>
          <w:t xml:space="preserve">Are Women</w:t>
        </w:r>
        <w:r>
          <w:rPr>
            <w:rStyle w:val="Hyperlink"/>
            <w:i/>
            <w:iCs/>
          </w:rPr>
          <w:t xml:space="preserve"> </w:t>
        </w:r>
        <w:r>
          <w:rPr>
            <w:rStyle w:val="Hyperlink"/>
            <w:i/>
            <w:iCs/>
          </w:rPr>
          <w:t xml:space="preserve">at</w:t>
        </w:r>
        <w:r>
          <w:rPr>
            <w:rStyle w:val="Hyperlink"/>
            <w:i/>
            <w:iCs/>
          </w:rPr>
          <w:t xml:space="preserve"> </w:t>
        </w:r>
        <w:r>
          <w:rPr>
            <w:rStyle w:val="Hyperlink"/>
            <w:i/>
            <w:iCs/>
          </w:rPr>
          <w:t xml:space="preserve">Higher Risk</w:t>
        </w:r>
        <w:r>
          <w:rPr>
            <w:rStyle w:val="Hyperlink"/>
            <w:i/>
            <w:iCs/>
          </w:rPr>
          <w:t xml:space="preserve"> </w:t>
        </w:r>
        <w:r>
          <w:rPr>
            <w:rStyle w:val="Hyperlink"/>
            <w:i/>
            <w:iCs/>
          </w:rPr>
          <w:t xml:space="preserve">of</w:t>
        </w:r>
        <w:r>
          <w:rPr>
            <w:rStyle w:val="Hyperlink"/>
            <w:i/>
            <w:iCs/>
          </w:rPr>
          <w:t xml:space="preserve"> </w:t>
        </w:r>
        <w:r>
          <w:rPr>
            <w:rStyle w:val="Hyperlink"/>
            <w:i/>
            <w:iCs/>
          </w:rPr>
          <w:t xml:space="preserve">Losing Their Jobs</w:t>
        </w:r>
        <w:r>
          <w:rPr>
            <w:rStyle w:val="Hyperlink"/>
            <w:i/>
            <w:iCs/>
          </w:rPr>
          <w:t xml:space="preserve">?</w:t>
        </w:r>
      </w:hyperlink>
      <w:r>
        <w:t xml:space="preserve"> August. Inter-American Development Bank.</w:t>
      </w:r>
    </w:p>
    <w:bookmarkEnd w:id="66"/>
    <w:bookmarkStart w:id="68" w:name="ref-castillo_perception_2022"/>
    <w:p>
      <w:pPr>
        <w:pStyle w:val="Bibliography"/>
      </w:pPr>
      <w:r>
        <w:t xml:space="preserve">Castillo J-C, García-Castro J-D and Venegas M (2022)</w:t>
      </w:r>
      <w:r>
        <w:t xml:space="preserve"> </w:t>
      </w:r>
      <w:hyperlink r:id="rId67">
        <w:r>
          <w:rPr>
            <w:rStyle w:val="Hyperlink"/>
          </w:rPr>
          <w:t xml:space="preserve">Perception of economic inequality: Concepts, associated factors and prospects of a burgeoning research agenda (</w:t>
        </w:r>
        <w:r>
          <w:rPr>
            <w:rStyle w:val="Hyperlink"/>
          </w:rPr>
          <w:t xml:space="preserve">Percepción</w:t>
        </w:r>
        <w:r>
          <w:rPr>
            <w:rStyle w:val="Hyperlink"/>
          </w:rPr>
          <w:t xml:space="preserve"> </w:t>
        </w:r>
        <w:r>
          <w:rPr>
            <w:rStyle w:val="Hyperlink"/>
          </w:rPr>
          <w:t xml:space="preserve">de desigualdad económica: Conceptos, factores asociados y proyecciones de una agenda creciente de investigación)</w:t>
        </w:r>
      </w:hyperlink>
      <w:r>
        <w:t xml:space="preserve">.</w:t>
      </w:r>
      <w:r>
        <w:t xml:space="preserve"> </w:t>
      </w:r>
      <w:r>
        <w:rPr>
          <w:i/>
          <w:iCs/>
        </w:rPr>
        <w:t xml:space="preserve">International Journal of Social Psychology: Revista de Psicología Social</w:t>
      </w:r>
      <w:r>
        <w:t xml:space="preserve"> </w:t>
      </w:r>
      <w:r>
        <w:t xml:space="preserve">37(1): 180–207.</w:t>
      </w:r>
    </w:p>
    <w:bookmarkEnd w:id="68"/>
    <w:bookmarkStart w:id="70" w:name="ref-castillo_perceptions_2025"/>
    <w:p>
      <w:pPr>
        <w:pStyle w:val="Bibliography"/>
      </w:pPr>
      <w:r>
        <w:t xml:space="preserve">Castillo JC, Laffert A, Carrasco K, et al. (2025)</w:t>
      </w:r>
      <w:r>
        <w:t xml:space="preserve"> </w:t>
      </w:r>
      <w:hyperlink r:id="rId69">
        <w:r>
          <w:rPr>
            <w:rStyle w:val="Hyperlink"/>
          </w:rPr>
          <w:t xml:space="preserve">Perceptions of inequality and meritocracy: Their interplay in shaping preferences for market justice in</w:t>
        </w:r>
        <w:r>
          <w:rPr>
            <w:rStyle w:val="Hyperlink"/>
          </w:rPr>
          <w:t xml:space="preserve"> </w:t>
        </w:r>
        <w:r>
          <w:rPr>
            <w:rStyle w:val="Hyperlink"/>
          </w:rPr>
          <w:t xml:space="preserve">Chile</w:t>
        </w:r>
        <w:r>
          <w:rPr>
            <w:rStyle w:val="Hyperlink"/>
          </w:rPr>
          <w:t xml:space="preserve"> </w:t>
        </w:r>
        <w:r>
          <w:rPr>
            <w:rStyle w:val="Hyperlink"/>
          </w:rPr>
          <w:t xml:space="preserve">(2016–2023)</w:t>
        </w:r>
      </w:hyperlink>
      <w:r>
        <w:t xml:space="preserve">.</w:t>
      </w:r>
      <w:r>
        <w:t xml:space="preserve"> </w:t>
      </w:r>
      <w:r>
        <w:rPr>
          <w:i/>
          <w:iCs/>
        </w:rPr>
        <w:t xml:space="preserve">Frontiers in Sociology</w:t>
      </w:r>
      <w:r>
        <w:t xml:space="preserve"> </w:t>
      </w:r>
      <w:r>
        <w:t xml:space="preserve">10: 1634219.</w:t>
      </w:r>
    </w:p>
    <w:bookmarkEnd w:id="70"/>
    <w:bookmarkStart w:id="72" w:name="ref-cavaille_fair_2025"/>
    <w:p>
      <w:pPr>
        <w:pStyle w:val="Bibliography"/>
      </w:pPr>
      <w:r>
        <w:t xml:space="preserve">Cavaillé C (2025)</w:t>
      </w:r>
      <w:r>
        <w:t xml:space="preserve"> </w:t>
      </w:r>
      <w:hyperlink r:id="rId71">
        <w:r>
          <w:rPr>
            <w:rStyle w:val="Hyperlink"/>
            <w:i/>
            <w:iCs/>
          </w:rPr>
          <w:t xml:space="preserve">Fair</w:t>
        </w:r>
        <w:r>
          <w:rPr>
            <w:rStyle w:val="Hyperlink"/>
            <w:i/>
            <w:iCs/>
          </w:rPr>
          <w:t xml:space="preserve"> </w:t>
        </w:r>
        <w:r>
          <w:rPr>
            <w:rStyle w:val="Hyperlink"/>
            <w:i/>
            <w:iCs/>
          </w:rPr>
          <w:t xml:space="preserve">Enough</w:t>
        </w:r>
        <w:r>
          <w:rPr>
            <w:rStyle w:val="Hyperlink"/>
            <w:i/>
            <w:iCs/>
          </w:rPr>
          <w:t xml:space="preserve">?:</w:t>
        </w:r>
        <w:r>
          <w:rPr>
            <w:rStyle w:val="Hyperlink"/>
            <w:i/>
            <w:iCs/>
          </w:rPr>
          <w:t xml:space="preserve"> </w:t>
        </w:r>
        <w:r>
          <w:rPr>
            <w:rStyle w:val="Hyperlink"/>
            <w:i/>
            <w:iCs/>
          </w:rPr>
          <w:t xml:space="preserve">Support</w:t>
        </w:r>
        <w:r>
          <w:rPr>
            <w:rStyle w:val="Hyperlink"/>
            <w:i/>
            <w:iCs/>
          </w:rPr>
          <w:t xml:space="preserve"> </w:t>
        </w:r>
        <w:r>
          <w:rPr>
            <w:rStyle w:val="Hyperlink"/>
            <w:i/>
            <w:iCs/>
          </w:rPr>
          <w:t xml:space="preserve">for</w:t>
        </w:r>
        <w:r>
          <w:rPr>
            <w:rStyle w:val="Hyperlink"/>
            <w:i/>
            <w:iCs/>
          </w:rPr>
          <w:t xml:space="preserve"> </w:t>
        </w:r>
        <w:r>
          <w:rPr>
            <w:rStyle w:val="Hyperlink"/>
            <w:i/>
            <w:iCs/>
          </w:rPr>
          <w:t xml:space="preserve">Redistribution</w:t>
        </w:r>
        <w:r>
          <w:rPr>
            <w:rStyle w:val="Hyperlink"/>
            <w:i/>
            <w:iCs/>
          </w:rPr>
          <w:t xml:space="preserve"> </w:t>
        </w:r>
        <w:r>
          <w:rPr>
            <w:rStyle w:val="Hyperlink"/>
            <w:i/>
            <w:iCs/>
          </w:rPr>
          <w:t xml:space="preserve">in the</w:t>
        </w:r>
        <w:r>
          <w:rPr>
            <w:rStyle w:val="Hyperlink"/>
            <w:i/>
            <w:iCs/>
          </w:rPr>
          <w:t xml:space="preserve"> </w:t>
        </w:r>
        <w:r>
          <w:rPr>
            <w:rStyle w:val="Hyperlink"/>
            <w:i/>
            <w:iCs/>
          </w:rPr>
          <w:t xml:space="preserve">Age</w:t>
        </w:r>
        <w:r>
          <w:rPr>
            <w:rStyle w:val="Hyperlink"/>
            <w:i/>
            <w:iCs/>
          </w:rPr>
          <w:t xml:space="preserve"> </w:t>
        </w:r>
        <w:r>
          <w:rPr>
            <w:rStyle w:val="Hyperlink"/>
            <w:i/>
            <w:iCs/>
          </w:rPr>
          <w:t xml:space="preserve">of</w:t>
        </w:r>
        <w:r>
          <w:rPr>
            <w:rStyle w:val="Hyperlink"/>
            <w:i/>
            <w:iCs/>
          </w:rPr>
          <w:t xml:space="preserve"> </w:t>
        </w:r>
        <w:r>
          <w:rPr>
            <w:rStyle w:val="Hyperlink"/>
            <w:i/>
            <w:iCs/>
          </w:rPr>
          <w:t xml:space="preserve">Inequality</w:t>
        </w:r>
      </w:hyperlink>
      <w:r>
        <w:t xml:space="preserve">. 1st edn Cambridge University Press.</w:t>
      </w:r>
    </w:p>
    <w:bookmarkEnd w:id="72"/>
    <w:bookmarkStart w:id="73" w:name="ref-haubo_cumulative_2018"/>
    <w:p>
      <w:pPr>
        <w:pStyle w:val="Bibliography"/>
      </w:pPr>
      <w:r>
        <w:t xml:space="preserve">Christensen RHB (2018) Cumulative link models for ordinal regression with the</w:t>
      </w:r>
      <w:r>
        <w:t xml:space="preserve"> </w:t>
      </w:r>
      <w:r>
        <w:t xml:space="preserve">R</w:t>
      </w:r>
      <w:r>
        <w:t xml:space="preserve"> </w:t>
      </w:r>
      <w:r>
        <w:t xml:space="preserve">package ordinal. In: 2018.</w:t>
      </w:r>
    </w:p>
    <w:bookmarkEnd w:id="73"/>
    <w:bookmarkStart w:id="75" w:name="ref-chung_institutions_2011"/>
    <w:p>
      <w:pPr>
        <w:pStyle w:val="Bibliography"/>
      </w:pPr>
      <w:r>
        <w:t xml:space="preserve">Chung H and Van Oorschot W (2011)</w:t>
      </w:r>
      <w:r>
        <w:t xml:space="preserve"> </w:t>
      </w:r>
      <w:hyperlink r:id="rId74">
        <w:r>
          <w:rPr>
            <w:rStyle w:val="Hyperlink"/>
          </w:rPr>
          <w:t xml:space="preserve">Institutions versus market forces:</w:t>
        </w:r>
        <w:r>
          <w:rPr>
            <w:rStyle w:val="Hyperlink"/>
          </w:rPr>
          <w:t xml:space="preserve"> </w:t>
        </w:r>
        <w:r>
          <w:rPr>
            <w:rStyle w:val="Hyperlink"/>
          </w:rPr>
          <w:t xml:space="preserve">Explaining</w:t>
        </w:r>
        <w:r>
          <w:rPr>
            <w:rStyle w:val="Hyperlink"/>
          </w:rPr>
          <w:t xml:space="preserve"> </w:t>
        </w:r>
        <w:r>
          <w:rPr>
            <w:rStyle w:val="Hyperlink"/>
          </w:rPr>
          <w:t xml:space="preserve">the employment insecurity of</w:t>
        </w:r>
        <w:r>
          <w:rPr>
            <w:rStyle w:val="Hyperlink"/>
          </w:rPr>
          <w:t xml:space="preserve"> </w:t>
        </w:r>
        <w:r>
          <w:rPr>
            <w:rStyle w:val="Hyperlink"/>
          </w:rPr>
          <w:t xml:space="preserve">European</w:t>
        </w:r>
        <w:r>
          <w:rPr>
            <w:rStyle w:val="Hyperlink"/>
          </w:rPr>
          <w:t xml:space="preserve"> </w:t>
        </w:r>
        <w:r>
          <w:rPr>
            <w:rStyle w:val="Hyperlink"/>
          </w:rPr>
          <w:t xml:space="preserve">individuals during (the beginning of) the financial crisis</w:t>
        </w:r>
      </w:hyperlink>
      <w:r>
        <w:t xml:space="preserve">.</w:t>
      </w:r>
      <w:r>
        <w:t xml:space="preserve"> </w:t>
      </w:r>
      <w:r>
        <w:rPr>
          <w:i/>
          <w:iCs/>
        </w:rPr>
        <w:t xml:space="preserve">Journal of European Social Policy</w:t>
      </w:r>
      <w:r>
        <w:t xml:space="preserve"> </w:t>
      </w:r>
      <w:r>
        <w:t xml:space="preserve">21(4): 287–301.</w:t>
      </w:r>
    </w:p>
    <w:bookmarkEnd w:id="75"/>
    <w:bookmarkStart w:id="76" w:name="X8f09c96f00ce2967a1485d0ccd3bfdbc82ad32c"/>
    <w:p>
      <w:pPr>
        <w:pStyle w:val="Bibliography"/>
      </w:pPr>
      <w:r>
        <w:t xml:space="preserve">Council of the European Union (2019) Council</w:t>
      </w:r>
      <w:r>
        <w:t xml:space="preserve"> </w:t>
      </w:r>
      <w:r>
        <w:t xml:space="preserve">Recommendation</w:t>
      </w:r>
      <w:r>
        <w:t xml:space="preserve"> </w:t>
      </w:r>
      <w:r>
        <w:t xml:space="preserve">of 8</w:t>
      </w:r>
      <w:r>
        <w:t xml:space="preserve"> </w:t>
      </w:r>
      <w:r>
        <w:t xml:space="preserve">November</w:t>
      </w:r>
      <w:r>
        <w:t xml:space="preserve"> </w:t>
      </w:r>
      <w:r>
        <w:t xml:space="preserve">2019 on access to social protection for workers and the self-employed (2019/</w:t>
      </w:r>
      <w:r>
        <w:t xml:space="preserve">C</w:t>
      </w:r>
      <w:r>
        <w:t xml:space="preserve"> </w:t>
      </w:r>
      <w:r>
        <w:t xml:space="preserve">387/01). Official Journal of the European Union, C 387, 15 November 2019, pp. 1–8.</w:t>
      </w:r>
    </w:p>
    <w:bookmarkEnd w:id="76"/>
    <w:bookmarkStart w:id="78" w:name="ref-cusack_risks_2006"/>
    <w:p>
      <w:pPr>
        <w:pStyle w:val="Bibliography"/>
      </w:pPr>
      <w:r>
        <w:t xml:space="preserve">Cusack T, Iversen T and Rehm P (2006)</w:t>
      </w:r>
      <w:r>
        <w:t xml:space="preserve"> </w:t>
      </w:r>
      <w:hyperlink r:id="rId77">
        <w:r>
          <w:rPr>
            <w:rStyle w:val="Hyperlink"/>
          </w:rPr>
          <w:t xml:space="preserve">Risks at</w:t>
        </w:r>
        <w:r>
          <w:rPr>
            <w:rStyle w:val="Hyperlink"/>
          </w:rPr>
          <w:t xml:space="preserve"> </w:t>
        </w:r>
        <w:r>
          <w:rPr>
            <w:rStyle w:val="Hyperlink"/>
          </w:rPr>
          <w:t xml:space="preserve">Work</w:t>
        </w:r>
        <w:r>
          <w:rPr>
            <w:rStyle w:val="Hyperlink"/>
          </w:rPr>
          <w:t xml:space="preserve">:</w:t>
        </w:r>
        <w:r>
          <w:rPr>
            <w:rStyle w:val="Hyperlink"/>
          </w:rPr>
          <w:t xml:space="preserve"> </w:t>
        </w:r>
        <w:r>
          <w:rPr>
            <w:rStyle w:val="Hyperlink"/>
          </w:rPr>
          <w:t xml:space="preserve">The Demand</w:t>
        </w:r>
        <w:r>
          <w:rPr>
            <w:rStyle w:val="Hyperlink"/>
          </w:rPr>
          <w:t xml:space="preserve"> </w:t>
        </w:r>
        <w:r>
          <w:rPr>
            <w:rStyle w:val="Hyperlink"/>
          </w:rPr>
          <w:t xml:space="preserve">and</w:t>
        </w:r>
        <w:r>
          <w:rPr>
            <w:rStyle w:val="Hyperlink"/>
          </w:rPr>
          <w:t xml:space="preserve"> </w:t>
        </w:r>
        <w:r>
          <w:rPr>
            <w:rStyle w:val="Hyperlink"/>
          </w:rPr>
          <w:t xml:space="preserve">Supply Sides</w:t>
        </w:r>
        <w:r>
          <w:rPr>
            <w:rStyle w:val="Hyperlink"/>
          </w:rPr>
          <w:t xml:space="preserve"> </w:t>
        </w:r>
        <w:r>
          <w:rPr>
            <w:rStyle w:val="Hyperlink"/>
          </w:rPr>
          <w:t xml:space="preserve">of</w:t>
        </w:r>
        <w:r>
          <w:rPr>
            <w:rStyle w:val="Hyperlink"/>
          </w:rPr>
          <w:t xml:space="preserve"> </w:t>
        </w:r>
        <w:r>
          <w:rPr>
            <w:rStyle w:val="Hyperlink"/>
          </w:rPr>
          <w:t xml:space="preserve">Government Redistribution</w:t>
        </w:r>
      </w:hyperlink>
      <w:r>
        <w:t xml:space="preserve">.</w:t>
      </w:r>
      <w:r>
        <w:t xml:space="preserve"> </w:t>
      </w:r>
      <w:r>
        <w:rPr>
          <w:i/>
          <w:iCs/>
        </w:rPr>
        <w:t xml:space="preserve">Oxford Review of Economic Policy</w:t>
      </w:r>
      <w:r>
        <w:t xml:space="preserve"> </w:t>
      </w:r>
      <w:r>
        <w:t xml:space="preserve">22(3): 365–389.</w:t>
      </w:r>
    </w:p>
    <w:bookmarkEnd w:id="78"/>
    <w:bookmarkStart w:id="80" w:name="ref-dewitte_job_2005"/>
    <w:p>
      <w:pPr>
        <w:pStyle w:val="Bibliography"/>
      </w:pPr>
      <w:r>
        <w:t xml:space="preserve">De Witte H (2005)</w:t>
      </w:r>
      <w:r>
        <w:t xml:space="preserve"> </w:t>
      </w:r>
      <w:hyperlink r:id="rId79">
        <w:r>
          <w:rPr>
            <w:rStyle w:val="Hyperlink"/>
          </w:rPr>
          <w:t xml:space="preserve">Job insecurity:</w:t>
        </w:r>
        <w:r>
          <w:rPr>
            <w:rStyle w:val="Hyperlink"/>
          </w:rPr>
          <w:t xml:space="preserve"> </w:t>
        </w:r>
        <w:r>
          <w:rPr>
            <w:rStyle w:val="Hyperlink"/>
          </w:rPr>
          <w:t xml:space="preserve">Review</w:t>
        </w:r>
        <w:r>
          <w:rPr>
            <w:rStyle w:val="Hyperlink"/>
          </w:rPr>
          <w:t xml:space="preserve"> </w:t>
        </w:r>
        <w:r>
          <w:rPr>
            <w:rStyle w:val="Hyperlink"/>
          </w:rPr>
          <w:t xml:space="preserve">of the international literature on definitions, prevalence, antecedents and consequences</w:t>
        </w:r>
      </w:hyperlink>
      <w:r>
        <w:t xml:space="preserve">.</w:t>
      </w:r>
      <w:r>
        <w:t xml:space="preserve"> </w:t>
      </w:r>
      <w:r>
        <w:rPr>
          <w:i/>
          <w:iCs/>
        </w:rPr>
        <w:t xml:space="preserve">SA Journal of Industrial Psychology</w:t>
      </w:r>
      <w:r>
        <w:t xml:space="preserve"> </w:t>
      </w:r>
      <w:r>
        <w:t xml:space="preserve">31(4).</w:t>
      </w:r>
    </w:p>
    <w:bookmarkEnd w:id="80"/>
    <w:bookmarkStart w:id="82" w:name="ref-dekker_fear_2017"/>
    <w:p>
      <w:pPr>
        <w:pStyle w:val="Bibliography"/>
      </w:pPr>
      <w:r>
        <w:t xml:space="preserve">Dekker F, Salomons A and Waal JVD (2017)</w:t>
      </w:r>
      <w:r>
        <w:t xml:space="preserve"> </w:t>
      </w:r>
      <w:hyperlink r:id="rId81">
        <w:r>
          <w:rPr>
            <w:rStyle w:val="Hyperlink"/>
          </w:rPr>
          <w:t xml:space="preserve">Fear of robots at work: The role of economic self-interest</w:t>
        </w:r>
      </w:hyperlink>
      <w:r>
        <w:t xml:space="preserve">.</w:t>
      </w:r>
      <w:r>
        <w:t xml:space="preserve"> </w:t>
      </w:r>
      <w:r>
        <w:rPr>
          <w:i/>
          <w:iCs/>
        </w:rPr>
        <w:t xml:space="preserve">Socio-Economic Review</w:t>
      </w:r>
      <w:r>
        <w:t xml:space="preserve"> </w:t>
      </w:r>
      <w:r>
        <w:t xml:space="preserve">15(3): 539–562.</w:t>
      </w:r>
    </w:p>
    <w:bookmarkEnd w:id="82"/>
    <w:bookmarkStart w:id="84" w:name="ref-emmenegger_age_2012"/>
    <w:p>
      <w:pPr>
        <w:pStyle w:val="Bibliography"/>
      </w:pPr>
      <w:r>
        <w:t xml:space="preserve">Emmenegger P, Häusermann S, Palier B, et al. (2012)</w:t>
      </w:r>
      <w:r>
        <w:t xml:space="preserve"> </w:t>
      </w:r>
      <w:hyperlink r:id="rId83">
        <w:r>
          <w:rPr>
            <w:rStyle w:val="Hyperlink"/>
            <w:i/>
            <w:iCs/>
          </w:rPr>
          <w:t xml:space="preserve">The Age of Dualization : The Changing Face of Inequality in Deindustrializing Societies</w:t>
        </w:r>
      </w:hyperlink>
      <w:r>
        <w:t xml:space="preserve"> </w:t>
      </w:r>
      <w:r>
        <w:t xml:space="preserve">(eds P Emmenegger, S Häusermann, B Palier, et al.). Oxford University Press.</w:t>
      </w:r>
    </w:p>
    <w:bookmarkEnd w:id="84"/>
    <w:bookmarkStart w:id="85" w:name="ref-esping-andersen_three_1993"/>
    <w:p>
      <w:pPr>
        <w:pStyle w:val="Bibliography"/>
      </w:pPr>
      <w:r>
        <w:t xml:space="preserve">Esping-Andersen G (1990)</w:t>
      </w:r>
      <w:r>
        <w:t xml:space="preserve"> </w:t>
      </w:r>
      <w:r>
        <w:rPr>
          <w:i/>
          <w:iCs/>
        </w:rPr>
        <w:t xml:space="preserve">The Three Worlds of Welfare Capitalism</w:t>
      </w:r>
      <w:r>
        <w:t xml:space="preserve">. Cambridge: Polity press.</w:t>
      </w:r>
    </w:p>
    <w:bookmarkEnd w:id="85"/>
    <w:bookmarkStart w:id="86" w:name="X84184924b7d64ffb4d0b8e850c04b813ecf2c5f"/>
    <w:p>
      <w:pPr>
        <w:pStyle w:val="Bibliography"/>
      </w:pPr>
      <w:r>
        <w:t xml:space="preserve">European Parliament and Council of the European Union (2024) Directive (</w:t>
      </w:r>
      <w:r>
        <w:t xml:space="preserve">EU</w:t>
      </w:r>
      <w:r>
        <w:t xml:space="preserve">) 2024/2831 of the</w:t>
      </w:r>
      <w:r>
        <w:t xml:space="preserve"> </w:t>
      </w:r>
      <w:r>
        <w:t xml:space="preserve">European Parliament</w:t>
      </w:r>
      <w:r>
        <w:t xml:space="preserve"> </w:t>
      </w:r>
      <w:r>
        <w:t xml:space="preserve">and of the</w:t>
      </w:r>
      <w:r>
        <w:t xml:space="preserve"> </w:t>
      </w:r>
      <w:r>
        <w:t xml:space="preserve">Council</w:t>
      </w:r>
      <w:r>
        <w:t xml:space="preserve"> </w:t>
      </w:r>
      <w:r>
        <w:t xml:space="preserve">of 23</w:t>
      </w:r>
      <w:r>
        <w:t xml:space="preserve"> </w:t>
      </w:r>
      <w:r>
        <w:t xml:space="preserve">October</w:t>
      </w:r>
      <w:r>
        <w:t xml:space="preserve"> </w:t>
      </w:r>
      <w:r>
        <w:t xml:space="preserve">2024 on improving working conditions in platform work (</w:t>
      </w:r>
      <w:r>
        <w:t xml:space="preserve">Text</w:t>
      </w:r>
      <w:r>
        <w:t xml:space="preserve"> </w:t>
      </w:r>
      <w:r>
        <w:t xml:space="preserve">with</w:t>
      </w:r>
      <w:r>
        <w:t xml:space="preserve"> </w:t>
      </w:r>
      <w:r>
        <w:t xml:space="preserve">EEA</w:t>
      </w:r>
      <w:r>
        <w:t xml:space="preserve"> </w:t>
      </w:r>
      <w:r>
        <w:t xml:space="preserve">relevance). Official Journal of the European Union, L series, 11 November 2024.</w:t>
      </w:r>
    </w:p>
    <w:bookmarkEnd w:id="86"/>
    <w:bookmarkStart w:id="88" w:name="ref-fan_how_2024"/>
    <w:p>
      <w:pPr>
        <w:pStyle w:val="Bibliography"/>
      </w:pPr>
      <w:r>
        <w:t xml:space="preserve">Fan Z, Ning J and He AJ (2024)</w:t>
      </w:r>
      <w:r>
        <w:t xml:space="preserve"> </w:t>
      </w:r>
      <w:hyperlink r:id="rId87">
        <w:r>
          <w:rPr>
            <w:rStyle w:val="Hyperlink"/>
          </w:rPr>
          <w:t xml:space="preserve">How</w:t>
        </w:r>
        <w:r>
          <w:rPr>
            <w:rStyle w:val="Hyperlink"/>
          </w:rPr>
          <w:t xml:space="preserve"> </w:t>
        </w:r>
        <w:r>
          <w:rPr>
            <w:rStyle w:val="Hyperlink"/>
          </w:rPr>
          <w:t xml:space="preserve">Does Automation Risk Shape Social Policy Preference</w:t>
        </w:r>
        <w:r>
          <w:rPr>
            <w:rStyle w:val="Hyperlink"/>
          </w:rPr>
          <w:t xml:space="preserve">?</w:t>
        </w:r>
        <w:r>
          <w:rPr>
            <w:rStyle w:val="Hyperlink"/>
          </w:rPr>
          <w:t xml:space="preserve"> </w:t>
        </w:r>
        <w:r>
          <w:rPr>
            <w:rStyle w:val="Hyperlink"/>
          </w:rPr>
          <w:t xml:space="preserve">Employment Insecurity</w:t>
        </w:r>
        <w:r>
          <w:rPr>
            <w:rStyle w:val="Hyperlink"/>
          </w:rPr>
          <w:t xml:space="preserve"> </w:t>
        </w:r>
        <w:r>
          <w:rPr>
            <w:rStyle w:val="Hyperlink"/>
          </w:rPr>
          <w:t xml:space="preserve">and</w:t>
        </w:r>
        <w:r>
          <w:rPr>
            <w:rStyle w:val="Hyperlink"/>
          </w:rPr>
          <w:t xml:space="preserve"> </w:t>
        </w:r>
        <w:r>
          <w:rPr>
            <w:rStyle w:val="Hyperlink"/>
          </w:rPr>
          <w:t xml:space="preserve">Policy Feedback Effect</w:t>
        </w:r>
        <w:r>
          <w:rPr>
            <w:rStyle w:val="Hyperlink"/>
          </w:rPr>
          <w:t xml:space="preserve"> </w:t>
        </w:r>
        <w:r>
          <w:rPr>
            <w:rStyle w:val="Hyperlink"/>
          </w:rPr>
          <w:t xml:space="preserve">in</w:t>
        </w:r>
        <w:r>
          <w:rPr>
            <w:rStyle w:val="Hyperlink"/>
          </w:rPr>
          <w:t xml:space="preserve"> </w:t>
        </w:r>
        <w:r>
          <w:rPr>
            <w:rStyle w:val="Hyperlink"/>
          </w:rPr>
          <w:t xml:space="preserve">China</w:t>
        </w:r>
      </w:hyperlink>
      <w:r>
        <w:t xml:space="preserve">.</w:t>
      </w:r>
      <w:r>
        <w:t xml:space="preserve"> </w:t>
      </w:r>
      <w:r>
        <w:rPr>
          <w:i/>
          <w:iCs/>
        </w:rPr>
        <w:t xml:space="preserve">Social Policy and Society</w:t>
      </w:r>
      <w:r>
        <w:t xml:space="preserve"> </w:t>
      </w:r>
      <w:r>
        <w:t xml:space="preserve">23(3): 750–768.</w:t>
      </w:r>
    </w:p>
    <w:bookmarkEnd w:id="88"/>
    <w:bookmarkStart w:id="89" w:name="ref-Fenger2006WelfareRI"/>
    <w:p>
      <w:pPr>
        <w:pStyle w:val="Bibliography"/>
      </w:pPr>
      <w:r>
        <w:t xml:space="preserve">Fenger HJM (2006) Welfare regimes in central and eastern europe:</w:t>
      </w:r>
      <w:r>
        <w:t xml:space="preserve"> </w:t>
      </w:r>
      <w:r>
        <w:t xml:space="preserve">Incorporating</w:t>
      </w:r>
      <w:r>
        <w:t xml:space="preserve"> </w:t>
      </w:r>
      <w:r>
        <w:t xml:space="preserve">post-communist countries in a welfare regime typology. In: 2006.</w:t>
      </w:r>
    </w:p>
    <w:bookmarkEnd w:id="89"/>
    <w:bookmarkStart w:id="91" w:name="ref-ferrera_southern_1996"/>
    <w:p>
      <w:pPr>
        <w:pStyle w:val="Bibliography"/>
      </w:pPr>
      <w:r>
        <w:t xml:space="preserve">Ferrera M (1996)</w:t>
      </w:r>
      <w:r>
        <w:t xml:space="preserve"> </w:t>
      </w:r>
      <w:hyperlink r:id="rId90">
        <w:r>
          <w:rPr>
            <w:rStyle w:val="Hyperlink"/>
          </w:rPr>
          <w:t xml:space="preserve">The ’</w:t>
        </w:r>
        <w:r>
          <w:rPr>
            <w:rStyle w:val="Hyperlink"/>
          </w:rPr>
          <w:t xml:space="preserve">Southern Model</w:t>
        </w:r>
        <w:r>
          <w:rPr>
            <w:rStyle w:val="Hyperlink"/>
          </w:rPr>
          <w:t xml:space="preserve">’ of</w:t>
        </w:r>
        <w:r>
          <w:rPr>
            <w:rStyle w:val="Hyperlink"/>
          </w:rPr>
          <w:t xml:space="preserve"> </w:t>
        </w:r>
        <w:r>
          <w:rPr>
            <w:rStyle w:val="Hyperlink"/>
          </w:rPr>
          <w:t xml:space="preserve">Welfare</w:t>
        </w:r>
        <w:r>
          <w:rPr>
            <w:rStyle w:val="Hyperlink"/>
          </w:rPr>
          <w:t xml:space="preserve"> </w:t>
        </w:r>
        <w:r>
          <w:rPr>
            <w:rStyle w:val="Hyperlink"/>
          </w:rPr>
          <w:t xml:space="preserve">in</w:t>
        </w:r>
        <w:r>
          <w:rPr>
            <w:rStyle w:val="Hyperlink"/>
          </w:rPr>
          <w:t xml:space="preserve"> </w:t>
        </w:r>
        <w:r>
          <w:rPr>
            <w:rStyle w:val="Hyperlink"/>
          </w:rPr>
          <w:t xml:space="preserve">Social Europe</w:t>
        </w:r>
      </w:hyperlink>
      <w:r>
        <w:t xml:space="preserve">.</w:t>
      </w:r>
      <w:r>
        <w:t xml:space="preserve"> </w:t>
      </w:r>
      <w:r>
        <w:rPr>
          <w:i/>
          <w:iCs/>
        </w:rPr>
        <w:t xml:space="preserve">Journal of European Social Policy</w:t>
      </w:r>
      <w:r>
        <w:t xml:space="preserve"> </w:t>
      </w:r>
      <w:r>
        <w:t xml:space="preserve">6(1): 17–37.</w:t>
      </w:r>
    </w:p>
    <w:bookmarkEnd w:id="91"/>
    <w:bookmarkStart w:id="93" w:name="ref-finseraas_income_2009"/>
    <w:p>
      <w:pPr>
        <w:pStyle w:val="Bibliography"/>
      </w:pPr>
      <w:r>
        <w:t xml:space="preserve">Finseraas H (2009)</w:t>
      </w:r>
      <w:r>
        <w:t xml:space="preserve"> </w:t>
      </w:r>
      <w:hyperlink r:id="rId92">
        <w:r>
          <w:rPr>
            <w:rStyle w:val="Hyperlink"/>
          </w:rPr>
          <w:t xml:space="preserve">Income</w:t>
        </w:r>
        <w:r>
          <w:rPr>
            <w:rStyle w:val="Hyperlink"/>
          </w:rPr>
          <w:t xml:space="preserve"> </w:t>
        </w:r>
        <w:r>
          <w:rPr>
            <w:rStyle w:val="Hyperlink"/>
          </w:rPr>
          <w:t xml:space="preserve">Inequality</w:t>
        </w:r>
        <w:r>
          <w:rPr>
            <w:rStyle w:val="Hyperlink"/>
          </w:rPr>
          <w:t xml:space="preserve"> </w:t>
        </w:r>
        <w:r>
          <w:rPr>
            <w:rStyle w:val="Hyperlink"/>
          </w:rPr>
          <w:t xml:space="preserve">and</w:t>
        </w:r>
        <w:r>
          <w:rPr>
            <w:rStyle w:val="Hyperlink"/>
          </w:rPr>
          <w:t xml:space="preserve"> </w:t>
        </w:r>
        <w:r>
          <w:rPr>
            <w:rStyle w:val="Hyperlink"/>
          </w:rPr>
          <w:t xml:space="preserve">Demand</w:t>
        </w:r>
        <w:r>
          <w:rPr>
            <w:rStyle w:val="Hyperlink"/>
          </w:rPr>
          <w:t xml:space="preserve"> </w:t>
        </w:r>
        <w:r>
          <w:rPr>
            <w:rStyle w:val="Hyperlink"/>
          </w:rPr>
          <w:t xml:space="preserve">for</w:t>
        </w:r>
        <w:r>
          <w:rPr>
            <w:rStyle w:val="Hyperlink"/>
          </w:rPr>
          <w:t xml:space="preserve"> </w:t>
        </w:r>
        <w:r>
          <w:rPr>
            <w:rStyle w:val="Hyperlink"/>
          </w:rPr>
          <w:t xml:space="preserve">Redistribution</w:t>
        </w:r>
        <w:r>
          <w:rPr>
            <w:rStyle w:val="Hyperlink"/>
          </w:rPr>
          <w:t xml:space="preserve">:</w:t>
        </w:r>
        <w:r>
          <w:rPr>
            <w:rStyle w:val="Hyperlink"/>
          </w:rPr>
          <w:t xml:space="preserve"> </w:t>
        </w:r>
        <w:r>
          <w:rPr>
            <w:rStyle w:val="Hyperlink"/>
          </w:rPr>
          <w:t xml:space="preserve">A Multilevel Analysis</w:t>
        </w:r>
        <w:r>
          <w:rPr>
            <w:rStyle w:val="Hyperlink"/>
          </w:rPr>
          <w:t xml:space="preserve"> </w:t>
        </w:r>
        <w:r>
          <w:rPr>
            <w:rStyle w:val="Hyperlink"/>
          </w:rPr>
          <w:t xml:space="preserve">of</w:t>
        </w:r>
        <w:r>
          <w:rPr>
            <w:rStyle w:val="Hyperlink"/>
          </w:rPr>
          <w:t xml:space="preserve"> </w:t>
        </w:r>
        <w:r>
          <w:rPr>
            <w:rStyle w:val="Hyperlink"/>
          </w:rPr>
          <w:t xml:space="preserve">European Public Opinion</w:t>
        </w:r>
      </w:hyperlink>
      <w:r>
        <w:t xml:space="preserve">.</w:t>
      </w:r>
      <w:r>
        <w:t xml:space="preserve"> </w:t>
      </w:r>
      <w:r>
        <w:rPr>
          <w:i/>
          <w:iCs/>
        </w:rPr>
        <w:t xml:space="preserve">Scandinavian Political Studies</w:t>
      </w:r>
      <w:r>
        <w:t xml:space="preserve"> </w:t>
      </w:r>
      <w:r>
        <w:t xml:space="preserve">32(1): 94–119.</w:t>
      </w:r>
    </w:p>
    <w:bookmarkEnd w:id="93"/>
    <w:bookmarkStart w:id="95" w:name="ref-frey_future_2017"/>
    <w:p>
      <w:pPr>
        <w:pStyle w:val="Bibliography"/>
      </w:pPr>
      <w:r>
        <w:t xml:space="preserve">Frey CB and Osborne MA (2017)</w:t>
      </w:r>
      <w:r>
        <w:t xml:space="preserve"> </w:t>
      </w:r>
      <w:hyperlink r:id="rId94">
        <w:r>
          <w:rPr>
            <w:rStyle w:val="Hyperlink"/>
          </w:rPr>
          <w:t xml:space="preserve">The future of employment:</w:t>
        </w:r>
        <w:r>
          <w:rPr>
            <w:rStyle w:val="Hyperlink"/>
          </w:rPr>
          <w:t xml:space="preserve"> </w:t>
        </w:r>
        <w:r>
          <w:rPr>
            <w:rStyle w:val="Hyperlink"/>
          </w:rPr>
          <w:t xml:space="preserve">How</w:t>
        </w:r>
        <w:r>
          <w:rPr>
            <w:rStyle w:val="Hyperlink"/>
          </w:rPr>
          <w:t xml:space="preserve"> </w:t>
        </w:r>
        <w:r>
          <w:rPr>
            <w:rStyle w:val="Hyperlink"/>
          </w:rPr>
          <w:t xml:space="preserve">susceptible are jobs to computerisation?</w:t>
        </w:r>
      </w:hyperlink>
      <w:r>
        <w:t xml:space="preserve"> </w:t>
      </w:r>
      <w:r>
        <w:rPr>
          <w:i/>
          <w:iCs/>
        </w:rPr>
        <w:t xml:space="preserve">Technological Forecasting and Social Change</w:t>
      </w:r>
      <w:r>
        <w:t xml:space="preserve"> </w:t>
      </w:r>
      <w:r>
        <w:t xml:space="preserve">114: 254–280.</w:t>
      </w:r>
    </w:p>
    <w:bookmarkEnd w:id="95"/>
    <w:bookmarkStart w:id="97" w:name="ref-gallego_automation_2022"/>
    <w:p>
      <w:pPr>
        <w:pStyle w:val="Bibliography"/>
      </w:pPr>
      <w:r>
        <w:t xml:space="preserve">Gallego A and Kurer T (2022)</w:t>
      </w:r>
      <w:r>
        <w:t xml:space="preserve"> </w:t>
      </w:r>
      <w:hyperlink r:id="rId96">
        <w:r>
          <w:rPr>
            <w:rStyle w:val="Hyperlink"/>
          </w:rPr>
          <w:t xml:space="preserve">Automation,</w:t>
        </w:r>
        <w:r>
          <w:rPr>
            <w:rStyle w:val="Hyperlink"/>
          </w:rPr>
          <w:t xml:space="preserve"> </w:t>
        </w:r>
        <w:r>
          <w:rPr>
            <w:rStyle w:val="Hyperlink"/>
          </w:rPr>
          <w:t xml:space="preserve">Digitalization</w:t>
        </w:r>
        <w:r>
          <w:rPr>
            <w:rStyle w:val="Hyperlink"/>
          </w:rPr>
          <w:t xml:space="preserve">, and</w:t>
        </w:r>
        <w:r>
          <w:rPr>
            <w:rStyle w:val="Hyperlink"/>
          </w:rPr>
          <w:t xml:space="preserve"> </w:t>
        </w:r>
        <w:r>
          <w:rPr>
            <w:rStyle w:val="Hyperlink"/>
          </w:rPr>
          <w:t xml:space="preserve">Artificial Intelligence</w:t>
        </w:r>
        <w:r>
          <w:rPr>
            <w:rStyle w:val="Hyperlink"/>
          </w:rPr>
          <w:t xml:space="preserve"> </w:t>
        </w:r>
        <w:r>
          <w:rPr>
            <w:rStyle w:val="Hyperlink"/>
          </w:rPr>
          <w:t xml:space="preserve">in the</w:t>
        </w:r>
        <w:r>
          <w:rPr>
            <w:rStyle w:val="Hyperlink"/>
          </w:rPr>
          <w:t xml:space="preserve"> </w:t>
        </w:r>
        <w:r>
          <w:rPr>
            <w:rStyle w:val="Hyperlink"/>
          </w:rPr>
          <w:t xml:space="preserve">Workplace</w:t>
        </w:r>
        <w:r>
          <w:rPr>
            <w:rStyle w:val="Hyperlink"/>
          </w:rPr>
          <w:t xml:space="preserve">:</w:t>
        </w:r>
        <w:r>
          <w:rPr>
            <w:rStyle w:val="Hyperlink"/>
          </w:rPr>
          <w:t xml:space="preserve"> </w:t>
        </w:r>
        <w:r>
          <w:rPr>
            <w:rStyle w:val="Hyperlink"/>
          </w:rPr>
          <w:t xml:space="preserve">Implications</w:t>
        </w:r>
        <w:r>
          <w:rPr>
            <w:rStyle w:val="Hyperlink"/>
          </w:rPr>
          <w:t xml:space="preserve"> </w:t>
        </w:r>
        <w:r>
          <w:rPr>
            <w:rStyle w:val="Hyperlink"/>
          </w:rPr>
          <w:t xml:space="preserve">for</w:t>
        </w:r>
        <w:r>
          <w:rPr>
            <w:rStyle w:val="Hyperlink"/>
          </w:rPr>
          <w:t xml:space="preserve"> </w:t>
        </w:r>
        <w:r>
          <w:rPr>
            <w:rStyle w:val="Hyperlink"/>
          </w:rPr>
          <w:t xml:space="preserve">Political Behavior</w:t>
        </w:r>
      </w:hyperlink>
      <w:r>
        <w:t xml:space="preserve">.</w:t>
      </w:r>
      <w:r>
        <w:t xml:space="preserve"> </w:t>
      </w:r>
      <w:r>
        <w:rPr>
          <w:i/>
          <w:iCs/>
        </w:rPr>
        <w:t xml:space="preserve">Annual Review of Political Science</w:t>
      </w:r>
      <w:r>
        <w:t xml:space="preserve"> </w:t>
      </w:r>
      <w:r>
        <w:t xml:space="preserve">25(1): 463–484.</w:t>
      </w:r>
    </w:p>
    <w:bookmarkEnd w:id="97"/>
    <w:bookmarkStart w:id="99" w:name="ref-gallie_economic_2013"/>
    <w:p>
      <w:pPr>
        <w:pStyle w:val="Bibliography"/>
      </w:pPr>
      <w:r>
        <w:t xml:space="preserve">Gallie D (ed.) (2013)</w:t>
      </w:r>
      <w:r>
        <w:t xml:space="preserve"> </w:t>
      </w:r>
      <w:hyperlink r:id="rId98">
        <w:r>
          <w:rPr>
            <w:rStyle w:val="Hyperlink"/>
            <w:i/>
            <w:iCs/>
          </w:rPr>
          <w:t xml:space="preserve">Economic</w:t>
        </w:r>
        <w:r>
          <w:rPr>
            <w:rStyle w:val="Hyperlink"/>
            <w:i/>
            <w:iCs/>
          </w:rPr>
          <w:t xml:space="preserve"> </w:t>
        </w:r>
        <w:r>
          <w:rPr>
            <w:rStyle w:val="Hyperlink"/>
            <w:i/>
            <w:iCs/>
          </w:rPr>
          <w:t xml:space="preserve">Crisis</w:t>
        </w:r>
        <w:r>
          <w:rPr>
            <w:rStyle w:val="Hyperlink"/>
            <w:i/>
            <w:iCs/>
          </w:rPr>
          <w:t xml:space="preserve">,</w:t>
        </w:r>
        <w:r>
          <w:rPr>
            <w:rStyle w:val="Hyperlink"/>
            <w:i/>
            <w:iCs/>
          </w:rPr>
          <w:t xml:space="preserve"> </w:t>
        </w:r>
        <w:r>
          <w:rPr>
            <w:rStyle w:val="Hyperlink"/>
            <w:i/>
            <w:iCs/>
          </w:rPr>
          <w:t xml:space="preserve">Quality</w:t>
        </w:r>
        <w:r>
          <w:rPr>
            <w:rStyle w:val="Hyperlink"/>
            <w:i/>
            <w:iCs/>
          </w:rPr>
          <w:t xml:space="preserve"> </w:t>
        </w:r>
        <w:r>
          <w:rPr>
            <w:rStyle w:val="Hyperlink"/>
            <w:i/>
            <w:iCs/>
          </w:rPr>
          <w:t xml:space="preserve">of</w:t>
        </w:r>
        <w:r>
          <w:rPr>
            <w:rStyle w:val="Hyperlink"/>
            <w:i/>
            <w:iCs/>
          </w:rPr>
          <w:t xml:space="preserve"> </w:t>
        </w:r>
        <w:r>
          <w:rPr>
            <w:rStyle w:val="Hyperlink"/>
            <w:i/>
            <w:iCs/>
          </w:rPr>
          <w:t xml:space="preserve">Work</w:t>
        </w:r>
        <w:r>
          <w:rPr>
            <w:rStyle w:val="Hyperlink"/>
            <w:i/>
            <w:iCs/>
          </w:rPr>
          <w:t xml:space="preserve">, and</w:t>
        </w:r>
        <w:r>
          <w:rPr>
            <w:rStyle w:val="Hyperlink"/>
            <w:i/>
            <w:iCs/>
          </w:rPr>
          <w:t xml:space="preserve"> </w:t>
        </w:r>
        <w:r>
          <w:rPr>
            <w:rStyle w:val="Hyperlink"/>
            <w:i/>
            <w:iCs/>
          </w:rPr>
          <w:t xml:space="preserve">Social Integration</w:t>
        </w:r>
        <w:r>
          <w:rPr>
            <w:rStyle w:val="Hyperlink"/>
            <w:i/>
            <w:iCs/>
          </w:rPr>
          <w:t xml:space="preserve">:</w:t>
        </w:r>
        <w:r>
          <w:rPr>
            <w:rStyle w:val="Hyperlink"/>
            <w:i/>
            <w:iCs/>
          </w:rPr>
          <w:t xml:space="preserve"> </w:t>
        </w:r>
        <w:r>
          <w:rPr>
            <w:rStyle w:val="Hyperlink"/>
            <w:i/>
            <w:iCs/>
          </w:rPr>
          <w:t xml:space="preserve">The European Experience</w:t>
        </w:r>
      </w:hyperlink>
      <w:r>
        <w:t xml:space="preserve">. Oxford University Press.</w:t>
      </w:r>
    </w:p>
    <w:bookmarkEnd w:id="99"/>
    <w:bookmarkStart w:id="101" w:name="ref-garcia-castro_perceiving_2020"/>
    <w:p>
      <w:pPr>
        <w:pStyle w:val="Bibliography"/>
      </w:pPr>
      <w:r>
        <w:t xml:space="preserve">García-Castro JD, Rodríguez-Bailón R and Willis GB (2020)</w:t>
      </w:r>
      <w:r>
        <w:t xml:space="preserve"> </w:t>
      </w:r>
      <w:hyperlink r:id="rId100">
        <w:r>
          <w:rPr>
            <w:rStyle w:val="Hyperlink"/>
          </w:rPr>
          <w:t xml:space="preserve">Perceiving economic inequality in everyday life decreases tolerance to inequality</w:t>
        </w:r>
      </w:hyperlink>
      <w:r>
        <w:t xml:space="preserve">.</w:t>
      </w:r>
      <w:r>
        <w:t xml:space="preserve"> </w:t>
      </w:r>
      <w:r>
        <w:rPr>
          <w:i/>
          <w:iCs/>
        </w:rPr>
        <w:t xml:space="preserve">Journal of Experimental Social Psychology</w:t>
      </w:r>
      <w:r>
        <w:t xml:space="preserve"> </w:t>
      </w:r>
      <w:r>
        <w:t xml:space="preserve">90: 104019.</w:t>
      </w:r>
    </w:p>
    <w:bookmarkEnd w:id="101"/>
    <w:bookmarkStart w:id="103" w:name="ref-garcia-sanchez_attitudes_2020"/>
    <w:p>
      <w:pPr>
        <w:pStyle w:val="Bibliography"/>
      </w:pPr>
      <w:r>
        <w:t xml:space="preserve">García-Sánchez E, Osborne D, Willis GB, et al. (2020)</w:t>
      </w:r>
      <w:r>
        <w:t xml:space="preserve"> </w:t>
      </w:r>
      <w:hyperlink r:id="rId102">
        <w:r>
          <w:rPr>
            <w:rStyle w:val="Hyperlink"/>
          </w:rPr>
          <w:t xml:space="preserve">Attitudes towards redistribution and the interplay between perceptions and beliefs about inequality</w:t>
        </w:r>
      </w:hyperlink>
      <w:r>
        <w:t xml:space="preserve">.</w:t>
      </w:r>
      <w:r>
        <w:t xml:space="preserve"> </w:t>
      </w:r>
      <w:r>
        <w:rPr>
          <w:i/>
          <w:iCs/>
        </w:rPr>
        <w:t xml:space="preserve">British Journal of Social Psychology</w:t>
      </w:r>
      <w:r>
        <w:t xml:space="preserve"> </w:t>
      </w:r>
      <w:r>
        <w:t xml:space="preserve">59(1): 111–136.</w:t>
      </w:r>
    </w:p>
    <w:bookmarkEnd w:id="103"/>
    <w:bookmarkStart w:id="105" w:name="ref-gimpelson_misperceiving_2018"/>
    <w:p>
      <w:pPr>
        <w:pStyle w:val="Bibliography"/>
      </w:pPr>
      <w:r>
        <w:t xml:space="preserve">Gimpelson V and Treisman D (2018)</w:t>
      </w:r>
      <w:r>
        <w:t xml:space="preserve"> </w:t>
      </w:r>
      <w:hyperlink r:id="rId104">
        <w:r>
          <w:rPr>
            <w:rStyle w:val="Hyperlink"/>
          </w:rPr>
          <w:t xml:space="preserve">Misperceiving inequality</w:t>
        </w:r>
      </w:hyperlink>
      <w:r>
        <w:t xml:space="preserve">.</w:t>
      </w:r>
      <w:r>
        <w:t xml:space="preserve"> </w:t>
      </w:r>
      <w:r>
        <w:rPr>
          <w:i/>
          <w:iCs/>
        </w:rPr>
        <w:t xml:space="preserve">Economics &amp; Politics</w:t>
      </w:r>
      <w:r>
        <w:t xml:space="preserve"> </w:t>
      </w:r>
      <w:r>
        <w:t xml:space="preserve">30(1): 27–54.</w:t>
      </w:r>
    </w:p>
    <w:bookmarkEnd w:id="105"/>
    <w:bookmarkStart w:id="107" w:name="ref-gutierrezcrocco_effects_2022"/>
    <w:p>
      <w:pPr>
        <w:pStyle w:val="Bibliography"/>
      </w:pPr>
      <w:r>
        <w:t xml:space="preserve">Gutiérrez Crocco F and Atzeni M (2022)</w:t>
      </w:r>
      <w:r>
        <w:t xml:space="preserve"> </w:t>
      </w:r>
      <w:hyperlink r:id="rId106">
        <w:r>
          <w:rPr>
            <w:rStyle w:val="Hyperlink"/>
          </w:rPr>
          <w:t xml:space="preserve">The effects of the pandemic on gig economy couriers in</w:t>
        </w:r>
        <w:r>
          <w:rPr>
            <w:rStyle w:val="Hyperlink"/>
          </w:rPr>
          <w:t xml:space="preserve"> </w:t>
        </w:r>
        <w:r>
          <w:rPr>
            <w:rStyle w:val="Hyperlink"/>
          </w:rPr>
          <w:t xml:space="preserve">Argentina</w:t>
        </w:r>
        <w:r>
          <w:rPr>
            <w:rStyle w:val="Hyperlink"/>
          </w:rPr>
          <w:t xml:space="preserve"> </w:t>
        </w:r>
        <w:r>
          <w:rPr>
            <w:rStyle w:val="Hyperlink"/>
          </w:rPr>
          <w:t xml:space="preserve">and</w:t>
        </w:r>
        <w:r>
          <w:rPr>
            <w:rStyle w:val="Hyperlink"/>
          </w:rPr>
          <w:t xml:space="preserve"> </w:t>
        </w:r>
        <w:r>
          <w:rPr>
            <w:rStyle w:val="Hyperlink"/>
          </w:rPr>
          <w:t xml:space="preserve">Chile</w:t>
        </w:r>
        <w:r>
          <w:rPr>
            <w:rStyle w:val="Hyperlink"/>
          </w:rPr>
          <w:t xml:space="preserve">:</w:t>
        </w:r>
        <w:r>
          <w:rPr>
            <w:rStyle w:val="Hyperlink"/>
          </w:rPr>
          <w:t xml:space="preserve"> </w:t>
        </w:r>
        <w:r>
          <w:rPr>
            <w:rStyle w:val="Hyperlink"/>
          </w:rPr>
          <w:t xml:space="preserve">Precarity</w:t>
        </w:r>
        <w:r>
          <w:rPr>
            <w:rStyle w:val="Hyperlink"/>
          </w:rPr>
          <w:t xml:space="preserve">, algorithmic control and mobilization</w:t>
        </w:r>
      </w:hyperlink>
      <w:r>
        <w:t xml:space="preserve">.</w:t>
      </w:r>
      <w:r>
        <w:t xml:space="preserve"> </w:t>
      </w:r>
      <w:r>
        <w:rPr>
          <w:i/>
          <w:iCs/>
        </w:rPr>
        <w:t xml:space="preserve">International Labour Review</w:t>
      </w:r>
      <w:r>
        <w:t xml:space="preserve"> </w:t>
      </w:r>
      <w:r>
        <w:t xml:space="preserve">161(3): 441–461.</w:t>
      </w:r>
    </w:p>
    <w:bookmarkEnd w:id="107"/>
    <w:bookmarkStart w:id="109" w:name="ref-howcroft_digitalisation_2025"/>
    <w:p>
      <w:pPr>
        <w:pStyle w:val="Bibliography"/>
      </w:pPr>
      <w:r>
        <w:t xml:space="preserve">Howcroft D, Banister E, Jarvis-King L, et al. (2025)</w:t>
      </w:r>
      <w:r>
        <w:t xml:space="preserve"> </w:t>
      </w:r>
      <w:hyperlink r:id="rId108">
        <w:r>
          <w:rPr>
            <w:rStyle w:val="Hyperlink"/>
          </w:rPr>
          <w:t xml:space="preserve">Digitalisation and the</w:t>
        </w:r>
        <w:r>
          <w:rPr>
            <w:rStyle w:val="Hyperlink"/>
          </w:rPr>
          <w:t xml:space="preserve"> </w:t>
        </w:r>
        <w:r>
          <w:rPr>
            <w:rStyle w:val="Hyperlink"/>
          </w:rPr>
          <w:t xml:space="preserve">Remaking</w:t>
        </w:r>
        <w:r>
          <w:rPr>
            <w:rStyle w:val="Hyperlink"/>
          </w:rPr>
          <w:t xml:space="preserve"> </w:t>
        </w:r>
        <w:r>
          <w:rPr>
            <w:rStyle w:val="Hyperlink"/>
          </w:rPr>
          <w:t xml:space="preserve">of the</w:t>
        </w:r>
        <w:r>
          <w:rPr>
            <w:rStyle w:val="Hyperlink"/>
          </w:rPr>
          <w:t xml:space="preserve"> </w:t>
        </w:r>
        <w:r>
          <w:rPr>
            <w:rStyle w:val="Hyperlink"/>
          </w:rPr>
          <w:t xml:space="preserve">Ideal Worker</w:t>
        </w:r>
      </w:hyperlink>
      <w:r>
        <w:t xml:space="preserve">.</w:t>
      </w:r>
      <w:r>
        <w:t xml:space="preserve"> </w:t>
      </w:r>
      <w:r>
        <w:rPr>
          <w:i/>
          <w:iCs/>
        </w:rPr>
        <w:t xml:space="preserve">Work, Employment and Society</w:t>
      </w:r>
      <w:r>
        <w:t xml:space="preserve"> </w:t>
      </w:r>
      <w:r>
        <w:t xml:space="preserve">39(3): 703–726.</w:t>
      </w:r>
    </w:p>
    <w:bookmarkEnd w:id="109"/>
    <w:bookmarkStart w:id="111" w:name="ref-hox_multilevel_2017"/>
    <w:p>
      <w:pPr>
        <w:pStyle w:val="Bibliography"/>
      </w:pPr>
      <w:r>
        <w:t xml:space="preserve">Hox JJ, Moerbeek M and Van De Schoot R (2017)</w:t>
      </w:r>
      <w:r>
        <w:t xml:space="preserve"> </w:t>
      </w:r>
      <w:hyperlink r:id="rId110">
        <w:r>
          <w:rPr>
            <w:rStyle w:val="Hyperlink"/>
            <w:i/>
            <w:iCs/>
          </w:rPr>
          <w:t xml:space="preserve">Multilevel</w:t>
        </w:r>
        <w:r>
          <w:rPr>
            <w:rStyle w:val="Hyperlink"/>
            <w:i/>
            <w:iCs/>
          </w:rPr>
          <w:t xml:space="preserve"> </w:t>
        </w:r>
        <w:r>
          <w:rPr>
            <w:rStyle w:val="Hyperlink"/>
            <w:i/>
            <w:iCs/>
          </w:rPr>
          <w:t xml:space="preserve">Analysis</w:t>
        </w:r>
        <w:r>
          <w:rPr>
            <w:rStyle w:val="Hyperlink"/>
            <w:i/>
            <w:iCs/>
          </w:rPr>
          <w:t xml:space="preserve">:</w:t>
        </w:r>
        <w:r>
          <w:rPr>
            <w:rStyle w:val="Hyperlink"/>
            <w:i/>
            <w:iCs/>
          </w:rPr>
          <w:t xml:space="preserve"> </w:t>
        </w:r>
        <w:r>
          <w:rPr>
            <w:rStyle w:val="Hyperlink"/>
            <w:i/>
            <w:iCs/>
          </w:rPr>
          <w:t xml:space="preserve">Techniques</w:t>
        </w:r>
        <w:r>
          <w:rPr>
            <w:rStyle w:val="Hyperlink"/>
            <w:i/>
            <w:iCs/>
          </w:rPr>
          <w:t xml:space="preserve"> </w:t>
        </w:r>
        <w:r>
          <w:rPr>
            <w:rStyle w:val="Hyperlink"/>
            <w:i/>
            <w:iCs/>
          </w:rPr>
          <w:t xml:space="preserve">and</w:t>
        </w:r>
        <w:r>
          <w:rPr>
            <w:rStyle w:val="Hyperlink"/>
            <w:i/>
            <w:iCs/>
          </w:rPr>
          <w:t xml:space="preserve"> </w:t>
        </w:r>
        <w:r>
          <w:rPr>
            <w:rStyle w:val="Hyperlink"/>
            <w:i/>
            <w:iCs/>
          </w:rPr>
          <w:t xml:space="preserve">Applications</w:t>
        </w:r>
      </w:hyperlink>
      <w:r>
        <w:t xml:space="preserve">. 3rd edn Third edition.</w:t>
      </w:r>
      <w:r>
        <w:t xml:space="preserve"> </w:t>
      </w:r>
      <w:r>
        <w:t xml:space="preserve"> </w:t>
      </w:r>
      <w:r>
        <w:t xml:space="preserve">New York, NY : Routledge, 2017.</w:t>
      </w:r>
      <w:r>
        <w:t xml:space="preserve"> </w:t>
      </w:r>
      <w:r>
        <w:t xml:space="preserve">: Routledge.</w:t>
      </w:r>
    </w:p>
    <w:bookmarkEnd w:id="111"/>
    <w:bookmarkStart w:id="113" w:name="ref-im_losers_2019"/>
    <w:p>
      <w:pPr>
        <w:pStyle w:val="Bibliography"/>
      </w:pPr>
      <w:r>
        <w:t xml:space="preserve">Im ZJ, Mayer N, Palier B, et al. (2019)</w:t>
      </w:r>
      <w:r>
        <w:t xml:space="preserve"> </w:t>
      </w:r>
      <w:hyperlink r:id="rId112">
        <w:r>
          <w:rPr>
            <w:rStyle w:val="Hyperlink"/>
          </w:rPr>
          <w:t xml:space="preserve">The</w:t>
        </w:r>
        <w:r>
          <w:rPr>
            <w:rStyle w:val="Hyperlink"/>
          </w:rPr>
          <w:t xml:space="preserve"> </w:t>
        </w:r>
        <w:r>
          <w:rPr>
            <w:rStyle w:val="Hyperlink"/>
          </w:rPr>
          <w:t xml:space="preserve">‘losers of automation’</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reservoir of votes for the radical right?</w:t>
        </w:r>
      </w:hyperlink>
      <w:r>
        <w:t xml:space="preserve"> </w:t>
      </w:r>
      <w:r>
        <w:rPr>
          <w:i/>
          <w:iCs/>
        </w:rPr>
        <w:t xml:space="preserve">Research &amp; Politics</w:t>
      </w:r>
      <w:r>
        <w:t xml:space="preserve"> </w:t>
      </w:r>
      <w:r>
        <w:t xml:space="preserve">6(1): 2053168018822395.</w:t>
      </w:r>
    </w:p>
    <w:bookmarkEnd w:id="113"/>
    <w:bookmarkStart w:id="115" w:name="ref-iversen_asset_2001"/>
    <w:p>
      <w:pPr>
        <w:pStyle w:val="Bibliography"/>
      </w:pPr>
      <w:r>
        <w:t xml:space="preserve">Iversen T and Soskice D (2001)</w:t>
      </w:r>
      <w:r>
        <w:t xml:space="preserve"> </w:t>
      </w:r>
      <w:hyperlink r:id="rId114">
        <w:r>
          <w:rPr>
            <w:rStyle w:val="Hyperlink"/>
          </w:rPr>
          <w:t xml:space="preserve">An</w:t>
        </w:r>
        <w:r>
          <w:rPr>
            <w:rStyle w:val="Hyperlink"/>
          </w:rPr>
          <w:t xml:space="preserve"> </w:t>
        </w:r>
        <w:r>
          <w:rPr>
            <w:rStyle w:val="Hyperlink"/>
          </w:rPr>
          <w:t xml:space="preserve">Asset Theory</w:t>
        </w:r>
        <w:r>
          <w:rPr>
            <w:rStyle w:val="Hyperlink"/>
          </w:rPr>
          <w:t xml:space="preserve"> </w:t>
        </w:r>
        <w:r>
          <w:rPr>
            <w:rStyle w:val="Hyperlink"/>
          </w:rPr>
          <w:t xml:space="preserve">of</w:t>
        </w:r>
        <w:r>
          <w:rPr>
            <w:rStyle w:val="Hyperlink"/>
          </w:rPr>
          <w:t xml:space="preserve"> </w:t>
        </w:r>
        <w:r>
          <w:rPr>
            <w:rStyle w:val="Hyperlink"/>
          </w:rPr>
          <w:t xml:space="preserve">Social Policy Preferences</w:t>
        </w:r>
      </w:hyperlink>
      <w:r>
        <w:t xml:space="preserve">.</w:t>
      </w:r>
      <w:r>
        <w:t xml:space="preserve"> </w:t>
      </w:r>
      <w:r>
        <w:rPr>
          <w:i/>
          <w:iCs/>
        </w:rPr>
        <w:t xml:space="preserve">American Political Science Review</w:t>
      </w:r>
      <w:r>
        <w:t xml:space="preserve"> </w:t>
      </w:r>
      <w:r>
        <w:t xml:space="preserve">95(4): 875–893.</w:t>
      </w:r>
    </w:p>
    <w:bookmarkEnd w:id="115"/>
    <w:bookmarkStart w:id="117" w:name="ref-jaeger_welfare_2006"/>
    <w:p>
      <w:pPr>
        <w:pStyle w:val="Bibliography"/>
      </w:pPr>
      <w:r>
        <w:t xml:space="preserve">Jæger MM (2006)</w:t>
      </w:r>
      <w:r>
        <w:t xml:space="preserve"> </w:t>
      </w:r>
      <w:hyperlink r:id="rId116">
        <w:r>
          <w:rPr>
            <w:rStyle w:val="Hyperlink"/>
          </w:rPr>
          <w:t xml:space="preserve">Welfare</w:t>
        </w:r>
        <w:r>
          <w:rPr>
            <w:rStyle w:val="Hyperlink"/>
          </w:rPr>
          <w:t xml:space="preserve"> </w:t>
        </w:r>
        <w:r>
          <w:rPr>
            <w:rStyle w:val="Hyperlink"/>
          </w:rPr>
          <w:t xml:space="preserve">Regimes</w:t>
        </w:r>
        <w:r>
          <w:rPr>
            <w:rStyle w:val="Hyperlink"/>
          </w:rPr>
          <w:t xml:space="preserve"> </w:t>
        </w:r>
        <w:r>
          <w:rPr>
            <w:rStyle w:val="Hyperlink"/>
          </w:rPr>
          <w:t xml:space="preserve">and</w:t>
        </w:r>
        <w:r>
          <w:rPr>
            <w:rStyle w:val="Hyperlink"/>
          </w:rPr>
          <w:t xml:space="preserve"> </w:t>
        </w:r>
        <w:r>
          <w:rPr>
            <w:rStyle w:val="Hyperlink"/>
          </w:rPr>
          <w:t xml:space="preserve">Attitudes Towards Redistribution</w:t>
        </w:r>
        <w:r>
          <w:rPr>
            <w:rStyle w:val="Hyperlink"/>
          </w:rPr>
          <w:t xml:space="preserve">:</w:t>
        </w:r>
        <w:r>
          <w:rPr>
            <w:rStyle w:val="Hyperlink"/>
          </w:rPr>
          <w:t xml:space="preserve"> </w:t>
        </w:r>
        <w:r>
          <w:rPr>
            <w:rStyle w:val="Hyperlink"/>
          </w:rPr>
          <w:t xml:space="preserve">The Regime Hypothesis Revisited</w:t>
        </w:r>
      </w:hyperlink>
      <w:r>
        <w:t xml:space="preserve">.</w:t>
      </w:r>
      <w:r>
        <w:t xml:space="preserve"> </w:t>
      </w:r>
      <w:r>
        <w:rPr>
          <w:i/>
          <w:iCs/>
        </w:rPr>
        <w:t xml:space="preserve">European Sociological Review</w:t>
      </w:r>
      <w:r>
        <w:t xml:space="preserve"> </w:t>
      </w:r>
      <w:r>
        <w:t xml:space="preserve">22(2): 157–170.</w:t>
      </w:r>
    </w:p>
    <w:bookmarkEnd w:id="117"/>
    <w:bookmarkStart w:id="118" w:name="ref-kalleberg_good_2011"/>
    <w:p>
      <w:pPr>
        <w:pStyle w:val="Bibliography"/>
      </w:pPr>
      <w:r>
        <w:t xml:space="preserve">Kalleberg A (2011)</w:t>
      </w:r>
      <w:r>
        <w:t xml:space="preserve"> </w:t>
      </w:r>
      <w:r>
        <w:rPr>
          <w:i/>
          <w:iCs/>
        </w:rPr>
        <w:t xml:space="preserve">Good Jobs, Bad Jobs:</w:t>
      </w:r>
      <w:r>
        <w:rPr>
          <w:i/>
          <w:iCs/>
        </w:rPr>
        <w:t xml:space="preserve"> </w:t>
      </w:r>
      <w:r>
        <w:rPr>
          <w:i/>
          <w:iCs/>
        </w:rPr>
        <w:t xml:space="preserve">The</w:t>
      </w:r>
      <w:r>
        <w:rPr>
          <w:i/>
          <w:iCs/>
        </w:rPr>
        <w:t xml:space="preserve"> </w:t>
      </w:r>
      <w:r>
        <w:rPr>
          <w:i/>
          <w:iCs/>
        </w:rPr>
        <w:t xml:space="preserve">Rise of Polarized and Precarious Employment Systems in the</w:t>
      </w:r>
      <w:r>
        <w:rPr>
          <w:i/>
          <w:iCs/>
        </w:rPr>
        <w:t xml:space="preserve"> </w:t>
      </w:r>
      <w:r>
        <w:rPr>
          <w:i/>
          <w:iCs/>
        </w:rPr>
        <w:t xml:space="preserve">United States</w:t>
      </w:r>
      <w:r>
        <w:rPr>
          <w:i/>
          <w:iCs/>
        </w:rPr>
        <w:t xml:space="preserve">, 1970s-2000s</w:t>
      </w:r>
      <w:r>
        <w:t xml:space="preserve">.</w:t>
      </w:r>
    </w:p>
    <w:bookmarkEnd w:id="118"/>
    <w:bookmarkStart w:id="120" w:name="ref-kenworthy_inequality_2007"/>
    <w:p>
      <w:pPr>
        <w:pStyle w:val="Bibliography"/>
      </w:pPr>
      <w:r>
        <w:t xml:space="preserve">Kenworthy L and McCall L (2007)</w:t>
      </w:r>
      <w:r>
        <w:t xml:space="preserve"> </w:t>
      </w:r>
      <w:hyperlink r:id="rId119">
        <w:r>
          <w:rPr>
            <w:rStyle w:val="Hyperlink"/>
          </w:rPr>
          <w:t xml:space="preserve">Inequality, public opinion and redistribution</w:t>
        </w:r>
      </w:hyperlink>
      <w:r>
        <w:t xml:space="preserve">.</w:t>
      </w:r>
      <w:r>
        <w:t xml:space="preserve"> </w:t>
      </w:r>
      <w:r>
        <w:rPr>
          <w:i/>
          <w:iCs/>
        </w:rPr>
        <w:t xml:space="preserve">Socio-Economic Review</w:t>
      </w:r>
      <w:r>
        <w:t xml:space="preserve"> </w:t>
      </w:r>
      <w:r>
        <w:t xml:space="preserve">6(1): 35–68.</w:t>
      </w:r>
    </w:p>
    <w:bookmarkEnd w:id="120"/>
    <w:bookmarkStart w:id="122" w:name="ref-korpi_paradox_1998"/>
    <w:p>
      <w:pPr>
        <w:pStyle w:val="Bibliography"/>
      </w:pPr>
      <w:r>
        <w:t xml:space="preserve">Korpi W and Palme J (1998)</w:t>
      </w:r>
      <w:r>
        <w:t xml:space="preserve"> </w:t>
      </w:r>
      <w:hyperlink r:id="rId121">
        <w:r>
          <w:rPr>
            <w:rStyle w:val="Hyperlink"/>
          </w:rPr>
          <w:t xml:space="preserve">The</w:t>
        </w:r>
        <w:r>
          <w:rPr>
            <w:rStyle w:val="Hyperlink"/>
          </w:rPr>
          <w:t xml:space="preserve"> </w:t>
        </w:r>
        <w:r>
          <w:rPr>
            <w:rStyle w:val="Hyperlink"/>
          </w:rPr>
          <w:t xml:space="preserve">Paradox</w:t>
        </w:r>
        <w:r>
          <w:rPr>
            <w:rStyle w:val="Hyperlink"/>
          </w:rPr>
          <w:t xml:space="preserve"> </w:t>
        </w:r>
        <w:r>
          <w:rPr>
            <w:rStyle w:val="Hyperlink"/>
          </w:rPr>
          <w:t xml:space="preserve">of</w:t>
        </w:r>
        <w:r>
          <w:rPr>
            <w:rStyle w:val="Hyperlink"/>
          </w:rPr>
          <w:t xml:space="preserve"> </w:t>
        </w:r>
        <w:r>
          <w:rPr>
            <w:rStyle w:val="Hyperlink"/>
          </w:rPr>
          <w:t xml:space="preserve">Redistribution</w:t>
        </w:r>
        <w:r>
          <w:rPr>
            <w:rStyle w:val="Hyperlink"/>
          </w:rPr>
          <w:t xml:space="preserve"> </w:t>
        </w:r>
        <w:r>
          <w:rPr>
            <w:rStyle w:val="Hyperlink"/>
          </w:rPr>
          <w:t xml:space="preserve">and</w:t>
        </w:r>
        <w:r>
          <w:rPr>
            <w:rStyle w:val="Hyperlink"/>
          </w:rPr>
          <w:t xml:space="preserve"> </w:t>
        </w:r>
        <w:r>
          <w:rPr>
            <w:rStyle w:val="Hyperlink"/>
          </w:rPr>
          <w:t xml:space="preserve">Strategies</w:t>
        </w:r>
        <w:r>
          <w:rPr>
            <w:rStyle w:val="Hyperlink"/>
          </w:rPr>
          <w:t xml:space="preserve"> </w:t>
        </w:r>
        <w:r>
          <w:rPr>
            <w:rStyle w:val="Hyperlink"/>
          </w:rPr>
          <w:t xml:space="preserve">of</w:t>
        </w:r>
        <w:r>
          <w:rPr>
            <w:rStyle w:val="Hyperlink"/>
          </w:rPr>
          <w:t xml:space="preserve"> </w:t>
        </w:r>
        <w:r>
          <w:rPr>
            <w:rStyle w:val="Hyperlink"/>
          </w:rPr>
          <w:t xml:space="preserve">Equality</w:t>
        </w:r>
        <w:r>
          <w:rPr>
            <w:rStyle w:val="Hyperlink"/>
          </w:rPr>
          <w:t xml:space="preserve">:</w:t>
        </w:r>
        <w:r>
          <w:rPr>
            <w:rStyle w:val="Hyperlink"/>
          </w:rPr>
          <w:t xml:space="preserve"> </w:t>
        </w:r>
        <w:r>
          <w:rPr>
            <w:rStyle w:val="Hyperlink"/>
          </w:rPr>
          <w:t xml:space="preserve">Welfare State Institutions</w:t>
        </w:r>
        <w:r>
          <w:rPr>
            <w:rStyle w:val="Hyperlink"/>
          </w:rPr>
          <w:t xml:space="preserve">,</w:t>
        </w:r>
        <w:r>
          <w:rPr>
            <w:rStyle w:val="Hyperlink"/>
          </w:rPr>
          <w:t xml:space="preserve"> </w:t>
        </w:r>
        <w:r>
          <w:rPr>
            <w:rStyle w:val="Hyperlink"/>
          </w:rPr>
          <w:t xml:space="preserve">Inequality</w:t>
        </w:r>
        <w:r>
          <w:rPr>
            <w:rStyle w:val="Hyperlink"/>
          </w:rPr>
          <w:t xml:space="preserve">, and</w:t>
        </w:r>
        <w:r>
          <w:rPr>
            <w:rStyle w:val="Hyperlink"/>
          </w:rPr>
          <w:t xml:space="preserve"> </w:t>
        </w:r>
        <w:r>
          <w:rPr>
            <w:rStyle w:val="Hyperlink"/>
          </w:rPr>
          <w:t xml:space="preserve">Poverty</w:t>
        </w:r>
        <w:r>
          <w:rPr>
            <w:rStyle w:val="Hyperlink"/>
          </w:rPr>
          <w:t xml:space="preserve"> </w:t>
        </w:r>
        <w:r>
          <w:rPr>
            <w:rStyle w:val="Hyperlink"/>
          </w:rPr>
          <w:t xml:space="preserve">in the</w:t>
        </w:r>
        <w:r>
          <w:rPr>
            <w:rStyle w:val="Hyperlink"/>
          </w:rPr>
          <w:t xml:space="preserve"> </w:t>
        </w:r>
        <w:r>
          <w:rPr>
            <w:rStyle w:val="Hyperlink"/>
          </w:rPr>
          <w:t xml:space="preserve">Western Countries</w:t>
        </w:r>
      </w:hyperlink>
      <w:r>
        <w:t xml:space="preserve">.</w:t>
      </w:r>
      <w:r>
        <w:t xml:space="preserve"> </w:t>
      </w:r>
      <w:r>
        <w:rPr>
          <w:i/>
          <w:iCs/>
        </w:rPr>
        <w:t xml:space="preserve">American Sociological Review</w:t>
      </w:r>
      <w:r>
        <w:t xml:space="preserve"> </w:t>
      </w:r>
      <w:r>
        <w:t xml:space="preserve">63(5): 661.</w:t>
      </w:r>
    </w:p>
    <w:bookmarkEnd w:id="122"/>
    <w:bookmarkStart w:id="124" w:name="ref-kurer_declining_2020"/>
    <w:p>
      <w:pPr>
        <w:pStyle w:val="Bibliography"/>
      </w:pPr>
      <w:r>
        <w:t xml:space="preserve">Kurer T (2020)</w:t>
      </w:r>
      <w:r>
        <w:t xml:space="preserve"> </w:t>
      </w:r>
      <w:hyperlink r:id="rId123">
        <w:r>
          <w:rPr>
            <w:rStyle w:val="Hyperlink"/>
          </w:rPr>
          <w:t xml:space="preserve">The</w:t>
        </w:r>
        <w:r>
          <w:rPr>
            <w:rStyle w:val="Hyperlink"/>
          </w:rPr>
          <w:t xml:space="preserve"> </w:t>
        </w:r>
        <w:r>
          <w:rPr>
            <w:rStyle w:val="Hyperlink"/>
          </w:rPr>
          <w:t xml:space="preserve">Declining Middle</w:t>
        </w:r>
        <w:r>
          <w:rPr>
            <w:rStyle w:val="Hyperlink"/>
          </w:rPr>
          <w:t xml:space="preserve">:</w:t>
        </w:r>
        <w:r>
          <w:rPr>
            <w:rStyle w:val="Hyperlink"/>
          </w:rPr>
          <w:t xml:space="preserve"> </w:t>
        </w:r>
        <w:r>
          <w:rPr>
            <w:rStyle w:val="Hyperlink"/>
          </w:rPr>
          <w:t xml:space="preserve">Occupational Change</w:t>
        </w:r>
        <w:r>
          <w:rPr>
            <w:rStyle w:val="Hyperlink"/>
          </w:rPr>
          <w:t xml:space="preserve">,</w:t>
        </w:r>
        <w:r>
          <w:rPr>
            <w:rStyle w:val="Hyperlink"/>
          </w:rPr>
          <w:t xml:space="preserve"> </w:t>
        </w:r>
        <w:r>
          <w:rPr>
            <w:rStyle w:val="Hyperlink"/>
          </w:rPr>
          <w:t xml:space="preserve">Social Status</w:t>
        </w:r>
        <w:r>
          <w:rPr>
            <w:rStyle w:val="Hyperlink"/>
          </w:rPr>
          <w:t xml:space="preserve">, and the</w:t>
        </w:r>
        <w:r>
          <w:rPr>
            <w:rStyle w:val="Hyperlink"/>
          </w:rPr>
          <w:t xml:space="preserve"> </w:t>
        </w:r>
        <w:r>
          <w:rPr>
            <w:rStyle w:val="Hyperlink"/>
          </w:rPr>
          <w:t xml:space="preserve">Populist Right</w:t>
        </w:r>
      </w:hyperlink>
      <w:r>
        <w:t xml:space="preserve">.</w:t>
      </w:r>
      <w:r>
        <w:t xml:space="preserve"> </w:t>
      </w:r>
      <w:r>
        <w:rPr>
          <w:i/>
          <w:iCs/>
        </w:rPr>
        <w:t xml:space="preserve">Comparative Political Studies</w:t>
      </w:r>
      <w:r>
        <w:t xml:space="preserve"> </w:t>
      </w:r>
      <w:r>
        <w:t xml:space="preserve">53(10-11): 1798–1835.</w:t>
      </w:r>
    </w:p>
    <w:bookmarkEnd w:id="124"/>
    <w:bookmarkStart w:id="125" w:name="ref-laenen_welfare_2020"/>
    <w:p>
      <w:pPr>
        <w:pStyle w:val="Bibliography"/>
      </w:pPr>
      <w:r>
        <w:t xml:space="preserve">Laenen T (2020)</w:t>
      </w:r>
      <w:r>
        <w:t xml:space="preserve"> </w:t>
      </w:r>
      <w:r>
        <w:rPr>
          <w:i/>
          <w:iCs/>
        </w:rPr>
        <w:t xml:space="preserve">Welfare Deservingness and Welfare Policy: Popular Deservingness Opinions and Their Interaction with Welfare State Policies</w:t>
      </w:r>
      <w:r>
        <w:t xml:space="preserve">. Cheltenham, UK Northampton, MA, USA: Edward Elgar Publishing.</w:t>
      </w:r>
    </w:p>
    <w:bookmarkEnd w:id="125"/>
    <w:bookmarkStart w:id="127" w:name="ref-larsen_institutional_2008"/>
    <w:p>
      <w:pPr>
        <w:pStyle w:val="Bibliography"/>
      </w:pPr>
      <w:r>
        <w:t xml:space="preserve">Larsen CA (2008)</w:t>
      </w:r>
      <w:r>
        <w:t xml:space="preserve"> </w:t>
      </w:r>
      <w:hyperlink r:id="rId126">
        <w:r>
          <w:rPr>
            <w:rStyle w:val="Hyperlink"/>
          </w:rPr>
          <w:t xml:space="preserve">The</w:t>
        </w:r>
        <w:r>
          <w:rPr>
            <w:rStyle w:val="Hyperlink"/>
          </w:rPr>
          <w:t xml:space="preserve"> </w:t>
        </w:r>
        <w:r>
          <w:rPr>
            <w:rStyle w:val="Hyperlink"/>
          </w:rPr>
          <w:t xml:space="preserve">Institutional Logic</w:t>
        </w:r>
        <w:r>
          <w:rPr>
            <w:rStyle w:val="Hyperlink"/>
          </w:rPr>
          <w:t xml:space="preserve"> </w:t>
        </w:r>
        <w:r>
          <w:rPr>
            <w:rStyle w:val="Hyperlink"/>
          </w:rPr>
          <w:t xml:space="preserve">of</w:t>
        </w:r>
        <w:r>
          <w:rPr>
            <w:rStyle w:val="Hyperlink"/>
          </w:rPr>
          <w:t xml:space="preserve"> </w:t>
        </w:r>
        <w:r>
          <w:rPr>
            <w:rStyle w:val="Hyperlink"/>
          </w:rPr>
          <w:t xml:space="preserve">Welfare Attitudes</w:t>
        </w:r>
        <w:r>
          <w:rPr>
            <w:rStyle w:val="Hyperlink"/>
          </w:rPr>
          <w:t xml:space="preserve">:</w:t>
        </w:r>
        <w:r>
          <w:rPr>
            <w:rStyle w:val="Hyperlink"/>
          </w:rPr>
          <w:t xml:space="preserve"> </w:t>
        </w:r>
        <w:r>
          <w:rPr>
            <w:rStyle w:val="Hyperlink"/>
          </w:rPr>
          <w:t xml:space="preserve">How Welfare Regimes Influence Public Support</w:t>
        </w:r>
      </w:hyperlink>
      <w:r>
        <w:t xml:space="preserve">.</w:t>
      </w:r>
      <w:r>
        <w:t xml:space="preserve"> </w:t>
      </w:r>
      <w:r>
        <w:rPr>
          <w:i/>
          <w:iCs/>
        </w:rPr>
        <w:t xml:space="preserve">Comparative Political Studies</w:t>
      </w:r>
      <w:r>
        <w:t xml:space="preserve"> </w:t>
      </w:r>
      <w:r>
        <w:t xml:space="preserve">41(2): 145–168.</w:t>
      </w:r>
    </w:p>
    <w:bookmarkEnd w:id="127"/>
    <w:bookmarkStart w:id="129" w:name="ref-lenth_emmeans_2017"/>
    <w:p>
      <w:pPr>
        <w:pStyle w:val="Bibliography"/>
      </w:pPr>
      <w:r>
        <w:t xml:space="preserve">Lenth RV and Piaskowski J (2017)</w:t>
      </w:r>
      <w:r>
        <w:t xml:space="preserve"> </w:t>
      </w:r>
      <w:hyperlink r:id="rId128">
        <w:r>
          <w:rPr>
            <w:rStyle w:val="Hyperlink"/>
          </w:rPr>
          <w:t xml:space="preserve">Emmeans:</w:t>
        </w:r>
        <w:r>
          <w:rPr>
            <w:rStyle w:val="Hyperlink"/>
          </w:rPr>
          <w:t xml:space="preserve"> </w:t>
        </w:r>
        <w:r>
          <w:rPr>
            <w:rStyle w:val="Hyperlink"/>
          </w:rPr>
          <w:t xml:space="preserve">Estimated Marginal Means</w:t>
        </w:r>
        <w:r>
          <w:rPr>
            <w:rStyle w:val="Hyperlink"/>
          </w:rPr>
          <w:t xml:space="preserve">, aka</w:t>
        </w:r>
        <w:r>
          <w:rPr>
            <w:rStyle w:val="Hyperlink"/>
          </w:rPr>
          <w:t xml:space="preserve"> </w:t>
        </w:r>
        <w:r>
          <w:rPr>
            <w:rStyle w:val="Hyperlink"/>
          </w:rPr>
          <w:t xml:space="preserve">Least-Squares Means</w:t>
        </w:r>
      </w:hyperlink>
      <w:r>
        <w:t xml:space="preserve">. Comprehensive R Archive Network.</w:t>
      </w:r>
    </w:p>
    <w:bookmarkEnd w:id="129"/>
    <w:bookmarkStart w:id="131" w:name="ref-lindh_class_2020"/>
    <w:p>
      <w:pPr>
        <w:pStyle w:val="Bibliography"/>
      </w:pPr>
      <w:r>
        <w:t xml:space="preserve">Lindh A and McCall L (2020)</w:t>
      </w:r>
      <w:r>
        <w:t xml:space="preserve"> </w:t>
      </w:r>
      <w:hyperlink r:id="rId130">
        <w:r>
          <w:rPr>
            <w:rStyle w:val="Hyperlink"/>
          </w:rPr>
          <w:t xml:space="preserve">Class</w:t>
        </w:r>
        <w:r>
          <w:rPr>
            <w:rStyle w:val="Hyperlink"/>
          </w:rPr>
          <w:t xml:space="preserve"> </w:t>
        </w:r>
        <w:r>
          <w:rPr>
            <w:rStyle w:val="Hyperlink"/>
          </w:rPr>
          <w:t xml:space="preserve">Position</w:t>
        </w:r>
        <w:r>
          <w:rPr>
            <w:rStyle w:val="Hyperlink"/>
          </w:rPr>
          <w:t xml:space="preserve"> </w:t>
        </w:r>
        <w:r>
          <w:rPr>
            <w:rStyle w:val="Hyperlink"/>
          </w:rPr>
          <w:t xml:space="preserve">and</w:t>
        </w:r>
        <w:r>
          <w:rPr>
            <w:rStyle w:val="Hyperlink"/>
          </w:rPr>
          <w:t xml:space="preserve"> </w:t>
        </w:r>
        <w:r>
          <w:rPr>
            <w:rStyle w:val="Hyperlink"/>
          </w:rPr>
          <w:t xml:space="preserve">Political Opinion</w:t>
        </w:r>
        <w:r>
          <w:rPr>
            <w:rStyle w:val="Hyperlink"/>
          </w:rPr>
          <w:t xml:space="preserve"> </w:t>
        </w:r>
        <w:r>
          <w:rPr>
            <w:rStyle w:val="Hyperlink"/>
          </w:rPr>
          <w:t xml:space="preserve">in</w:t>
        </w:r>
        <w:r>
          <w:rPr>
            <w:rStyle w:val="Hyperlink"/>
          </w:rPr>
          <w:t xml:space="preserve"> </w:t>
        </w:r>
        <w:r>
          <w:rPr>
            <w:rStyle w:val="Hyperlink"/>
          </w:rPr>
          <w:t xml:space="preserve">Rich Democracies</w:t>
        </w:r>
      </w:hyperlink>
      <w:r>
        <w:t xml:space="preserve">.</w:t>
      </w:r>
      <w:r>
        <w:t xml:space="preserve"> </w:t>
      </w:r>
      <w:r>
        <w:rPr>
          <w:i/>
          <w:iCs/>
        </w:rPr>
        <w:t xml:space="preserve">Annual Review of Sociology</w:t>
      </w:r>
      <w:r>
        <w:t xml:space="preserve"> </w:t>
      </w:r>
      <w:r>
        <w:t xml:space="preserve">46(1): 419–441.</w:t>
      </w:r>
    </w:p>
    <w:bookmarkEnd w:id="131"/>
    <w:bookmarkStart w:id="133" w:name="ref-franzoni_welfare_2008"/>
    <w:p>
      <w:pPr>
        <w:pStyle w:val="Bibliography"/>
      </w:pPr>
      <w:r>
        <w:t xml:space="preserve">Martínez Franzoni J (2008)</w:t>
      </w:r>
      <w:r>
        <w:t xml:space="preserve"> </w:t>
      </w:r>
      <w:hyperlink r:id="rId132">
        <w:r>
          <w:rPr>
            <w:rStyle w:val="Hyperlink"/>
          </w:rPr>
          <w:t xml:space="preserve">Welfare</w:t>
        </w:r>
        <w:r>
          <w:rPr>
            <w:rStyle w:val="Hyperlink"/>
          </w:rPr>
          <w:t xml:space="preserve"> </w:t>
        </w:r>
        <w:r>
          <w:rPr>
            <w:rStyle w:val="Hyperlink"/>
          </w:rPr>
          <w:t xml:space="preserve">Regimes</w:t>
        </w:r>
        <w:r>
          <w:rPr>
            <w:rStyle w:val="Hyperlink"/>
          </w:rPr>
          <w:t xml:space="preserve"> </w:t>
        </w:r>
        <w:r>
          <w:rPr>
            <w:rStyle w:val="Hyperlink"/>
          </w:rPr>
          <w:t xml:space="preserve">in</w:t>
        </w:r>
        <w:r>
          <w:rPr>
            <w:rStyle w:val="Hyperlink"/>
          </w:rPr>
          <w:t xml:space="preserve"> </w:t>
        </w:r>
        <w:r>
          <w:rPr>
            <w:rStyle w:val="Hyperlink"/>
          </w:rPr>
          <w:t xml:space="preserve">Latin America</w:t>
        </w:r>
        <w:r>
          <w:rPr>
            <w:rStyle w:val="Hyperlink"/>
          </w:rPr>
          <w:t xml:space="preserve">:</w:t>
        </w:r>
        <w:r>
          <w:rPr>
            <w:rStyle w:val="Hyperlink"/>
          </w:rPr>
          <w:t xml:space="preserve"> </w:t>
        </w:r>
        <w:r>
          <w:rPr>
            <w:rStyle w:val="Hyperlink"/>
          </w:rPr>
          <w:t xml:space="preserve">Capturing Constellations</w:t>
        </w:r>
        <w:r>
          <w:rPr>
            <w:rStyle w:val="Hyperlink"/>
          </w:rPr>
          <w:t xml:space="preserve"> </w:t>
        </w:r>
        <w:r>
          <w:rPr>
            <w:rStyle w:val="Hyperlink"/>
          </w:rPr>
          <w:t xml:space="preserve">of</w:t>
        </w:r>
        <w:r>
          <w:rPr>
            <w:rStyle w:val="Hyperlink"/>
          </w:rPr>
          <w:t xml:space="preserve"> </w:t>
        </w:r>
        <w:r>
          <w:rPr>
            <w:rStyle w:val="Hyperlink"/>
          </w:rPr>
          <w:t xml:space="preserve">Markets</w:t>
        </w:r>
        <w:r>
          <w:rPr>
            <w:rStyle w:val="Hyperlink"/>
          </w:rPr>
          <w:t xml:space="preserve">,</w:t>
        </w:r>
        <w:r>
          <w:rPr>
            <w:rStyle w:val="Hyperlink"/>
          </w:rPr>
          <w:t xml:space="preserve"> </w:t>
        </w:r>
        <w:r>
          <w:rPr>
            <w:rStyle w:val="Hyperlink"/>
          </w:rPr>
          <w:t xml:space="preserve">Families</w:t>
        </w:r>
        <w:r>
          <w:rPr>
            <w:rStyle w:val="Hyperlink"/>
          </w:rPr>
          <w:t xml:space="preserve">, and</w:t>
        </w:r>
        <w:r>
          <w:rPr>
            <w:rStyle w:val="Hyperlink"/>
          </w:rPr>
          <w:t xml:space="preserve"> </w:t>
        </w:r>
        <w:r>
          <w:rPr>
            <w:rStyle w:val="Hyperlink"/>
          </w:rPr>
          <w:t xml:space="preserve">Policies</w:t>
        </w:r>
      </w:hyperlink>
      <w:r>
        <w:t xml:space="preserve">.</w:t>
      </w:r>
      <w:r>
        <w:t xml:space="preserve"> </w:t>
      </w:r>
      <w:r>
        <w:rPr>
          <w:i/>
          <w:iCs/>
        </w:rPr>
        <w:t xml:space="preserve">Latin American Politics and Society</w:t>
      </w:r>
      <w:r>
        <w:t xml:space="preserve"> </w:t>
      </w:r>
      <w:r>
        <w:t xml:space="preserve">50(02): 67–100.</w:t>
      </w:r>
    </w:p>
    <w:bookmarkEnd w:id="133"/>
    <w:bookmarkStart w:id="135" w:name="ref-marx_effect_2014"/>
    <w:p>
      <w:pPr>
        <w:pStyle w:val="Bibliography"/>
      </w:pPr>
      <w:r>
        <w:t xml:space="preserve">Marx P (2014)</w:t>
      </w:r>
      <w:r>
        <w:t xml:space="preserve"> </w:t>
      </w:r>
      <w:hyperlink r:id="rId134">
        <w:r>
          <w:rPr>
            <w:rStyle w:val="Hyperlink"/>
          </w:rPr>
          <w:t xml:space="preserve">The effect of job insecurity and employability on preferences for redistribution in</w:t>
        </w:r>
        <w:r>
          <w:rPr>
            <w:rStyle w:val="Hyperlink"/>
          </w:rPr>
          <w:t xml:space="preserve"> </w:t>
        </w:r>
        <w:r>
          <w:rPr>
            <w:rStyle w:val="Hyperlink"/>
          </w:rPr>
          <w:t xml:space="preserve">Western Europe</w:t>
        </w:r>
      </w:hyperlink>
      <w:r>
        <w:t xml:space="preserve">.</w:t>
      </w:r>
      <w:r>
        <w:t xml:space="preserve"> </w:t>
      </w:r>
      <w:r>
        <w:rPr>
          <w:i/>
          <w:iCs/>
        </w:rPr>
        <w:t xml:space="preserve">Journal of European Social Policy</w:t>
      </w:r>
      <w:r>
        <w:t xml:space="preserve"> </w:t>
      </w:r>
      <w:r>
        <w:t xml:space="preserve">24(4): 351–366.</w:t>
      </w:r>
    </w:p>
    <w:bookmarkEnd w:id="135"/>
    <w:bookmarkStart w:id="136" w:name="ref-mau_moral_2014"/>
    <w:p>
      <w:pPr>
        <w:pStyle w:val="Bibliography"/>
      </w:pPr>
      <w:r>
        <w:t xml:space="preserve">Mau S (2014)</w:t>
      </w:r>
      <w:r>
        <w:t xml:space="preserve"> </w:t>
      </w:r>
      <w:r>
        <w:rPr>
          <w:i/>
          <w:iCs/>
        </w:rPr>
        <w:t xml:space="preserve">The Moral Economy of Welfare States:</w:t>
      </w:r>
      <w:r>
        <w:rPr>
          <w:i/>
          <w:iCs/>
        </w:rPr>
        <w:t xml:space="preserve"> </w:t>
      </w:r>
      <w:r>
        <w:rPr>
          <w:i/>
          <w:iCs/>
        </w:rPr>
        <w:t xml:space="preserve">Britain</w:t>
      </w:r>
      <w:r>
        <w:rPr>
          <w:i/>
          <w:iCs/>
        </w:rPr>
        <w:t xml:space="preserve"> </w:t>
      </w:r>
      <w:r>
        <w:rPr>
          <w:i/>
          <w:iCs/>
        </w:rPr>
        <w:t xml:space="preserve">and</w:t>
      </w:r>
      <w:r>
        <w:rPr>
          <w:i/>
          <w:iCs/>
        </w:rPr>
        <w:t xml:space="preserve"> </w:t>
      </w:r>
      <w:r>
        <w:rPr>
          <w:i/>
          <w:iCs/>
        </w:rPr>
        <w:t xml:space="preserve">Germany</w:t>
      </w:r>
      <w:r>
        <w:rPr>
          <w:i/>
          <w:iCs/>
        </w:rPr>
        <w:t xml:space="preserve"> </w:t>
      </w:r>
      <w:r>
        <w:rPr>
          <w:i/>
          <w:iCs/>
        </w:rPr>
        <w:t xml:space="preserve">Compared</w:t>
      </w:r>
      <w:r>
        <w:t xml:space="preserve">. First issued in paperback. Routledge/</w:t>
      </w:r>
      <w:r>
        <w:t xml:space="preserve">EUI</w:t>
      </w:r>
      <w:r>
        <w:t xml:space="preserve"> </w:t>
      </w:r>
      <w:r>
        <w:t xml:space="preserve">studies in the political economy of welfare 5. London New York NY: Routledge &amp; Francis Group.</w:t>
      </w:r>
    </w:p>
    <w:bookmarkEnd w:id="136"/>
    <w:bookmarkStart w:id="138" w:name="ref-mccall_undeserving_2013"/>
    <w:p>
      <w:pPr>
        <w:pStyle w:val="Bibliography"/>
      </w:pPr>
      <w:r>
        <w:t xml:space="preserve">McCall L (2013)</w:t>
      </w:r>
      <w:r>
        <w:t xml:space="preserve"> </w:t>
      </w:r>
      <w:hyperlink r:id="rId137">
        <w:r>
          <w:rPr>
            <w:rStyle w:val="Hyperlink"/>
            <w:i/>
            <w:iCs/>
          </w:rPr>
          <w:t xml:space="preserve">The</w:t>
        </w:r>
        <w:r>
          <w:rPr>
            <w:rStyle w:val="Hyperlink"/>
            <w:i/>
            <w:iCs/>
          </w:rPr>
          <w:t xml:space="preserve"> </w:t>
        </w:r>
        <w:r>
          <w:rPr>
            <w:rStyle w:val="Hyperlink"/>
            <w:i/>
            <w:iCs/>
          </w:rPr>
          <w:t xml:space="preserve">Undeserving Rich</w:t>
        </w:r>
        <w:r>
          <w:rPr>
            <w:rStyle w:val="Hyperlink"/>
            <w:i/>
            <w:iCs/>
          </w:rPr>
          <w:t xml:space="preserve">:</w:t>
        </w:r>
        <w:r>
          <w:rPr>
            <w:rStyle w:val="Hyperlink"/>
            <w:i/>
            <w:iCs/>
          </w:rPr>
          <w:t xml:space="preserve"> </w:t>
        </w:r>
        <w:r>
          <w:rPr>
            <w:rStyle w:val="Hyperlink"/>
            <w:i/>
            <w:iCs/>
          </w:rPr>
          <w:t xml:space="preserve">American Beliefs</w:t>
        </w:r>
        <w:r>
          <w:rPr>
            <w:rStyle w:val="Hyperlink"/>
            <w:i/>
            <w:iCs/>
          </w:rPr>
          <w:t xml:space="preserve"> </w:t>
        </w:r>
        <w:r>
          <w:rPr>
            <w:rStyle w:val="Hyperlink"/>
            <w:i/>
            <w:iCs/>
          </w:rPr>
          <w:t xml:space="preserve">about</w:t>
        </w:r>
        <w:r>
          <w:rPr>
            <w:rStyle w:val="Hyperlink"/>
            <w:i/>
            <w:iCs/>
          </w:rPr>
          <w:t xml:space="preserve"> </w:t>
        </w:r>
        <w:r>
          <w:rPr>
            <w:rStyle w:val="Hyperlink"/>
            <w:i/>
            <w:iCs/>
          </w:rPr>
          <w:t xml:space="preserve">Inequality</w:t>
        </w:r>
        <w:r>
          <w:rPr>
            <w:rStyle w:val="Hyperlink"/>
            <w:i/>
            <w:iCs/>
          </w:rPr>
          <w:t xml:space="preserve">,</w:t>
        </w:r>
        <w:r>
          <w:rPr>
            <w:rStyle w:val="Hyperlink"/>
            <w:i/>
            <w:iCs/>
          </w:rPr>
          <w:t xml:space="preserve"> </w:t>
        </w:r>
        <w:r>
          <w:rPr>
            <w:rStyle w:val="Hyperlink"/>
            <w:i/>
            <w:iCs/>
          </w:rPr>
          <w:t xml:space="preserve">Opportunity</w:t>
        </w:r>
        <w:r>
          <w:rPr>
            <w:rStyle w:val="Hyperlink"/>
            <w:i/>
            <w:iCs/>
          </w:rPr>
          <w:t xml:space="preserve">, and</w:t>
        </w:r>
        <w:r>
          <w:rPr>
            <w:rStyle w:val="Hyperlink"/>
            <w:i/>
            <w:iCs/>
          </w:rPr>
          <w:t xml:space="preserve"> </w:t>
        </w:r>
        <w:r>
          <w:rPr>
            <w:rStyle w:val="Hyperlink"/>
            <w:i/>
            <w:iCs/>
          </w:rPr>
          <w:t xml:space="preserve">Redistribution</w:t>
        </w:r>
      </w:hyperlink>
      <w:r>
        <w:t xml:space="preserve">. 1st edn Cambridge University Press.</w:t>
      </w:r>
    </w:p>
    <w:bookmarkEnd w:id="138"/>
    <w:bookmarkStart w:id="140" w:name="ref-mijs_paradox_2021"/>
    <w:p>
      <w:pPr>
        <w:pStyle w:val="Bibliography"/>
      </w:pPr>
      <w:r>
        <w:t xml:space="preserve">Mijs JJB (2021)</w:t>
      </w:r>
      <w:r>
        <w:t xml:space="preserve"> </w:t>
      </w:r>
      <w:hyperlink r:id="rId139">
        <w:r>
          <w:rPr>
            <w:rStyle w:val="Hyperlink"/>
          </w:rPr>
          <w:t xml:space="preserve">The paradox of inequality: Income inequality and belief in meritocracy go hand in hand</w:t>
        </w:r>
      </w:hyperlink>
      <w:r>
        <w:t xml:space="preserve">.</w:t>
      </w:r>
      <w:r>
        <w:t xml:space="preserve"> </w:t>
      </w:r>
      <w:r>
        <w:rPr>
          <w:i/>
          <w:iCs/>
        </w:rPr>
        <w:t xml:space="preserve">Socio-Economic Review</w:t>
      </w:r>
      <w:r>
        <w:t xml:space="preserve"> </w:t>
      </w:r>
      <w:r>
        <w:t xml:space="preserve">19(1): 7–35.</w:t>
      </w:r>
    </w:p>
    <w:bookmarkEnd w:id="140"/>
    <w:bookmarkStart w:id="142" w:name="ref-osberg_fair_2006"/>
    <w:p>
      <w:pPr>
        <w:pStyle w:val="Bibliography"/>
      </w:pPr>
      <w:r>
        <w:t xml:space="preserve">Osberg L and Smeeding T (2006)</w:t>
      </w:r>
      <w:r>
        <w:t xml:space="preserve"> </w:t>
      </w:r>
      <w:hyperlink r:id="rId141">
        <w:r>
          <w:rPr>
            <w:rStyle w:val="Hyperlink"/>
          </w:rPr>
          <w:t xml:space="preserve">‘</w:t>
        </w:r>
        <w:r>
          <w:rPr>
            <w:rStyle w:val="Hyperlink"/>
          </w:rPr>
          <w:t xml:space="preserve">Fair</w:t>
        </w:r>
        <w:r>
          <w:rPr>
            <w:rStyle w:val="Hyperlink"/>
          </w:rPr>
          <w:t xml:space="preserve">’</w:t>
        </w:r>
        <w:r>
          <w:rPr>
            <w:rStyle w:val="Hyperlink"/>
          </w:rPr>
          <w:t xml:space="preserve"> </w:t>
        </w:r>
        <w:r>
          <w:rPr>
            <w:rStyle w:val="Hyperlink"/>
          </w:rPr>
          <w:t xml:space="preserve">Inequality</w:t>
        </w:r>
        <w:r>
          <w:rPr>
            <w:rStyle w:val="Hyperlink"/>
          </w:rPr>
          <w:t xml:space="preserve">?</w:t>
        </w:r>
        <w:r>
          <w:rPr>
            <w:rStyle w:val="Hyperlink"/>
          </w:rPr>
          <w:t xml:space="preserve"> </w:t>
        </w:r>
        <w:r>
          <w:rPr>
            <w:rStyle w:val="Hyperlink"/>
          </w:rPr>
          <w:t xml:space="preserve">Attitudes</w:t>
        </w:r>
        <w:r>
          <w:rPr>
            <w:rStyle w:val="Hyperlink"/>
          </w:rPr>
          <w:t xml:space="preserve"> </w:t>
        </w:r>
        <w:r>
          <w:rPr>
            <w:rStyle w:val="Hyperlink"/>
          </w:rPr>
          <w:t xml:space="preserve">toward</w:t>
        </w:r>
        <w:r>
          <w:rPr>
            <w:rStyle w:val="Hyperlink"/>
          </w:rPr>
          <w:t xml:space="preserve"> </w:t>
        </w:r>
        <w:r>
          <w:rPr>
            <w:rStyle w:val="Hyperlink"/>
          </w:rPr>
          <w:t xml:space="preserve">Pay Differentials</w:t>
        </w:r>
        <w:r>
          <w:rPr>
            <w:rStyle w:val="Hyperlink"/>
          </w:rPr>
          <w:t xml:space="preserve">:</w:t>
        </w:r>
        <w:r>
          <w:rPr>
            <w:rStyle w:val="Hyperlink"/>
          </w:rPr>
          <w:t xml:space="preserve"> </w:t>
        </w:r>
        <w:r>
          <w:rPr>
            <w:rStyle w:val="Hyperlink"/>
          </w:rPr>
          <w:t xml:space="preserve">The United States</w:t>
        </w:r>
        <w:r>
          <w:rPr>
            <w:rStyle w:val="Hyperlink"/>
          </w:rPr>
          <w:t xml:space="preserve"> </w:t>
        </w:r>
        <w:r>
          <w:rPr>
            <w:rStyle w:val="Hyperlink"/>
          </w:rPr>
          <w:t xml:space="preserve">in</w:t>
        </w:r>
        <w:r>
          <w:rPr>
            <w:rStyle w:val="Hyperlink"/>
          </w:rPr>
          <w:t xml:space="preserve"> </w:t>
        </w:r>
        <w:r>
          <w:rPr>
            <w:rStyle w:val="Hyperlink"/>
          </w:rPr>
          <w:t xml:space="preserve">Comparative Perspective</w:t>
        </w:r>
      </w:hyperlink>
      <w:r>
        <w:t xml:space="preserve">.</w:t>
      </w:r>
      <w:r>
        <w:t xml:space="preserve"> </w:t>
      </w:r>
      <w:r>
        <w:rPr>
          <w:i/>
          <w:iCs/>
        </w:rPr>
        <w:t xml:space="preserve">American Sociological Review</w:t>
      </w:r>
      <w:r>
        <w:t xml:space="preserve"> </w:t>
      </w:r>
      <w:r>
        <w:t xml:space="preserve">71(3): 450–473.</w:t>
      </w:r>
    </w:p>
    <w:bookmarkEnd w:id="142"/>
    <w:bookmarkStart w:id="143" w:name="ref-perez_building_2023"/>
    <w:p>
      <w:pPr>
        <w:pStyle w:val="Bibliography"/>
      </w:pPr>
      <w:r>
        <w:t xml:space="preserve">Pérez-Ahumada P (2023)</w:t>
      </w:r>
      <w:r>
        <w:t xml:space="preserve"> </w:t>
      </w:r>
      <w:r>
        <w:rPr>
          <w:i/>
          <w:iCs/>
        </w:rPr>
        <w:t xml:space="preserve">Building Power to Shape Labor Policy: Unions, Employer Associations, and Reform in Neoliberal</w:t>
      </w:r>
      <w:r>
        <w:rPr>
          <w:i/>
          <w:iCs/>
        </w:rPr>
        <w:t xml:space="preserve"> </w:t>
      </w:r>
      <w:r>
        <w:rPr>
          <w:i/>
          <w:iCs/>
        </w:rPr>
        <w:t xml:space="preserve">Chile</w:t>
      </w:r>
      <w:r>
        <w:t xml:space="preserve">. Pitt</w:t>
      </w:r>
      <w:r>
        <w:t xml:space="preserve"> </w:t>
      </w:r>
      <w:r>
        <w:t xml:space="preserve">Latin American</w:t>
      </w:r>
      <w:r>
        <w:t xml:space="preserve"> </w:t>
      </w:r>
      <w:r>
        <w:t xml:space="preserve">series. Pittsburgh (Pa.): University of Pittsburgh Press.</w:t>
      </w:r>
    </w:p>
    <w:bookmarkEnd w:id="143"/>
    <w:bookmarkStart w:id="145" w:name="ref-perez-ahumada_conditioning_2026"/>
    <w:p>
      <w:pPr>
        <w:pStyle w:val="Bibliography"/>
      </w:pPr>
      <w:r>
        <w:t xml:space="preserve">Pérez-Ahumada P, Olivares-Collío D and Carrasco K (2026)</w:t>
      </w:r>
      <w:r>
        <w:t xml:space="preserve"> </w:t>
      </w:r>
      <w:hyperlink r:id="rId144">
        <w:r>
          <w:rPr>
            <w:rStyle w:val="Hyperlink"/>
          </w:rPr>
          <w:t xml:space="preserve">The conditioning power of class:</w:t>
        </w:r>
        <w:r>
          <w:rPr>
            <w:rStyle w:val="Hyperlink"/>
          </w:rPr>
          <w:t xml:space="preserve"> </w:t>
        </w:r>
        <w:r>
          <w:rPr>
            <w:rStyle w:val="Hyperlink"/>
          </w:rPr>
          <w:t xml:space="preserve">Collective</w:t>
        </w:r>
        <w:r>
          <w:rPr>
            <w:rStyle w:val="Hyperlink"/>
          </w:rPr>
          <w:t xml:space="preserve"> </w:t>
        </w:r>
        <w:r>
          <w:rPr>
            <w:rStyle w:val="Hyperlink"/>
          </w:rPr>
          <w:t xml:space="preserve">action and attitudes toward inequality in neoliberal</w:t>
        </w:r>
        <w:r>
          <w:rPr>
            <w:rStyle w:val="Hyperlink"/>
          </w:rPr>
          <w:t xml:space="preserve"> </w:t>
        </w:r>
        <w:r>
          <w:rPr>
            <w:rStyle w:val="Hyperlink"/>
          </w:rPr>
          <w:t xml:space="preserve">Chile</w:t>
        </w:r>
        <w:r>
          <w:rPr>
            <w:rStyle w:val="Hyperlink"/>
          </w:rPr>
          <w:t xml:space="preserve"> </w:t>
        </w:r>
        <w:r>
          <w:rPr>
            <w:rStyle w:val="Hyperlink"/>
          </w:rPr>
          <w:t xml:space="preserve">(2016–2023)</w:t>
        </w:r>
      </w:hyperlink>
      <w:r>
        <w:t xml:space="preserve">.</w:t>
      </w:r>
      <w:r>
        <w:t xml:space="preserve"> </w:t>
      </w:r>
      <w:r>
        <w:rPr>
          <w:i/>
          <w:iCs/>
        </w:rPr>
        <w:t xml:space="preserve">Critical Sociology</w:t>
      </w:r>
      <w:r>
        <w:t xml:space="preserve">: 08969205261417585.</w:t>
      </w:r>
    </w:p>
    <w:bookmarkEnd w:id="145"/>
    <w:bookmarkStart w:id="147" w:name="ref-petersen_social_2012"/>
    <w:p>
      <w:pPr>
        <w:pStyle w:val="Bibliography"/>
      </w:pPr>
      <w:r>
        <w:t xml:space="preserve">Petersen MB (2012)</w:t>
      </w:r>
      <w:r>
        <w:t xml:space="preserve"> </w:t>
      </w:r>
      <w:hyperlink r:id="rId146">
        <w:r>
          <w:rPr>
            <w:rStyle w:val="Hyperlink"/>
          </w:rPr>
          <w:t xml:space="preserve">Social</w:t>
        </w:r>
        <w:r>
          <w:rPr>
            <w:rStyle w:val="Hyperlink"/>
          </w:rPr>
          <w:t xml:space="preserve"> </w:t>
        </w:r>
        <w:r>
          <w:rPr>
            <w:rStyle w:val="Hyperlink"/>
          </w:rPr>
          <w:t xml:space="preserve">Welfare</w:t>
        </w:r>
        <w:r>
          <w:rPr>
            <w:rStyle w:val="Hyperlink"/>
          </w:rPr>
          <w:t xml:space="preserve"> </w:t>
        </w:r>
        <w:r>
          <w:rPr>
            <w:rStyle w:val="Hyperlink"/>
          </w:rPr>
          <w:t xml:space="preserve">as</w:t>
        </w:r>
        <w:r>
          <w:rPr>
            <w:rStyle w:val="Hyperlink"/>
          </w:rPr>
          <w:t xml:space="preserve"> </w:t>
        </w:r>
        <w:r>
          <w:rPr>
            <w:rStyle w:val="Hyperlink"/>
          </w:rPr>
          <w:t xml:space="preserve">Small</w:t>
        </w:r>
        <w:r>
          <w:rPr>
            <w:rStyle w:val="Hyperlink"/>
          </w:rPr>
          <w:t xml:space="preserve">-</w:t>
        </w:r>
        <w:r>
          <w:rPr>
            <w:rStyle w:val="Hyperlink"/>
          </w:rPr>
          <w:t xml:space="preserve">Scale Help</w:t>
        </w:r>
        <w:r>
          <w:rPr>
            <w:rStyle w:val="Hyperlink"/>
          </w:rPr>
          <w:t xml:space="preserve">:</w:t>
        </w:r>
        <w:r>
          <w:rPr>
            <w:rStyle w:val="Hyperlink"/>
          </w:rPr>
          <w:t xml:space="preserve"> </w:t>
        </w:r>
        <w:r>
          <w:rPr>
            <w:rStyle w:val="Hyperlink"/>
          </w:rPr>
          <w:t xml:space="preserve">Evolutionary Psychology</w:t>
        </w:r>
        <w:r>
          <w:rPr>
            <w:rStyle w:val="Hyperlink"/>
          </w:rPr>
          <w:t xml:space="preserve"> </w:t>
        </w:r>
        <w:r>
          <w:rPr>
            <w:rStyle w:val="Hyperlink"/>
          </w:rPr>
          <w:t xml:space="preserve">and the</w:t>
        </w:r>
        <w:r>
          <w:rPr>
            <w:rStyle w:val="Hyperlink"/>
          </w:rPr>
          <w:t xml:space="preserve"> </w:t>
        </w:r>
        <w:r>
          <w:rPr>
            <w:rStyle w:val="Hyperlink"/>
          </w:rPr>
          <w:t xml:space="preserve">Deservingness Heuristic</w:t>
        </w:r>
      </w:hyperlink>
      <w:r>
        <w:t xml:space="preserve">.</w:t>
      </w:r>
      <w:r>
        <w:t xml:space="preserve"> </w:t>
      </w:r>
      <w:r>
        <w:rPr>
          <w:i/>
          <w:iCs/>
        </w:rPr>
        <w:t xml:space="preserve">American Journal of Political Science</w:t>
      </w:r>
      <w:r>
        <w:t xml:space="preserve"> </w:t>
      </w:r>
      <w:r>
        <w:t xml:space="preserve">56(1): 1–16.</w:t>
      </w:r>
    </w:p>
    <w:bookmarkEnd w:id="147"/>
    <w:bookmarkStart w:id="149" w:name="ref-reeskens_equity_2013"/>
    <w:p>
      <w:pPr>
        <w:pStyle w:val="Bibliography"/>
      </w:pPr>
      <w:r>
        <w:t xml:space="preserve">Reeskens T and Van Oorschot W (2013)</w:t>
      </w:r>
      <w:r>
        <w:t xml:space="preserve"> </w:t>
      </w:r>
      <w:hyperlink r:id="rId148">
        <w:r>
          <w:rPr>
            <w:rStyle w:val="Hyperlink"/>
          </w:rPr>
          <w:t xml:space="preserve">Equity, equality, or need?</w:t>
        </w:r>
        <w:r>
          <w:rPr>
            <w:rStyle w:val="Hyperlink"/>
          </w:rPr>
          <w:t xml:space="preserve"> </w:t>
        </w:r>
        <w:r>
          <w:rPr>
            <w:rStyle w:val="Hyperlink"/>
          </w:rPr>
          <w:t xml:space="preserve">A</w:t>
        </w:r>
        <w:r>
          <w:rPr>
            <w:rStyle w:val="Hyperlink"/>
          </w:rPr>
          <w:t xml:space="preserve"> </w:t>
        </w:r>
        <w:r>
          <w:rPr>
            <w:rStyle w:val="Hyperlink"/>
          </w:rPr>
          <w:t xml:space="preserve">study of popular preferences for welfare redistribution principles across 24</w:t>
        </w:r>
        <w:r>
          <w:rPr>
            <w:rStyle w:val="Hyperlink"/>
          </w:rPr>
          <w:t xml:space="preserve"> </w:t>
        </w:r>
        <w:r>
          <w:rPr>
            <w:rStyle w:val="Hyperlink"/>
          </w:rPr>
          <w:t xml:space="preserve">European</w:t>
        </w:r>
        <w:r>
          <w:rPr>
            <w:rStyle w:val="Hyperlink"/>
          </w:rPr>
          <w:t xml:space="preserve"> </w:t>
        </w:r>
        <w:r>
          <w:rPr>
            <w:rStyle w:val="Hyperlink"/>
          </w:rPr>
          <w:t xml:space="preserve">countries</w:t>
        </w:r>
      </w:hyperlink>
      <w:r>
        <w:t xml:space="preserve">.</w:t>
      </w:r>
      <w:r>
        <w:t xml:space="preserve"> </w:t>
      </w:r>
      <w:r>
        <w:rPr>
          <w:i/>
          <w:iCs/>
        </w:rPr>
        <w:t xml:space="preserve">Journal of European Public Policy</w:t>
      </w:r>
      <w:r>
        <w:t xml:space="preserve"> </w:t>
      </w:r>
      <w:r>
        <w:t xml:space="preserve">20(8): 1174–1195.</w:t>
      </w:r>
    </w:p>
    <w:bookmarkEnd w:id="149"/>
    <w:bookmarkStart w:id="151" w:name="ref-rehm_risks_2009"/>
    <w:p>
      <w:pPr>
        <w:pStyle w:val="Bibliography"/>
      </w:pPr>
      <w:r>
        <w:t xml:space="preserve">Rehm P (2009)</w:t>
      </w:r>
      <w:r>
        <w:t xml:space="preserve"> </w:t>
      </w:r>
      <w:hyperlink r:id="rId150">
        <w:r>
          <w:rPr>
            <w:rStyle w:val="Hyperlink"/>
          </w:rPr>
          <w:t xml:space="preserve">Risks and</w:t>
        </w:r>
        <w:r>
          <w:rPr>
            <w:rStyle w:val="Hyperlink"/>
          </w:rPr>
          <w:t xml:space="preserve"> </w:t>
        </w:r>
        <w:r>
          <w:rPr>
            <w:rStyle w:val="Hyperlink"/>
          </w:rPr>
          <w:t xml:space="preserve">Redistribution</w:t>
        </w:r>
        <w:r>
          <w:rPr>
            <w:rStyle w:val="Hyperlink"/>
          </w:rPr>
          <w:t xml:space="preserve">:</w:t>
        </w:r>
        <w:r>
          <w:rPr>
            <w:rStyle w:val="Hyperlink"/>
          </w:rPr>
          <w:t xml:space="preserve"> </w:t>
        </w:r>
        <w:r>
          <w:rPr>
            <w:rStyle w:val="Hyperlink"/>
          </w:rPr>
          <w:t xml:space="preserve">An Individual-Level Analysis</w:t>
        </w:r>
      </w:hyperlink>
      <w:r>
        <w:t xml:space="preserve">.</w:t>
      </w:r>
      <w:r>
        <w:t xml:space="preserve"> </w:t>
      </w:r>
      <w:r>
        <w:rPr>
          <w:i/>
          <w:iCs/>
        </w:rPr>
        <w:t xml:space="preserve">Comparative Political Studies</w:t>
      </w:r>
      <w:r>
        <w:t xml:space="preserve"> </w:t>
      </w:r>
      <w:r>
        <w:t xml:space="preserve">42(7): 855–881.</w:t>
      </w:r>
    </w:p>
    <w:bookmarkEnd w:id="151"/>
    <w:bookmarkStart w:id="153" w:name="ref-roosma_just_2016"/>
    <w:p>
      <w:pPr>
        <w:pStyle w:val="Bibliography"/>
      </w:pPr>
      <w:r>
        <w:t xml:space="preserve">Roosma F, Van Oorschot W and Gelissen J (2016)</w:t>
      </w:r>
      <w:r>
        <w:t xml:space="preserve"> </w:t>
      </w:r>
      <w:hyperlink r:id="rId152">
        <w:r>
          <w:rPr>
            <w:rStyle w:val="Hyperlink"/>
          </w:rPr>
          <w:t xml:space="preserve">A</w:t>
        </w:r>
        <w:r>
          <w:rPr>
            <w:rStyle w:val="Hyperlink"/>
          </w:rPr>
          <w:t xml:space="preserve"> </w:t>
        </w:r>
        <w:r>
          <w:rPr>
            <w:rStyle w:val="Hyperlink"/>
          </w:rPr>
          <w:t xml:space="preserve">Just Distribution</w:t>
        </w:r>
        <w:r>
          <w:rPr>
            <w:rStyle w:val="Hyperlink"/>
          </w:rPr>
          <w:t xml:space="preserve"> </w:t>
        </w:r>
        <w:r>
          <w:rPr>
            <w:rStyle w:val="Hyperlink"/>
          </w:rPr>
          <w:t xml:space="preserve">of</w:t>
        </w:r>
        <w:r>
          <w:rPr>
            <w:rStyle w:val="Hyperlink"/>
          </w:rPr>
          <w:t xml:space="preserve"> </w:t>
        </w:r>
        <w:r>
          <w:rPr>
            <w:rStyle w:val="Hyperlink"/>
          </w:rPr>
          <w:t xml:space="preserve">Burdens</w:t>
        </w:r>
        <w:r>
          <w:rPr>
            <w:rStyle w:val="Hyperlink"/>
          </w:rPr>
          <w:t xml:space="preserve">?</w:t>
        </w:r>
        <w:r>
          <w:rPr>
            <w:rStyle w:val="Hyperlink"/>
          </w:rPr>
          <w:t xml:space="preserve"> </w:t>
        </w:r>
        <w:r>
          <w:rPr>
            <w:rStyle w:val="Hyperlink"/>
          </w:rPr>
          <w:t xml:space="preserve">Attitudes Toward</w:t>
        </w:r>
        <w:r>
          <w:rPr>
            <w:rStyle w:val="Hyperlink"/>
          </w:rPr>
          <w:t xml:space="preserve"> </w:t>
        </w:r>
        <w:r>
          <w:rPr>
            <w:rStyle w:val="Hyperlink"/>
          </w:rPr>
          <w:t xml:space="preserve">the</w:t>
        </w:r>
        <w:r>
          <w:rPr>
            <w:rStyle w:val="Hyperlink"/>
          </w:rPr>
          <w:t xml:space="preserve"> </w:t>
        </w:r>
        <w:r>
          <w:rPr>
            <w:rStyle w:val="Hyperlink"/>
          </w:rPr>
          <w:t xml:space="preserve">Social Distribution</w:t>
        </w:r>
        <w:r>
          <w:rPr>
            <w:rStyle w:val="Hyperlink"/>
          </w:rPr>
          <w:t xml:space="preserve"> </w:t>
        </w:r>
        <w:r>
          <w:rPr>
            <w:rStyle w:val="Hyperlink"/>
          </w:rPr>
          <w:t xml:space="preserve">of</w:t>
        </w:r>
        <w:r>
          <w:rPr>
            <w:rStyle w:val="Hyperlink"/>
          </w:rPr>
          <w:t xml:space="preserve"> </w:t>
        </w:r>
        <w:r>
          <w:rPr>
            <w:rStyle w:val="Hyperlink"/>
          </w:rPr>
          <w:t xml:space="preserve">Taxes</w:t>
        </w:r>
        <w:r>
          <w:rPr>
            <w:rStyle w:val="Hyperlink"/>
          </w:rPr>
          <w:t xml:space="preserve"> </w:t>
        </w:r>
        <w:r>
          <w:rPr>
            <w:rStyle w:val="Hyperlink"/>
          </w:rPr>
          <w:t xml:space="preserve">in 26</w:t>
        </w:r>
        <w:r>
          <w:rPr>
            <w:rStyle w:val="Hyperlink"/>
          </w:rPr>
          <w:t xml:space="preserve"> </w:t>
        </w:r>
        <w:r>
          <w:rPr>
            <w:rStyle w:val="Hyperlink"/>
          </w:rPr>
          <w:t xml:space="preserve">Welfare States</w:t>
        </w:r>
      </w:hyperlink>
      <w:r>
        <w:t xml:space="preserve">.</w:t>
      </w:r>
      <w:r>
        <w:t xml:space="preserve"> </w:t>
      </w:r>
      <w:r>
        <w:rPr>
          <w:i/>
          <w:iCs/>
        </w:rPr>
        <w:t xml:space="preserve">International Journal of Public Opinion Research</w:t>
      </w:r>
      <w:r>
        <w:t xml:space="preserve"> </w:t>
      </w:r>
      <w:r>
        <w:t xml:space="preserve">28(3): 376–400.</w:t>
      </w:r>
    </w:p>
    <w:bookmarkEnd w:id="153"/>
    <w:bookmarkStart w:id="155" w:name="ref-rothstein_just_1998"/>
    <w:p>
      <w:pPr>
        <w:pStyle w:val="Bibliography"/>
      </w:pPr>
      <w:r>
        <w:t xml:space="preserve">Rothstein B (1998)</w:t>
      </w:r>
      <w:r>
        <w:t xml:space="preserve"> </w:t>
      </w:r>
      <w:hyperlink r:id="rId154">
        <w:r>
          <w:rPr>
            <w:rStyle w:val="Hyperlink"/>
            <w:i/>
            <w:iCs/>
          </w:rPr>
          <w:t xml:space="preserve">Just</w:t>
        </w:r>
        <w:r>
          <w:rPr>
            <w:rStyle w:val="Hyperlink"/>
            <w:i/>
            <w:iCs/>
          </w:rPr>
          <w:t xml:space="preserve"> </w:t>
        </w:r>
        <w:r>
          <w:rPr>
            <w:rStyle w:val="Hyperlink"/>
            <w:i/>
            <w:iCs/>
          </w:rPr>
          <w:t xml:space="preserve">Institutions Matter</w:t>
        </w:r>
        <w:r>
          <w:rPr>
            <w:rStyle w:val="Hyperlink"/>
            <w:i/>
            <w:iCs/>
          </w:rPr>
          <w:t xml:space="preserve">:</w:t>
        </w:r>
        <w:r>
          <w:rPr>
            <w:rStyle w:val="Hyperlink"/>
            <w:i/>
            <w:iCs/>
          </w:rPr>
          <w:t xml:space="preserve"> </w:t>
        </w:r>
        <w:r>
          <w:rPr>
            <w:rStyle w:val="Hyperlink"/>
            <w:i/>
            <w:iCs/>
          </w:rPr>
          <w:t xml:space="preserve">The Moral</w:t>
        </w:r>
        <w:r>
          <w:rPr>
            <w:rStyle w:val="Hyperlink"/>
            <w:i/>
            <w:iCs/>
          </w:rPr>
          <w:t xml:space="preserve"> </w:t>
        </w:r>
        <w:r>
          <w:rPr>
            <w:rStyle w:val="Hyperlink"/>
            <w:i/>
            <w:iCs/>
          </w:rPr>
          <w:t xml:space="preserve">and</w:t>
        </w:r>
        <w:r>
          <w:rPr>
            <w:rStyle w:val="Hyperlink"/>
            <w:i/>
            <w:iCs/>
          </w:rPr>
          <w:t xml:space="preserve"> </w:t>
        </w:r>
        <w:r>
          <w:rPr>
            <w:rStyle w:val="Hyperlink"/>
            <w:i/>
            <w:iCs/>
          </w:rPr>
          <w:t xml:space="preserve">Political Logic</w:t>
        </w:r>
        <w:r>
          <w:rPr>
            <w:rStyle w:val="Hyperlink"/>
            <w:i/>
            <w:iCs/>
          </w:rPr>
          <w:t xml:space="preserve"> </w:t>
        </w:r>
        <w:r>
          <w:rPr>
            <w:rStyle w:val="Hyperlink"/>
            <w:i/>
            <w:iCs/>
          </w:rPr>
          <w:t xml:space="preserve">of the</w:t>
        </w:r>
        <w:r>
          <w:rPr>
            <w:rStyle w:val="Hyperlink"/>
            <w:i/>
            <w:iCs/>
          </w:rPr>
          <w:t xml:space="preserve"> </w:t>
        </w:r>
        <w:r>
          <w:rPr>
            <w:rStyle w:val="Hyperlink"/>
            <w:i/>
            <w:iCs/>
          </w:rPr>
          <w:t xml:space="preserve">Universal Welfare State</w:t>
        </w:r>
      </w:hyperlink>
      <w:r>
        <w:t xml:space="preserve">. 1st edn Cambridge University Press.</w:t>
      </w:r>
    </w:p>
    <w:bookmarkEnd w:id="155"/>
    <w:bookmarkStart w:id="157" w:name="ref-rueda_social_2007"/>
    <w:p>
      <w:pPr>
        <w:pStyle w:val="Bibliography"/>
      </w:pPr>
      <w:r>
        <w:t xml:space="preserve">Rueda D (2007)</w:t>
      </w:r>
      <w:r>
        <w:t xml:space="preserve"> </w:t>
      </w:r>
      <w:hyperlink r:id="rId156">
        <w:r>
          <w:rPr>
            <w:rStyle w:val="Hyperlink"/>
            <w:i/>
            <w:iCs/>
          </w:rPr>
          <w:t xml:space="preserve">Social</w:t>
        </w:r>
        <w:r>
          <w:rPr>
            <w:rStyle w:val="Hyperlink"/>
            <w:i/>
            <w:iCs/>
          </w:rPr>
          <w:t xml:space="preserve"> </w:t>
        </w:r>
        <w:r>
          <w:rPr>
            <w:rStyle w:val="Hyperlink"/>
            <w:i/>
            <w:iCs/>
          </w:rPr>
          <w:t xml:space="preserve">Democracy Inside Out</w:t>
        </w:r>
        <w:r>
          <w:rPr>
            <w:rStyle w:val="Hyperlink"/>
            <w:i/>
            <w:iCs/>
          </w:rPr>
          <w:t xml:space="preserve">:</w:t>
        </w:r>
        <w:r>
          <w:rPr>
            <w:rStyle w:val="Hyperlink"/>
            <w:i/>
            <w:iCs/>
          </w:rPr>
          <w:t xml:space="preserve"> </w:t>
        </w:r>
        <w:r>
          <w:rPr>
            <w:rStyle w:val="Hyperlink"/>
            <w:i/>
            <w:iCs/>
          </w:rPr>
          <w:t xml:space="preserve">Partisanship</w:t>
        </w:r>
        <w:r>
          <w:rPr>
            <w:rStyle w:val="Hyperlink"/>
            <w:i/>
            <w:iCs/>
          </w:rPr>
          <w:t xml:space="preserve"> </w:t>
        </w:r>
        <w:r>
          <w:rPr>
            <w:rStyle w:val="Hyperlink"/>
            <w:i/>
            <w:iCs/>
          </w:rPr>
          <w:t xml:space="preserve">and</w:t>
        </w:r>
        <w:r>
          <w:rPr>
            <w:rStyle w:val="Hyperlink"/>
            <w:i/>
            <w:iCs/>
          </w:rPr>
          <w:t xml:space="preserve"> </w:t>
        </w:r>
        <w:r>
          <w:rPr>
            <w:rStyle w:val="Hyperlink"/>
            <w:i/>
            <w:iCs/>
          </w:rPr>
          <w:t xml:space="preserve">Labor Market Policy</w:t>
        </w:r>
        <w:r>
          <w:rPr>
            <w:rStyle w:val="Hyperlink"/>
            <w:i/>
            <w:iCs/>
          </w:rPr>
          <w:t xml:space="preserve"> </w:t>
        </w:r>
        <w:r>
          <w:rPr>
            <w:rStyle w:val="Hyperlink"/>
            <w:i/>
            <w:iCs/>
          </w:rPr>
          <w:t xml:space="preserve">in</w:t>
        </w:r>
        <w:r>
          <w:rPr>
            <w:rStyle w:val="Hyperlink"/>
            <w:i/>
            <w:iCs/>
          </w:rPr>
          <w:t xml:space="preserve"> </w:t>
        </w:r>
        <w:r>
          <w:rPr>
            <w:rStyle w:val="Hyperlink"/>
            <w:i/>
            <w:iCs/>
          </w:rPr>
          <w:t xml:space="preserve">Advanced Industrialized Democracies</w:t>
        </w:r>
      </w:hyperlink>
      <w:r>
        <w:t xml:space="preserve">. 1st edn Oxford University PressOxford.</w:t>
      </w:r>
    </w:p>
    <w:bookmarkEnd w:id="157"/>
    <w:bookmarkStart w:id="159" w:name="ref-schmidt-catran_economic_2016"/>
    <w:p>
      <w:pPr>
        <w:pStyle w:val="Bibliography"/>
      </w:pPr>
      <w:r>
        <w:t xml:space="preserve">Schmidt-Catran AW (2016)</w:t>
      </w:r>
      <w:r>
        <w:t xml:space="preserve"> </w:t>
      </w:r>
      <w:hyperlink r:id="rId158">
        <w:r>
          <w:rPr>
            <w:rStyle w:val="Hyperlink"/>
          </w:rPr>
          <w:t xml:space="preserve">Economic inequality and public demand for redistribution: Combining cross-sectional and longitudinal evidence</w:t>
        </w:r>
      </w:hyperlink>
      <w:r>
        <w:t xml:space="preserve">.</w:t>
      </w:r>
      <w:r>
        <w:t xml:space="preserve"> </w:t>
      </w:r>
      <w:r>
        <w:rPr>
          <w:i/>
          <w:iCs/>
        </w:rPr>
        <w:t xml:space="preserve">Socio-Economic Review</w:t>
      </w:r>
      <w:r>
        <w:t xml:space="preserve"> </w:t>
      </w:r>
      <w:r>
        <w:t xml:space="preserve">14(1): 119–140.</w:t>
      </w:r>
    </w:p>
    <w:bookmarkEnd w:id="159"/>
    <w:bookmarkStart w:id="160" w:name="ref-schor_gig_2020"/>
    <w:p>
      <w:pPr>
        <w:pStyle w:val="Bibliography"/>
      </w:pPr>
      <w:r>
        <w:t xml:space="preserve">Schor JB (2020)</w:t>
      </w:r>
      <w:r>
        <w:t xml:space="preserve"> </w:t>
      </w:r>
      <w:r>
        <w:rPr>
          <w:i/>
          <w:iCs/>
        </w:rPr>
        <w:t xml:space="preserve">After the Gig: How the Sharing Economy Got Hijacked and How to Win It Back</w:t>
      </w:r>
      <w:r>
        <w:t xml:space="preserve">. Oakland, California: University of California Press.</w:t>
      </w:r>
    </w:p>
    <w:bookmarkEnd w:id="160"/>
    <w:bookmarkStart w:id="162" w:name="ref-schwander_who_2013"/>
    <w:p>
      <w:pPr>
        <w:pStyle w:val="Bibliography"/>
      </w:pPr>
      <w:r>
        <w:t xml:space="preserve">Schwander H and Häusermann S (2013)</w:t>
      </w:r>
      <w:r>
        <w:t xml:space="preserve"> </w:t>
      </w:r>
      <w:hyperlink r:id="rId161">
        <w:r>
          <w:rPr>
            <w:rStyle w:val="Hyperlink"/>
          </w:rPr>
          <w:t xml:space="preserve">Who is in and who is out?</w:t>
        </w:r>
        <w:r>
          <w:rPr>
            <w:rStyle w:val="Hyperlink"/>
          </w:rPr>
          <w:t xml:space="preserve"> </w:t>
        </w:r>
        <w:r>
          <w:rPr>
            <w:rStyle w:val="Hyperlink"/>
          </w:rPr>
          <w:t xml:space="preserve">A</w:t>
        </w:r>
        <w:r>
          <w:rPr>
            <w:rStyle w:val="Hyperlink"/>
          </w:rPr>
          <w:t xml:space="preserve"> </w:t>
        </w:r>
        <w:r>
          <w:rPr>
            <w:rStyle w:val="Hyperlink"/>
          </w:rPr>
          <w:t xml:space="preserve">risk-based conceptualization of insiders and outsiders</w:t>
        </w:r>
      </w:hyperlink>
      <w:r>
        <w:t xml:space="preserve">.</w:t>
      </w:r>
      <w:r>
        <w:t xml:space="preserve"> </w:t>
      </w:r>
      <w:r>
        <w:rPr>
          <w:i/>
          <w:iCs/>
        </w:rPr>
        <w:t xml:space="preserve">Journal of European Social Policy</w:t>
      </w:r>
      <w:r>
        <w:t xml:space="preserve"> </w:t>
      </w:r>
      <w:r>
        <w:t xml:space="preserve">23(3): 248–269.</w:t>
      </w:r>
    </w:p>
    <w:bookmarkEnd w:id="162"/>
    <w:bookmarkStart w:id="163" w:name="ref-snijders_multilevel_2012"/>
    <w:p>
      <w:pPr>
        <w:pStyle w:val="Bibliography"/>
      </w:pPr>
      <w:r>
        <w:t xml:space="preserve">Snijders TAB and Bosker RJ (2012)</w:t>
      </w:r>
      <w:r>
        <w:t xml:space="preserve"> </w:t>
      </w:r>
      <w:r>
        <w:rPr>
          <w:i/>
          <w:iCs/>
        </w:rPr>
        <w:t xml:space="preserve">Multilevel Analysis: An Introduction to Basic and Advanced Multilevel Modeling</w:t>
      </w:r>
      <w:r>
        <w:t xml:space="preserve">. 2nd ed. Los Angeles: Sage.</w:t>
      </w:r>
    </w:p>
    <w:bookmarkEnd w:id="163"/>
    <w:bookmarkStart w:id="164" w:name="ref-standing_precariat_2014"/>
    <w:p>
      <w:pPr>
        <w:pStyle w:val="Bibliography"/>
      </w:pPr>
      <w:r>
        <w:t xml:space="preserve">Standing G (2014)</w:t>
      </w:r>
      <w:r>
        <w:t xml:space="preserve"> </w:t>
      </w:r>
      <w:r>
        <w:rPr>
          <w:i/>
          <w:iCs/>
        </w:rPr>
        <w:t xml:space="preserve">The Precariat: The New Dangerous Class</w:t>
      </w:r>
      <w:r>
        <w:t xml:space="preserve">. London, UK ; New York, NY: Bloomsbury.</w:t>
      </w:r>
    </w:p>
    <w:bookmarkEnd w:id="164"/>
    <w:bookmarkStart w:id="166" w:name="ref-svallfors_worlds_1997"/>
    <w:p>
      <w:pPr>
        <w:pStyle w:val="Bibliography"/>
      </w:pPr>
      <w:r>
        <w:t xml:space="preserve">Svallfors S (1997)</w:t>
      </w:r>
      <w:r>
        <w:t xml:space="preserve"> </w:t>
      </w:r>
      <w:hyperlink r:id="rId165">
        <w:r>
          <w:rPr>
            <w:rStyle w:val="Hyperlink"/>
          </w:rPr>
          <w:t xml:space="preserve">Worlds of</w:t>
        </w:r>
        <w:r>
          <w:rPr>
            <w:rStyle w:val="Hyperlink"/>
          </w:rPr>
          <w:t xml:space="preserve"> </w:t>
        </w:r>
        <w:r>
          <w:rPr>
            <w:rStyle w:val="Hyperlink"/>
          </w:rPr>
          <w:t xml:space="preserve">Welfare</w:t>
        </w:r>
        <w:r>
          <w:rPr>
            <w:rStyle w:val="Hyperlink"/>
          </w:rPr>
          <w:t xml:space="preserve"> </w:t>
        </w:r>
        <w:r>
          <w:rPr>
            <w:rStyle w:val="Hyperlink"/>
          </w:rPr>
          <w:t xml:space="preserve">and</w:t>
        </w:r>
        <w:r>
          <w:rPr>
            <w:rStyle w:val="Hyperlink"/>
          </w:rPr>
          <w:t xml:space="preserve"> </w:t>
        </w:r>
        <w:r>
          <w:rPr>
            <w:rStyle w:val="Hyperlink"/>
          </w:rPr>
          <w:t xml:space="preserve">Attitudes</w:t>
        </w:r>
        <w:r>
          <w:rPr>
            <w:rStyle w:val="Hyperlink"/>
          </w:rPr>
          <w:t xml:space="preserve"> </w:t>
        </w:r>
        <w:r>
          <w:rPr>
            <w:rStyle w:val="Hyperlink"/>
          </w:rPr>
          <w:t xml:space="preserve">to</w:t>
        </w:r>
        <w:r>
          <w:rPr>
            <w:rStyle w:val="Hyperlink"/>
          </w:rPr>
          <w:t xml:space="preserve"> </w:t>
        </w:r>
        <w:r>
          <w:rPr>
            <w:rStyle w:val="Hyperlink"/>
          </w:rPr>
          <w:t xml:space="preserve">Redistribution</w:t>
        </w:r>
        <w:r>
          <w:rPr>
            <w:rStyle w:val="Hyperlink"/>
          </w:rPr>
          <w:t xml:space="preserve">:</w:t>
        </w:r>
        <w:r>
          <w:rPr>
            <w:rStyle w:val="Hyperlink"/>
          </w:rPr>
          <w:t xml:space="preserve"> </w:t>
        </w:r>
        <w:r>
          <w:rPr>
            <w:rStyle w:val="Hyperlink"/>
          </w:rPr>
          <w:t xml:space="preserve">A Comparison</w:t>
        </w:r>
        <w:r>
          <w:rPr>
            <w:rStyle w:val="Hyperlink"/>
          </w:rPr>
          <w:t xml:space="preserve"> </w:t>
        </w:r>
        <w:r>
          <w:rPr>
            <w:rStyle w:val="Hyperlink"/>
          </w:rPr>
          <w:t xml:space="preserve">of</w:t>
        </w:r>
        <w:r>
          <w:rPr>
            <w:rStyle w:val="Hyperlink"/>
          </w:rPr>
          <w:t xml:space="preserve"> </w:t>
        </w:r>
        <w:r>
          <w:rPr>
            <w:rStyle w:val="Hyperlink"/>
          </w:rPr>
          <w:t xml:space="preserve">Eight Western Nations</w:t>
        </w:r>
      </w:hyperlink>
      <w:r>
        <w:t xml:space="preserve">.</w:t>
      </w:r>
      <w:r>
        <w:t xml:space="preserve"> </w:t>
      </w:r>
      <w:r>
        <w:rPr>
          <w:i/>
          <w:iCs/>
        </w:rPr>
        <w:t xml:space="preserve">European Sociological Review</w:t>
      </w:r>
      <w:r>
        <w:t xml:space="preserve"> </w:t>
      </w:r>
      <w:r>
        <w:t xml:space="preserve">13(3): 283–304.</w:t>
      </w:r>
    </w:p>
    <w:bookmarkEnd w:id="166"/>
    <w:bookmarkStart w:id="168" w:name="ref-svallfors_government_2013"/>
    <w:p>
      <w:pPr>
        <w:pStyle w:val="Bibliography"/>
      </w:pPr>
      <w:r>
        <w:t xml:space="preserve">Svallfors S (2013)</w:t>
      </w:r>
      <w:r>
        <w:t xml:space="preserve"> </w:t>
      </w:r>
      <w:hyperlink r:id="rId167">
        <w:r>
          <w:rPr>
            <w:rStyle w:val="Hyperlink"/>
          </w:rPr>
          <w:t xml:space="preserve">Government quality, egalitarianism, and attitudes to taxes and social spending: A</w:t>
        </w:r>
        <w:r>
          <w:rPr>
            <w:rStyle w:val="Hyperlink"/>
          </w:rPr>
          <w:t xml:space="preserve"> </w:t>
        </w:r>
        <w:r>
          <w:rPr>
            <w:rStyle w:val="Hyperlink"/>
          </w:rPr>
          <w:t xml:space="preserve">European</w:t>
        </w:r>
        <w:r>
          <w:rPr>
            <w:rStyle w:val="Hyperlink"/>
          </w:rPr>
          <w:t xml:space="preserve"> </w:t>
        </w:r>
        <w:r>
          <w:rPr>
            <w:rStyle w:val="Hyperlink"/>
          </w:rPr>
          <w:t xml:space="preserve">comparison</w:t>
        </w:r>
      </w:hyperlink>
      <w:r>
        <w:t xml:space="preserve">.</w:t>
      </w:r>
      <w:r>
        <w:t xml:space="preserve"> </w:t>
      </w:r>
      <w:r>
        <w:rPr>
          <w:i/>
          <w:iCs/>
        </w:rPr>
        <w:t xml:space="preserve">European Political Science Review</w:t>
      </w:r>
      <w:r>
        <w:t xml:space="preserve"> </w:t>
      </w:r>
      <w:r>
        <w:t xml:space="preserve">5(3): 363–380.</w:t>
      </w:r>
    </w:p>
    <w:bookmarkEnd w:id="168"/>
    <w:bookmarkStart w:id="170" w:name="ref-sverke_no_2002"/>
    <w:p>
      <w:pPr>
        <w:pStyle w:val="Bibliography"/>
      </w:pPr>
      <w:r>
        <w:t xml:space="preserve">Sverke M, Hellgren J and Näswall K (2002)</w:t>
      </w:r>
      <w:r>
        <w:t xml:space="preserve"> </w:t>
      </w:r>
      <w:hyperlink r:id="rId169">
        <w:r>
          <w:rPr>
            <w:rStyle w:val="Hyperlink"/>
          </w:rPr>
          <w:t xml:space="preserve">No security:</w:t>
        </w:r>
        <w:r>
          <w:rPr>
            <w:rStyle w:val="Hyperlink"/>
          </w:rPr>
          <w:t xml:space="preserve"> </w:t>
        </w:r>
        <w:r>
          <w:rPr>
            <w:rStyle w:val="Hyperlink"/>
          </w:rPr>
          <w:t xml:space="preserve">A</w:t>
        </w:r>
        <w:r>
          <w:rPr>
            <w:rStyle w:val="Hyperlink"/>
          </w:rPr>
          <w:t xml:space="preserve"> </w:t>
        </w:r>
        <w:r>
          <w:rPr>
            <w:rStyle w:val="Hyperlink"/>
          </w:rPr>
          <w:t xml:space="preserve">meta-analysis and review of job insecurity and its consequences.</w:t>
        </w:r>
      </w:hyperlink>
      <w:r>
        <w:t xml:space="preserve"> </w:t>
      </w:r>
      <w:r>
        <w:rPr>
          <w:i/>
          <w:iCs/>
        </w:rPr>
        <w:t xml:space="preserve">Journal of Occupational Health Psychology</w:t>
      </w:r>
      <w:r>
        <w:t xml:space="preserve"> </w:t>
      </w:r>
      <w:r>
        <w:t xml:space="preserve">7(3): 242–264.</w:t>
      </w:r>
    </w:p>
    <w:bookmarkEnd w:id="170"/>
    <w:bookmarkStart w:id="172" w:name="ref-thewissen_automation_2019"/>
    <w:p>
      <w:pPr>
        <w:pStyle w:val="Bibliography"/>
      </w:pPr>
      <w:r>
        <w:t xml:space="preserve">Thewissen S and Rueda D (2019)</w:t>
      </w:r>
      <w:r>
        <w:t xml:space="preserve"> </w:t>
      </w:r>
      <w:hyperlink r:id="rId171">
        <w:r>
          <w:rPr>
            <w:rStyle w:val="Hyperlink"/>
          </w:rPr>
          <w:t xml:space="preserve">Automation and the</w:t>
        </w:r>
        <w:r>
          <w:rPr>
            <w:rStyle w:val="Hyperlink"/>
          </w:rPr>
          <w:t xml:space="preserve"> </w:t>
        </w:r>
        <w:r>
          <w:rPr>
            <w:rStyle w:val="Hyperlink"/>
          </w:rPr>
          <w:t xml:space="preserve">Welfare State</w:t>
        </w:r>
        <w:r>
          <w:rPr>
            <w:rStyle w:val="Hyperlink"/>
          </w:rPr>
          <w:t xml:space="preserve">:</w:t>
        </w:r>
        <w:r>
          <w:rPr>
            <w:rStyle w:val="Hyperlink"/>
          </w:rPr>
          <w:t xml:space="preserve"> </w:t>
        </w:r>
        <w:r>
          <w:rPr>
            <w:rStyle w:val="Hyperlink"/>
          </w:rPr>
          <w:t xml:space="preserve">Technological Change</w:t>
        </w:r>
        <w:r>
          <w:rPr>
            <w:rStyle w:val="Hyperlink"/>
          </w:rPr>
          <w:t xml:space="preserve"> </w:t>
        </w:r>
        <w:r>
          <w:rPr>
            <w:rStyle w:val="Hyperlink"/>
          </w:rPr>
          <w:t xml:space="preserve">as a</w:t>
        </w:r>
        <w:r>
          <w:rPr>
            <w:rStyle w:val="Hyperlink"/>
          </w:rPr>
          <w:t xml:space="preserve"> </w:t>
        </w:r>
        <w:r>
          <w:rPr>
            <w:rStyle w:val="Hyperlink"/>
          </w:rPr>
          <w:t xml:space="preserve">Determinant</w:t>
        </w:r>
        <w:r>
          <w:rPr>
            <w:rStyle w:val="Hyperlink"/>
          </w:rPr>
          <w:t xml:space="preserve"> </w:t>
        </w:r>
        <w:r>
          <w:rPr>
            <w:rStyle w:val="Hyperlink"/>
          </w:rPr>
          <w:t xml:space="preserve">of</w:t>
        </w:r>
        <w:r>
          <w:rPr>
            <w:rStyle w:val="Hyperlink"/>
          </w:rPr>
          <w:t xml:space="preserve"> </w:t>
        </w:r>
        <w:r>
          <w:rPr>
            <w:rStyle w:val="Hyperlink"/>
          </w:rPr>
          <w:t xml:space="preserve">Redistribution Preferences</w:t>
        </w:r>
      </w:hyperlink>
      <w:r>
        <w:t xml:space="preserve">.</w:t>
      </w:r>
      <w:r>
        <w:t xml:space="preserve"> </w:t>
      </w:r>
      <w:r>
        <w:rPr>
          <w:i/>
          <w:iCs/>
        </w:rPr>
        <w:t xml:space="preserve">Comparative Political Studies</w:t>
      </w:r>
      <w:r>
        <w:t xml:space="preserve"> </w:t>
      </w:r>
      <w:r>
        <w:t xml:space="preserve">52(2): 171–208.</w:t>
      </w:r>
    </w:p>
    <w:bookmarkEnd w:id="172"/>
    <w:bookmarkStart w:id="174" w:name="ref-thomas_survey_2025"/>
    <w:p>
      <w:pPr>
        <w:pStyle w:val="Bibliography"/>
      </w:pPr>
      <w:r>
        <w:t xml:space="preserve">Thomas J, Frey V and Clarke C (2025)</w:t>
      </w:r>
      <w:r>
        <w:t xml:space="preserve"> </w:t>
      </w:r>
      <w:hyperlink r:id="rId173">
        <w:r>
          <w:rPr>
            <w:rStyle w:val="Hyperlink"/>
            <w:i/>
            <w:iCs/>
          </w:rPr>
          <w:t xml:space="preserve">Survey design and technical documentation supporting the</w:t>
        </w:r>
        <w:r>
          <w:rPr>
            <w:rStyle w:val="Hyperlink"/>
            <w:i/>
            <w:iCs/>
          </w:rPr>
          <w:t xml:space="preserve"> </w:t>
        </w:r>
        <w:r>
          <w:rPr>
            <w:rStyle w:val="Hyperlink"/>
            <w:i/>
            <w:iCs/>
          </w:rPr>
          <w:t xml:space="preserve">OECD Risks</w:t>
        </w:r>
        <w:r>
          <w:rPr>
            <w:rStyle w:val="Hyperlink"/>
            <w:i/>
            <w:iCs/>
          </w:rPr>
          <w:t xml:space="preserve"> </w:t>
        </w:r>
        <w:r>
          <w:rPr>
            <w:rStyle w:val="Hyperlink"/>
            <w:i/>
            <w:iCs/>
          </w:rPr>
          <w:t xml:space="preserve">that</w:t>
        </w:r>
        <w:r>
          <w:rPr>
            <w:rStyle w:val="Hyperlink"/>
            <w:i/>
            <w:iCs/>
          </w:rPr>
          <w:t xml:space="preserve"> </w:t>
        </w:r>
        <w:r>
          <w:rPr>
            <w:rStyle w:val="Hyperlink"/>
            <w:i/>
            <w:iCs/>
          </w:rPr>
          <w:t xml:space="preserve">Matter Survey</w:t>
        </w:r>
      </w:hyperlink>
      <w:r>
        <w:t xml:space="preserve">. 324th edn</w:t>
      </w:r>
      <w:r>
        <w:t xml:space="preserve"> </w:t>
      </w:r>
      <w:r>
        <w:t xml:space="preserve">OECD Social</w:t>
      </w:r>
      <w:r>
        <w:t xml:space="preserve">,</w:t>
      </w:r>
      <w:r>
        <w:t xml:space="preserve"> </w:t>
      </w:r>
      <w:r>
        <w:t xml:space="preserve">Employment</w:t>
      </w:r>
      <w:r>
        <w:t xml:space="preserve"> </w:t>
      </w:r>
      <w:r>
        <w:t xml:space="preserve">and</w:t>
      </w:r>
      <w:r>
        <w:t xml:space="preserve"> </w:t>
      </w:r>
      <w:r>
        <w:t xml:space="preserve">Migration Working Papers</w:t>
      </w:r>
      <w:r>
        <w:t xml:space="preserve">, {{OECD Social}}, {{Employment}} and {{Migration Working Papers}}, June.</w:t>
      </w:r>
    </w:p>
    <w:bookmarkEnd w:id="174"/>
    <w:bookmarkStart w:id="176" w:name="ref-vallas_what_2020"/>
    <w:p>
      <w:pPr>
        <w:pStyle w:val="Bibliography"/>
      </w:pPr>
      <w:r>
        <w:t xml:space="preserve">Vallas S and Schor JB (2020)</w:t>
      </w:r>
      <w:r>
        <w:t xml:space="preserve"> </w:t>
      </w:r>
      <w:hyperlink r:id="rId175">
        <w:r>
          <w:rPr>
            <w:rStyle w:val="Hyperlink"/>
          </w:rPr>
          <w:t xml:space="preserve">What</w:t>
        </w:r>
        <w:r>
          <w:rPr>
            <w:rStyle w:val="Hyperlink"/>
          </w:rPr>
          <w:t xml:space="preserve"> </w:t>
        </w:r>
        <w:r>
          <w:rPr>
            <w:rStyle w:val="Hyperlink"/>
          </w:rPr>
          <w:t xml:space="preserve">Do Platforms Do</w:t>
        </w:r>
        <w:r>
          <w:rPr>
            <w:rStyle w:val="Hyperlink"/>
          </w:rPr>
          <w:t xml:space="preserve">?</w:t>
        </w:r>
        <w:r>
          <w:rPr>
            <w:rStyle w:val="Hyperlink"/>
          </w:rPr>
          <w:t xml:space="preserve"> </w:t>
        </w:r>
        <w:r>
          <w:rPr>
            <w:rStyle w:val="Hyperlink"/>
          </w:rPr>
          <w:t xml:space="preserve">Understanding</w:t>
        </w:r>
        <w:r>
          <w:rPr>
            <w:rStyle w:val="Hyperlink"/>
          </w:rPr>
          <w:t xml:space="preserve"> </w:t>
        </w:r>
        <w:r>
          <w:rPr>
            <w:rStyle w:val="Hyperlink"/>
          </w:rPr>
          <w:t xml:space="preserve">the</w:t>
        </w:r>
        <w:r>
          <w:rPr>
            <w:rStyle w:val="Hyperlink"/>
          </w:rPr>
          <w:t xml:space="preserve"> </w:t>
        </w:r>
        <w:r>
          <w:rPr>
            <w:rStyle w:val="Hyperlink"/>
          </w:rPr>
          <w:t xml:space="preserve">Gig Economy</w:t>
        </w:r>
      </w:hyperlink>
      <w:r>
        <w:t xml:space="preserve">.</w:t>
      </w:r>
      <w:r>
        <w:t xml:space="preserve"> </w:t>
      </w:r>
      <w:r>
        <w:rPr>
          <w:i/>
          <w:iCs/>
        </w:rPr>
        <w:t xml:space="preserve">Annual Review of Sociology</w:t>
      </w:r>
      <w:r>
        <w:t xml:space="preserve"> </w:t>
      </w:r>
      <w:r>
        <w:t xml:space="preserve">46(1): 273–294.</w:t>
      </w:r>
    </w:p>
    <w:bookmarkEnd w:id="176"/>
    <w:bookmarkStart w:id="178" w:name="ref-oorschot_who_2000"/>
    <w:p>
      <w:pPr>
        <w:pStyle w:val="Bibliography"/>
      </w:pPr>
      <w:r>
        <w:t xml:space="preserve">Van Oorschot W (2000)</w:t>
      </w:r>
      <w:r>
        <w:t xml:space="preserve"> </w:t>
      </w:r>
      <w:hyperlink r:id="rId177">
        <w:r>
          <w:rPr>
            <w:rStyle w:val="Hyperlink"/>
          </w:rPr>
          <w:t xml:space="preserve">Who should get what, and why?</w:t>
        </w:r>
        <w:r>
          <w:rPr>
            <w:rStyle w:val="Hyperlink"/>
          </w:rPr>
          <w:t xml:space="preserve"> </w:t>
        </w:r>
        <w:r>
          <w:rPr>
            <w:rStyle w:val="Hyperlink"/>
          </w:rPr>
          <w:t xml:space="preserve">On</w:t>
        </w:r>
        <w:r>
          <w:rPr>
            <w:rStyle w:val="Hyperlink"/>
          </w:rPr>
          <w:t xml:space="preserve"> </w:t>
        </w:r>
        <w:r>
          <w:rPr>
            <w:rStyle w:val="Hyperlink"/>
          </w:rPr>
          <w:t xml:space="preserve">deservingness criteria and the conditionality of solidarity among the public</w:t>
        </w:r>
      </w:hyperlink>
      <w:r>
        <w:t xml:space="preserve">.</w:t>
      </w:r>
      <w:r>
        <w:t xml:space="preserve"> </w:t>
      </w:r>
      <w:r>
        <w:rPr>
          <w:i/>
          <w:iCs/>
        </w:rPr>
        <w:t xml:space="preserve">Policy &amp; Politics</w:t>
      </w:r>
      <w:r>
        <w:t xml:space="preserve"> </w:t>
      </w:r>
      <w:r>
        <w:t xml:space="preserve">28(1): 33–48.</w:t>
      </w:r>
    </w:p>
    <w:bookmarkEnd w:id="178"/>
    <w:bookmarkStart w:id="180" w:name="ref-vanoorschot_making_2006"/>
    <w:p>
      <w:pPr>
        <w:pStyle w:val="Bibliography"/>
      </w:pPr>
      <w:r>
        <w:t xml:space="preserve">Van Oorschot W (2006)</w:t>
      </w:r>
      <w:r>
        <w:t xml:space="preserve"> </w:t>
      </w:r>
      <w:hyperlink r:id="rId179">
        <w:r>
          <w:rPr>
            <w:rStyle w:val="Hyperlink"/>
          </w:rPr>
          <w:t xml:space="preserve">Making the difference in social</w:t>
        </w:r>
        <w:r>
          <w:rPr>
            <w:rStyle w:val="Hyperlink"/>
          </w:rPr>
          <w:t xml:space="preserve"> </w:t>
        </w:r>
        <w:r>
          <w:rPr>
            <w:rStyle w:val="Hyperlink"/>
          </w:rPr>
          <w:t xml:space="preserve">Europe</w:t>
        </w:r>
        <w:r>
          <w:rPr>
            <w:rStyle w:val="Hyperlink"/>
          </w:rPr>
          <w:t xml:space="preserve">: Deservingness perceptions among citizens of</w:t>
        </w:r>
        <w:r>
          <w:rPr>
            <w:rStyle w:val="Hyperlink"/>
          </w:rPr>
          <w:t xml:space="preserve"> </w:t>
        </w:r>
        <w:r>
          <w:rPr>
            <w:rStyle w:val="Hyperlink"/>
          </w:rPr>
          <w:t xml:space="preserve">European</w:t>
        </w:r>
        <w:r>
          <w:rPr>
            <w:rStyle w:val="Hyperlink"/>
          </w:rPr>
          <w:t xml:space="preserve"> </w:t>
        </w:r>
        <w:r>
          <w:rPr>
            <w:rStyle w:val="Hyperlink"/>
          </w:rPr>
          <w:t xml:space="preserve">welfare states</w:t>
        </w:r>
      </w:hyperlink>
      <w:r>
        <w:t xml:space="preserve">.</w:t>
      </w:r>
      <w:r>
        <w:t xml:space="preserve"> </w:t>
      </w:r>
      <w:r>
        <w:rPr>
          <w:i/>
          <w:iCs/>
        </w:rPr>
        <w:t xml:space="preserve">Journal of European Social Policy</w:t>
      </w:r>
      <w:r>
        <w:t xml:space="preserve"> </w:t>
      </w:r>
      <w:r>
        <w:t xml:space="preserve">16(1): 23–42.</w:t>
      </w:r>
    </w:p>
    <w:bookmarkEnd w:id="180"/>
    <w:bookmarkStart w:id="182" w:name="ref-vanoorschot_social_2017"/>
    <w:p>
      <w:pPr>
        <w:pStyle w:val="Bibliography"/>
      </w:pPr>
      <w:r>
        <w:t xml:space="preserve">Van Oorschot W, Roosma F, Meuleman B, et al. (eds) (2017)</w:t>
      </w:r>
      <w:r>
        <w:t xml:space="preserve"> </w:t>
      </w:r>
      <w:hyperlink r:id="rId181">
        <w:r>
          <w:rPr>
            <w:rStyle w:val="Hyperlink"/>
            <w:i/>
            <w:iCs/>
          </w:rPr>
          <w:t xml:space="preserve">The</w:t>
        </w:r>
        <w:r>
          <w:rPr>
            <w:rStyle w:val="Hyperlink"/>
            <w:i/>
            <w:iCs/>
          </w:rPr>
          <w:t xml:space="preserve"> </w:t>
        </w:r>
        <w:r>
          <w:rPr>
            <w:rStyle w:val="Hyperlink"/>
            <w:i/>
            <w:iCs/>
          </w:rPr>
          <w:t xml:space="preserve">Social Legitimacy</w:t>
        </w:r>
        <w:r>
          <w:rPr>
            <w:rStyle w:val="Hyperlink"/>
            <w:i/>
            <w:iCs/>
          </w:rPr>
          <w:t xml:space="preserve"> </w:t>
        </w:r>
        <w:r>
          <w:rPr>
            <w:rStyle w:val="Hyperlink"/>
            <w:i/>
            <w:iCs/>
          </w:rPr>
          <w:t xml:space="preserve">of</w:t>
        </w:r>
        <w:r>
          <w:rPr>
            <w:rStyle w:val="Hyperlink"/>
            <w:i/>
            <w:iCs/>
          </w:rPr>
          <w:t xml:space="preserve"> </w:t>
        </w:r>
        <w:r>
          <w:rPr>
            <w:rStyle w:val="Hyperlink"/>
            <w:i/>
            <w:iCs/>
          </w:rPr>
          <w:t xml:space="preserve">Targeted Welfare</w:t>
        </w:r>
        <w:r>
          <w:rPr>
            <w:rStyle w:val="Hyperlink"/>
            <w:i/>
            <w:iCs/>
          </w:rPr>
          <w:t xml:space="preserve">:</w:t>
        </w:r>
        <w:r>
          <w:rPr>
            <w:rStyle w:val="Hyperlink"/>
            <w:i/>
            <w:iCs/>
          </w:rPr>
          <w:t xml:space="preserve"> </w:t>
        </w:r>
        <w:r>
          <w:rPr>
            <w:rStyle w:val="Hyperlink"/>
            <w:i/>
            <w:iCs/>
          </w:rPr>
          <w:t xml:space="preserve">Attitudes</w:t>
        </w:r>
        <w:r>
          <w:rPr>
            <w:rStyle w:val="Hyperlink"/>
            <w:i/>
            <w:iCs/>
          </w:rPr>
          <w:t xml:space="preserve"> </w:t>
        </w:r>
        <w:r>
          <w:rPr>
            <w:rStyle w:val="Hyperlink"/>
            <w:i/>
            <w:iCs/>
          </w:rPr>
          <w:t xml:space="preserve">to</w:t>
        </w:r>
        <w:r>
          <w:rPr>
            <w:rStyle w:val="Hyperlink"/>
            <w:i/>
            <w:iCs/>
          </w:rPr>
          <w:t xml:space="preserve"> </w:t>
        </w:r>
        <w:r>
          <w:rPr>
            <w:rStyle w:val="Hyperlink"/>
            <w:i/>
            <w:iCs/>
          </w:rPr>
          <w:t xml:space="preserve">Welfare Deservingness</w:t>
        </w:r>
      </w:hyperlink>
      <w:r>
        <w:t xml:space="preserve">. Edward Elgar Publishing.</w:t>
      </w:r>
    </w:p>
    <w:bookmarkEnd w:id="182"/>
    <w:bookmarkStart w:id="184" w:name="ref-wood_good_2019"/>
    <w:p>
      <w:pPr>
        <w:pStyle w:val="Bibliography"/>
      </w:pPr>
      <w:r>
        <w:t xml:space="preserve">Wood AJ, Graham M, Lehdonvirta V, et al. (2019)</w:t>
      </w:r>
      <w:r>
        <w:t xml:space="preserve"> </w:t>
      </w:r>
      <w:hyperlink r:id="rId183">
        <w:r>
          <w:rPr>
            <w:rStyle w:val="Hyperlink"/>
          </w:rPr>
          <w:t xml:space="preserve">Good</w:t>
        </w:r>
        <w:r>
          <w:rPr>
            <w:rStyle w:val="Hyperlink"/>
          </w:rPr>
          <w:t xml:space="preserve"> </w:t>
        </w:r>
        <w:r>
          <w:rPr>
            <w:rStyle w:val="Hyperlink"/>
          </w:rPr>
          <w:t xml:space="preserve">Gig</w:t>
        </w:r>
        <w:r>
          <w:rPr>
            <w:rStyle w:val="Hyperlink"/>
          </w:rPr>
          <w:t xml:space="preserve">,</w:t>
        </w:r>
        <w:r>
          <w:rPr>
            <w:rStyle w:val="Hyperlink"/>
          </w:rPr>
          <w:t xml:space="preserve"> </w:t>
        </w:r>
        <w:r>
          <w:rPr>
            <w:rStyle w:val="Hyperlink"/>
          </w:rPr>
          <w:t xml:space="preserve">Bad Gig</w:t>
        </w:r>
        <w:r>
          <w:rPr>
            <w:rStyle w:val="Hyperlink"/>
          </w:rPr>
          <w:t xml:space="preserve">:</w:t>
        </w:r>
        <w:r>
          <w:rPr>
            <w:rStyle w:val="Hyperlink"/>
          </w:rPr>
          <w:t xml:space="preserve"> </w:t>
        </w:r>
        <w:r>
          <w:rPr>
            <w:rStyle w:val="Hyperlink"/>
          </w:rPr>
          <w:t xml:space="preserve">Autonomy</w:t>
        </w:r>
        <w:r>
          <w:rPr>
            <w:rStyle w:val="Hyperlink"/>
          </w:rPr>
          <w:t xml:space="preserve"> </w:t>
        </w:r>
        <w:r>
          <w:rPr>
            <w:rStyle w:val="Hyperlink"/>
          </w:rPr>
          <w:t xml:space="preserve">and</w:t>
        </w:r>
        <w:r>
          <w:rPr>
            <w:rStyle w:val="Hyperlink"/>
          </w:rPr>
          <w:t xml:space="preserve"> </w:t>
        </w:r>
        <w:r>
          <w:rPr>
            <w:rStyle w:val="Hyperlink"/>
          </w:rPr>
          <w:t xml:space="preserve">Algorithmic Control</w:t>
        </w:r>
        <w:r>
          <w:rPr>
            <w:rStyle w:val="Hyperlink"/>
          </w:rPr>
          <w:t xml:space="preserve"> </w:t>
        </w:r>
        <w:r>
          <w:rPr>
            <w:rStyle w:val="Hyperlink"/>
          </w:rPr>
          <w:t xml:space="preserve">in the</w:t>
        </w:r>
        <w:r>
          <w:rPr>
            <w:rStyle w:val="Hyperlink"/>
          </w:rPr>
          <w:t xml:space="preserve"> </w:t>
        </w:r>
        <w:r>
          <w:rPr>
            <w:rStyle w:val="Hyperlink"/>
          </w:rPr>
          <w:t xml:space="preserve">Global Gig Economy</w:t>
        </w:r>
      </w:hyperlink>
      <w:r>
        <w:t xml:space="preserve">.</w:t>
      </w:r>
      <w:r>
        <w:t xml:space="preserve"> </w:t>
      </w:r>
      <w:r>
        <w:rPr>
          <w:i/>
          <w:iCs/>
        </w:rPr>
        <w:t xml:space="preserve">Work, Employment and Society</w:t>
      </w:r>
      <w:r>
        <w:t xml:space="preserve"> </w:t>
      </w:r>
      <w:r>
        <w:t xml:space="preserve">33(1): 56–75.</w:t>
      </w:r>
    </w:p>
    <w:bookmarkEnd w:id="184"/>
    <w:bookmarkEnd w:id="185"/>
    <w:bookmarkEnd w:id="186"/>
    <w:bookmarkStart w:id="191" w:name="appendix"/>
    <w:p>
      <w:pPr>
        <w:pStyle w:val="Heading1"/>
      </w:pPr>
      <w:r>
        <w:t xml:space="preserve">7. Appendix</w:t>
      </w:r>
    </w:p>
    <w:p>
      <w:pPr>
        <w:pStyle w:val="FirstParagraph"/>
      </w:pPr>
      <w:r>
        <w:t xml:space="preserve">﻿</w:t>
      </w:r>
    </w:p>
    <w:bookmarkStart w:id="188" w:name="X25c72f30ab6dd3dd665a6aecadeb6000c495dad"/>
    <w:p>
      <w:pPr>
        <w:pStyle w:val="Heading2"/>
      </w:pPr>
      <w:r>
        <w:t xml:space="preserve">7.1 Dimensions of Perceived technological change</w:t>
      </w:r>
    </w:p>
    <w:tbl>
      <w:tblPr>
        <w:tblStyle w:val="Table"/>
        <w:tblW w:type="pct" w:w="5000"/>
        <w:tblLayout w:type="fixed"/>
        <w:tblLook w:firstRow="0" w:lastRow="0" w:firstColumn="0" w:lastColumn="0" w:noHBand="0" w:noVBand="0" w:val="0000"/>
      </w:tblPr>
      <w:tblGrid>
        <w:gridCol w:w="7920"/>
      </w:tblGrid>
      <w:tr>
        <w:tc>
          <w:tcPr/>
          <w:bookmarkStart w:id="187" w:name="tbl-efa"/>
          <w:p>
            <w:pPr>
              <w:jc w:val="center"/>
            </w:pPr>
            <w:pPr>
              <w:jc w:val="left"/>
              <w:spacing w:before="200"/>
              <w:pStyle w:val="ImageCaption"/>
            </w:pPr>
            <w:r>
              <w:t xml:space="preserve">Table 4: Exploratory factor analysis of Perceived technological change items</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jc w:val="center"/>
                  </w:pPr>
                  <w:r>
                    <w:t xml:space="preserve"> </w:t>
                  </w:r>
                </w:p>
              </w:tc>
              <w:tc>
                <w:tcPr/>
                <w:p>
                  <w:pPr>
                    <w:pStyle w:val="Compact"/>
                    <w:jc w:val="center"/>
                  </w:pPr>
                  <w:r>
                    <w:t xml:space="preserve">Factor 1</w:t>
                  </w:r>
                </w:p>
              </w:tc>
              <w:tc>
                <w:tcPr/>
                <w:p>
                  <w:pPr>
                    <w:pStyle w:val="Compact"/>
                    <w:jc w:val="center"/>
                  </w:pPr>
                  <w:r>
                    <w:t xml:space="preserve">Factor 2</w:t>
                  </w:r>
                </w:p>
              </w:tc>
              <w:tc>
                <w:tcPr/>
                <w:p>
                  <w:pPr>
                    <w:pStyle w:val="Compact"/>
                    <w:jc w:val="center"/>
                  </w:pPr>
                  <w:r>
                    <w:t xml:space="preserve">Factor 3</w:t>
                  </w:r>
                </w:p>
              </w:tc>
            </w:tr>
            <w:tr>
              <w:tc>
                <w:tcPr/>
                <w:p>
                  <w:pPr>
                    <w:pStyle w:val="Compact"/>
                    <w:jc w:val="center"/>
                  </w:pPr>
                  <w:r>
                    <w:t xml:space="preserve">Replaced by robot</w:t>
                  </w:r>
                </w:p>
              </w:tc>
              <w:tc>
                <w:tcPr/>
                <w:p>
                  <w:pPr>
                    <w:pStyle w:val="Compact"/>
                    <w:jc w:val="center"/>
                    <w:jc w:val="center"/>
                  </w:pPr>
                  <w:r>
                    <w:t xml:space="preserve">0.76</w:t>
                  </w:r>
                </w:p>
              </w:tc>
              <w:tc>
                <w:tcPr/>
                <w:p>
                  <w:pPr>
                    <w:pStyle w:val="Compact"/>
                    <w:jc w:val="center"/>
                    <w:jc w:val="center"/>
                  </w:pPr>
                  <w:r>
                    <w:t xml:space="preserve">-0.03</w:t>
                  </w:r>
                </w:p>
              </w:tc>
              <w:tc>
                <w:tcPr/>
                <w:p>
                  <w:pPr>
                    <w:pStyle w:val="Compact"/>
                    <w:jc w:val="center"/>
                    <w:jc w:val="center"/>
                  </w:pPr>
                  <w:r>
                    <w:t xml:space="preserve">0.10</w:t>
                  </w:r>
                </w:p>
              </w:tc>
            </w:tr>
            <w:tr>
              <w:tc>
                <w:tcPr/>
                <w:p>
                  <w:pPr>
                    <w:pStyle w:val="Compact"/>
                    <w:jc w:val="center"/>
                  </w:pPr>
                  <w:r>
                    <w:t xml:space="preserve">Replaced by AI</w:t>
                  </w:r>
                </w:p>
              </w:tc>
              <w:tc>
                <w:tcPr/>
                <w:p>
                  <w:pPr>
                    <w:pStyle w:val="Compact"/>
                    <w:jc w:val="center"/>
                    <w:jc w:val="center"/>
                  </w:pPr>
                  <w:r>
                    <w:t xml:space="preserve">0.30</w:t>
                  </w:r>
                </w:p>
              </w:tc>
              <w:tc>
                <w:tcPr/>
                <w:p>
                  <w:pPr>
                    <w:pStyle w:val="Compact"/>
                    <w:jc w:val="center"/>
                    <w:jc w:val="center"/>
                  </w:pPr>
                  <w:r>
                    <w:t xml:space="preserve">0.02</w:t>
                  </w:r>
                </w:p>
              </w:tc>
              <w:tc>
                <w:tcPr/>
                <w:p>
                  <w:pPr>
                    <w:pStyle w:val="Compact"/>
                    <w:jc w:val="center"/>
                    <w:jc w:val="center"/>
                  </w:pPr>
                  <w:r>
                    <w:t xml:space="preserve">0.76</w:t>
                  </w:r>
                </w:p>
              </w:tc>
            </w:tr>
            <w:tr>
              <w:tc>
                <w:tcPr/>
                <w:p>
                  <w:pPr>
                    <w:pStyle w:val="Compact"/>
                    <w:jc w:val="center"/>
                  </w:pPr>
                  <w:r>
                    <w:t xml:space="preserve">Job replaced by person on</w:t>
                  </w:r>
                  <w:r>
                    <w:br/>
                  </w:r>
                  <w:r>
                    <w:t xml:space="preserve">internet platform</w:t>
                  </w:r>
                </w:p>
              </w:tc>
              <w:tc>
                <w:tcPr/>
                <w:p>
                  <w:pPr>
                    <w:pStyle w:val="Compact"/>
                    <w:jc w:val="center"/>
                    <w:jc w:val="center"/>
                  </w:pPr>
                  <w:r>
                    <w:t xml:space="preserve">0.77</w:t>
                  </w:r>
                </w:p>
              </w:tc>
              <w:tc>
                <w:tcPr/>
                <w:p>
                  <w:pPr>
                    <w:pStyle w:val="Compact"/>
                    <w:jc w:val="center"/>
                    <w:jc w:val="center"/>
                  </w:pPr>
                  <w:r>
                    <w:t xml:space="preserve">0.04</w:t>
                  </w:r>
                </w:p>
              </w:tc>
              <w:tc>
                <w:tcPr/>
                <w:p>
                  <w:pPr>
                    <w:pStyle w:val="Compact"/>
                    <w:jc w:val="center"/>
                    <w:jc w:val="center"/>
                  </w:pPr>
                  <w:r>
                    <w:t xml:space="preserve">0.00</w:t>
                  </w:r>
                </w:p>
              </w:tc>
            </w:tr>
            <w:tr>
              <w:tc>
                <w:tcPr/>
                <w:p>
                  <w:pPr>
                    <w:pStyle w:val="Compact"/>
                    <w:jc w:val="center"/>
                  </w:pPr>
                  <w:r>
                    <w:t xml:space="preserve">Lose job due to skills</w:t>
                  </w:r>
                </w:p>
              </w:tc>
              <w:tc>
                <w:tcPr/>
                <w:p>
                  <w:pPr>
                    <w:pStyle w:val="Compact"/>
                    <w:jc w:val="center"/>
                    <w:jc w:val="center"/>
                  </w:pPr>
                  <w:r>
                    <w:t xml:space="preserve">0.78</w:t>
                  </w:r>
                </w:p>
              </w:tc>
              <w:tc>
                <w:tcPr/>
                <w:p>
                  <w:pPr>
                    <w:pStyle w:val="Compact"/>
                    <w:jc w:val="center"/>
                    <w:jc w:val="center"/>
                  </w:pPr>
                  <w:r>
                    <w:t xml:space="preserve">-0.01</w:t>
                  </w:r>
                </w:p>
              </w:tc>
              <w:tc>
                <w:tcPr/>
                <w:p>
                  <w:pPr>
                    <w:pStyle w:val="Compact"/>
                    <w:jc w:val="center"/>
                    <w:jc w:val="center"/>
                  </w:pPr>
                  <w:r>
                    <w:t xml:space="preserve">-0.04</w:t>
                  </w:r>
                </w:p>
              </w:tc>
            </w:tr>
            <w:tr>
              <w:tc>
                <w:tcPr/>
                <w:p>
                  <w:pPr>
                    <w:pStyle w:val="Compact"/>
                    <w:jc w:val="center"/>
                  </w:pPr>
                  <w:r>
                    <w:t xml:space="preserve">Tech will improve work-life</w:t>
                  </w:r>
                  <w:r>
                    <w:br/>
                  </w:r>
                  <w:r>
                    <w:t xml:space="preserve">balance</w:t>
                  </w:r>
                </w:p>
              </w:tc>
              <w:tc>
                <w:tcPr/>
                <w:p>
                  <w:pPr>
                    <w:pStyle w:val="Compact"/>
                    <w:jc w:val="center"/>
                    <w:jc w:val="center"/>
                  </w:pPr>
                  <w:r>
                    <w:t xml:space="preserve">-0.08</w:t>
                  </w:r>
                </w:p>
              </w:tc>
              <w:tc>
                <w:tcPr/>
                <w:p>
                  <w:pPr>
                    <w:pStyle w:val="Compact"/>
                    <w:jc w:val="center"/>
                    <w:jc w:val="center"/>
                  </w:pPr>
                  <w:r>
                    <w:t xml:space="preserve">0.77</w:t>
                  </w:r>
                </w:p>
              </w:tc>
              <w:tc>
                <w:tcPr/>
                <w:p>
                  <w:pPr>
                    <w:pStyle w:val="Compact"/>
                    <w:jc w:val="center"/>
                    <w:jc w:val="center"/>
                  </w:pPr>
                  <w:r>
                    <w:t xml:space="preserve">0.04</w:t>
                  </w:r>
                </w:p>
              </w:tc>
            </w:tr>
            <w:tr>
              <w:tc>
                <w:tcPr/>
                <w:p>
                  <w:pPr>
                    <w:pStyle w:val="Compact"/>
                    <w:jc w:val="center"/>
                  </w:pPr>
                  <w:r>
                    <w:t xml:space="preserve">Tech will make work safer</w:t>
                  </w:r>
                </w:p>
              </w:tc>
              <w:tc>
                <w:tcPr/>
                <w:p>
                  <w:pPr>
                    <w:pStyle w:val="Compact"/>
                    <w:jc w:val="center"/>
                    <w:jc w:val="center"/>
                  </w:pPr>
                  <w:r>
                    <w:t xml:space="preserve">0.18</w:t>
                  </w:r>
                </w:p>
              </w:tc>
              <w:tc>
                <w:tcPr/>
                <w:p>
                  <w:pPr>
                    <w:pStyle w:val="Compact"/>
                    <w:jc w:val="center"/>
                    <w:jc w:val="center"/>
                  </w:pPr>
                  <w:r>
                    <w:t xml:space="preserve">0.61</w:t>
                  </w:r>
                </w:p>
              </w:tc>
              <w:tc>
                <w:tcPr/>
                <w:p>
                  <w:pPr>
                    <w:pStyle w:val="Compact"/>
                    <w:jc w:val="center"/>
                    <w:jc w:val="center"/>
                  </w:pPr>
                  <w:r>
                    <w:t xml:space="preserve">-0.04</w:t>
                  </w:r>
                </w:p>
              </w:tc>
            </w:tr>
            <w:tr>
              <w:tc>
                <w:tcPr/>
                <w:p>
                  <w:pPr>
                    <w:pStyle w:val="Compact"/>
                    <w:jc w:val="center"/>
                  </w:pPr>
                  <w:r>
                    <w:t xml:space="preserve">Tech will make work less</w:t>
                  </w:r>
                  <w:r>
                    <w:br/>
                  </w:r>
                  <w:r>
                    <w:t xml:space="preserve">boring/stressful/demanding</w:t>
                  </w:r>
                </w:p>
              </w:tc>
              <w:tc>
                <w:tcPr/>
                <w:p>
                  <w:pPr>
                    <w:pStyle w:val="Compact"/>
                    <w:jc w:val="center"/>
                    <w:jc w:val="center"/>
                  </w:pPr>
                  <w:r>
                    <w:t xml:space="preserve">-0.03</w:t>
                  </w:r>
                </w:p>
              </w:tc>
              <w:tc>
                <w:tcPr/>
                <w:p>
                  <w:pPr>
                    <w:pStyle w:val="Compact"/>
                    <w:jc w:val="center"/>
                    <w:jc w:val="center"/>
                  </w:pPr>
                  <w:r>
                    <w:t xml:space="preserve">0.78</w:t>
                  </w:r>
                </w:p>
              </w:tc>
              <w:tc>
                <w:tcPr/>
                <w:p>
                  <w:pPr>
                    <w:pStyle w:val="Compact"/>
                    <w:jc w:val="center"/>
                    <w:jc w:val="center"/>
                  </w:pPr>
                  <w:r>
                    <w:t xml:space="preserve">-0.00</w:t>
                  </w:r>
                </w:p>
              </w:tc>
            </w:tr>
            <w:tr>
              <w:tc>
                <w:tcPr/>
                <w:p>
                  <w:pPr>
                    <w:pStyle w:val="Compact"/>
                    <w:jc w:val="center"/>
                  </w:pPr>
                  <w:r>
                    <w:t xml:space="preserve">Cronbach's α</w:t>
                  </w:r>
                </w:p>
              </w:tc>
              <w:tc>
                <w:tcPr/>
                <w:p>
                  <w:pPr>
                    <w:pStyle w:val="Compact"/>
                    <w:jc w:val="center"/>
                    <w:jc w:val="center"/>
                  </w:pPr>
                  <w:r>
                    <w:t xml:space="preserve">0.83</w:t>
                  </w:r>
                </w:p>
              </w:tc>
              <w:tc>
                <w:tcPr/>
                <w:p>
                  <w:pPr>
                    <w:pStyle w:val="Compact"/>
                    <w:jc w:val="center"/>
                    <w:jc w:val="center"/>
                  </w:pPr>
                  <w:r>
                    <w:t xml:space="preserve">0.78</w:t>
                  </w:r>
                </w:p>
              </w:tc>
              <w:tc>
                <w:tcPr/>
                <w:p>
                  <w:pPr>
                    <w:pStyle w:val="Compact"/>
                  </w:pPr>
                </w:p>
              </w:tc>
            </w:tr>
          </w:tbl>
          <w:bookmarkEnd w:id="187"/>
          <w:p/>
        </w:tc>
      </w:tr>
    </w:tbl>
    <w:bookmarkEnd w:id="188"/>
    <w:bookmarkStart w:id="190" w:name="country-classification-and-n-samples"/>
    <w:p>
      <w:pPr>
        <w:pStyle w:val="Heading2"/>
      </w:pPr>
      <w:r>
        <w:t xml:space="preserve">7.2 Country classification and N samples</w:t>
      </w:r>
    </w:p>
    <w:tbl>
      <w:tblPr>
        <w:tblStyle w:val="Table"/>
        <w:tblW w:type="pct" w:w="5000"/>
        <w:tblLayout w:type="fixed"/>
        <w:tblLook w:firstRow="0" w:lastRow="0" w:firstColumn="0" w:lastColumn="0" w:noHBand="0" w:noVBand="0" w:val="0000"/>
      </w:tblPr>
      <w:tblGrid>
        <w:gridCol w:w="7920"/>
      </w:tblGrid>
      <w:tr>
        <w:tc>
          <w:tcPr/>
          <w:bookmarkStart w:id="189" w:name="tbl-classification"/>
          <w:p>
            <w:pPr>
              <w:jc w:val="center"/>
            </w:pPr>
            <w:pPr>
              <w:jc w:val="left"/>
              <w:spacing w:before="200"/>
              <w:pStyle w:val="ImageCaption"/>
            </w:pPr>
            <w:r>
              <w:t xml:space="preserve">Table 5: Welfare regime classification and sample sizes by country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4"/>
              <w:gridCol w:w="1928"/>
              <w:gridCol w:w="1247"/>
              <w:gridCol w:w="1247"/>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Welfare regime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Original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Final N</w:t>
                  </w:r>
                </w:p>
              </w:tc>
            </w:tr>
            <w:tr>
              <w:trPr>
                <w:trHeight w:val="360"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Liberal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Canada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794</w:t>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657</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Estonia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761</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Ireland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812</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Latvia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695</w:t>
                  </w:r>
                </w:p>
              </w:tc>
            </w:tr>
            <w:tr>
              <w:trPr>
                <w:trHeight w:val="36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Lithuania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748</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Mexico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645</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United Kingdom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760</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United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691</w:t>
                  </w:r>
                </w:p>
              </w:tc>
            </w:tr>
            <w:tr>
              <w:trPr>
                <w:trHeight w:val="360" w:hRule="auto"/>
              </w:trPr>
              body10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Denmark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711</w:t>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Finland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691</w:t>
                  </w:r>
                </w:p>
              </w:tc>
            </w:tr>
            <w:tr>
              <w:trPr>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Netherlands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780</w:t>
                  </w:r>
                </w:p>
              </w:tc>
            </w:tr>
            <w:tr>
              <w:trPr>
                <w:trHeight w:val="36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Norway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775</w:t>
                  </w:r>
                </w:p>
              </w:tc>
            </w:tr>
            <w:tr>
              <w:trPr>
                <w:trHeight w:val="360" w:hRule="auto"/>
              </w:trPr>
              body14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Austria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807</w:t>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Belgium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677</w:t>
                  </w:r>
                </w:p>
              </w:tc>
            </w:tr>
            <w:tr>
              <w:trPr>
                <w:trHeight w:val="360"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735</w:t>
                  </w:r>
                </w:p>
              </w:tc>
            </w:tr>
            <w:tr>
              <w:trPr>
                <w:trHeight w:val="360"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Germany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796</w:t>
                  </w:r>
                </w:p>
              </w:tc>
            </w:tr>
            <w:tr>
              <w:trPr>
                <w:trHeight w:val="360"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Greece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718</w:t>
                  </w:r>
                </w:p>
              </w:tc>
            </w:tr>
            <w:tr>
              <w:trPr>
                <w:trHeight w:val="360"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Israel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761</w:t>
                  </w:r>
                </w:p>
              </w:tc>
            </w:tr>
            <w:tr>
              <w:trPr>
                <w:trHeight w:val="360"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Italy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704</w:t>
                  </w:r>
                </w:p>
              </w:tc>
            </w:tr>
            <w:tr>
              <w:trPr>
                <w:trHeight w:val="360"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Korea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739</w:t>
                  </w:r>
                </w:p>
              </w:tc>
            </w:tr>
            <w:tr>
              <w:trPr>
                <w:trHeight w:val="360" w:hRule="auto"/>
              </w:trPr>
              body22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786</w:t>
                  </w:r>
                </w:p>
              </w:tc>
            </w:tr>
            <w:tr>
              <w:trPr>
                <w:trHeight w:val="360"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Portugal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686</w:t>
                  </w:r>
                </w:p>
              </w:tc>
            </w:tr>
            <w:tr>
              <w:trPr>
                <w:trHeight w:val="360"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Slovenia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749</w:t>
                  </w:r>
                </w:p>
              </w:tc>
            </w:tr>
            <w:tr>
              <w:trPr>
                <w:trHeight w:val="360"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685</w:t>
                  </w:r>
                </w:p>
              </w:tc>
            </w:tr>
            <w:tr>
              <w:trPr>
                <w:trHeight w:val="360"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Switzerland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736</w:t>
                  </w:r>
                </w:p>
              </w:tc>
            </w:tr>
            <w:tr>
              <w:trPr>
                <w:trHeight w:val="360" w:hRule="auto"/>
              </w:trPr>
              body27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Türkiye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570</w:t>
                  </w:r>
                </w:p>
              </w:tc>
            </w:tr>
            <w:tr>
              <w:trPr>
                <w:trHeight w:val="360" w:hRule="auto"/>
              </w:trPr>
              body28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Total</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27 countries</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27,229</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19,669</w:t>
                  </w:r>
                </w:p>
              </w:tc>
            </w:tr>
            <w:tr>
              <w:trPr>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Note: Original N refers to all respondents in the 2024 wave of the Risks That Matter survey; Final N to the analytical sample after listwise deletion of missing values. The classification follows Esping-Andersen (1990); southern Europe and central and eastern Europe are assigned following Ferrera (1996) and Fenger (2006), the Baltic states following Aidukaite (2011), and Chile and Mexico following Martínez Franzoni (2008).</w:t>
                  </w:r>
                </w:p>
              </w:tc>
            </w:tr>
          </w:tbl>
          <w:bookmarkEnd w:id="189"/>
        </w:tc>
      </w:tr>
    </w:tbl>
    <w:bookmarkEnd w:id="190"/>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As a robustness check, the models were re-estimated including this item as an additional predictor. Its coefficient was not significant and the remaining estimates were substantively unchanged.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hyperlink" Id="rId100" Target="https://doi.org/10.1016/j.jesp.2020.104019" TargetMode="External" /><Relationship Type="http://schemas.openxmlformats.org/officeDocument/2006/relationships/hyperlink" Id="rId45" Target="https://doi.org/10.1016/j.postcomstud.2011.07.005" TargetMode="External" /><Relationship Type="http://schemas.openxmlformats.org/officeDocument/2006/relationships/hyperlink" Id="rId94" Target="https://doi.org/10.1016/j.techfore.2016.08.019" TargetMode="External" /><Relationship Type="http://schemas.openxmlformats.org/officeDocument/2006/relationships/hyperlink" Id="rId71" Target="https://doi.org/10.1017/9781009366038" TargetMode="External" /><Relationship Type="http://schemas.openxmlformats.org/officeDocument/2006/relationships/hyperlink" Id="rId154" Target="https://doi.org/10.1017/CBO9780511598449" TargetMode="External" /><Relationship Type="http://schemas.openxmlformats.org/officeDocument/2006/relationships/hyperlink" Id="rId137" Target="https://doi.org/10.1017/CBO9781139225687" TargetMode="External" /><Relationship Type="http://schemas.openxmlformats.org/officeDocument/2006/relationships/hyperlink" Id="rId114" Target="https://doi.org/10.1017/S0003055400400079" TargetMode="External" /><Relationship Type="http://schemas.openxmlformats.org/officeDocument/2006/relationships/hyperlink" Id="rId63" Target="https://doi.org/10.1017/S0047279421000519" TargetMode="External" /><Relationship Type="http://schemas.openxmlformats.org/officeDocument/2006/relationships/hyperlink" Id="rId87" Target="https://doi.org/10.1017/S1474746422000513" TargetMode="External" /><Relationship Type="http://schemas.openxmlformats.org/officeDocument/2006/relationships/hyperlink" Id="rId167" Target="https://doi.org/10.1017/S175577391200015X" TargetMode="External" /><Relationship Type="http://schemas.openxmlformats.org/officeDocument/2006/relationships/hyperlink" Id="rId61" Target="https://doi.org/10.1017/jmo.2016.55" TargetMode="External" /><Relationship Type="http://schemas.openxmlformats.org/officeDocument/2006/relationships/hyperlink" Id="rId169" Target="https://doi.org/10.1037/1076-8998.7.3.242" TargetMode="External" /><Relationship Type="http://schemas.openxmlformats.org/officeDocument/2006/relationships/hyperlink" Id="rId67" Target="https://doi.org/10.1080/02134748.2021.2009275" TargetMode="External" /><Relationship Type="http://schemas.openxmlformats.org/officeDocument/2006/relationships/hyperlink" Id="rId148" Target="https://doi.org/10.1080/13501763.2012.752064" TargetMode="External" /><Relationship Type="http://schemas.openxmlformats.org/officeDocument/2006/relationships/hyperlink" Id="rId156" Target="https://doi.org/10.1093/acprof:oso/9780199216352.001.0001" TargetMode="External" /><Relationship Type="http://schemas.openxmlformats.org/officeDocument/2006/relationships/hyperlink" Id="rId98" Target="https://doi.org/10.1093/acprof:oso/9780199664719.001.0001" TargetMode="External" /><Relationship Type="http://schemas.openxmlformats.org/officeDocument/2006/relationships/hyperlink" Id="rId59" Target="https://doi.org/10.1093/esr/19.5.415" TargetMode="External" /><Relationship Type="http://schemas.openxmlformats.org/officeDocument/2006/relationships/hyperlink" Id="rId116" Target="https://doi.org/10.1093/esr/jci049" TargetMode="External" /><Relationship Type="http://schemas.openxmlformats.org/officeDocument/2006/relationships/hyperlink" Id="rId152" Target="https://doi.org/10.1093/ijpor/edv020" TargetMode="External" /><Relationship Type="http://schemas.openxmlformats.org/officeDocument/2006/relationships/hyperlink" Id="rId165" Target="https://doi.org/10.1093/oxfordjournals.esr.a018219" TargetMode="External" /><Relationship Type="http://schemas.openxmlformats.org/officeDocument/2006/relationships/hyperlink" Id="rId77" Target="https://doi.org/10.1093/oxrep/grj022" TargetMode="External" /><Relationship Type="http://schemas.openxmlformats.org/officeDocument/2006/relationships/hyperlink" Id="rId119" Target="https://doi.org/10.1093/ser/mwm006" TargetMode="External" /><Relationship Type="http://schemas.openxmlformats.org/officeDocument/2006/relationships/hyperlink" Id="rId158" Target="https://doi.org/10.1093/ser/mwu030" TargetMode="External" /><Relationship Type="http://schemas.openxmlformats.org/officeDocument/2006/relationships/hyperlink" Id="rId81" Target="https://doi.org/10.1093/ser/mwx005" TargetMode="External" /><Relationship Type="http://schemas.openxmlformats.org/officeDocument/2006/relationships/hyperlink" Id="rId139" Target="https://doi.org/10.1093/ser/mwy051" TargetMode="External" /><Relationship Type="http://schemas.openxmlformats.org/officeDocument/2006/relationships/hyperlink" Id="rId102" Target="https://doi.org/10.1111/bjso.12326" TargetMode="External" /><Relationship Type="http://schemas.openxmlformats.org/officeDocument/2006/relationships/hyperlink" Id="rId104" Target="https://doi.org/10.1111/ecpo.12103" TargetMode="External" /><Relationship Type="http://schemas.openxmlformats.org/officeDocument/2006/relationships/hyperlink" Id="rId106" Target="https://doi.org/10.1111/ilr.12376" TargetMode="External" /><Relationship Type="http://schemas.openxmlformats.org/officeDocument/2006/relationships/hyperlink" Id="rId57" Target="https://doi.org/10.1111/issr.12212" TargetMode="External" /><Relationship Type="http://schemas.openxmlformats.org/officeDocument/2006/relationships/hyperlink" Id="rId92" Target="https://doi.org/10.1111/j.1467-9477.2008.00211.x" TargetMode="External" /><Relationship Type="http://schemas.openxmlformats.org/officeDocument/2006/relationships/hyperlink" Id="rId55" Target="https://doi.org/10.1111/j.1467-9515.2007.00536.x" TargetMode="External" /><Relationship Type="http://schemas.openxmlformats.org/officeDocument/2006/relationships/hyperlink" Id="rId47" Target="https://doi.org/10.1111/j.1475-6765.2007.00692.x" TargetMode="External" /><Relationship Type="http://schemas.openxmlformats.org/officeDocument/2006/relationships/hyperlink" Id="rId146" Target="https://doi.org/10.1111/j.1540-5907.2011.00545.x" TargetMode="External" /><Relationship Type="http://schemas.openxmlformats.org/officeDocument/2006/relationships/hyperlink" Id="rId132" Target="https://doi.org/10.1111/j.1548-2456.2008.00013.x" TargetMode="External" /><Relationship Type="http://schemas.openxmlformats.org/officeDocument/2006/relationships/hyperlink" Id="rId96" Target="https://doi.org/10.1146/annurev-polisci-051120-104535" TargetMode="External" /><Relationship Type="http://schemas.openxmlformats.org/officeDocument/2006/relationships/hyperlink" Id="rId130" Target="https://doi.org/10.1146/annurev-soc-121919-054609" TargetMode="External" /><Relationship Type="http://schemas.openxmlformats.org/officeDocument/2006/relationships/hyperlink" Id="rId175" Target="https://doi.org/10.1146/annurev-soc-121919-054857" TargetMode="External" /><Relationship Type="http://schemas.openxmlformats.org/officeDocument/2006/relationships/hyperlink" Id="rId141" Target="https://doi.org/10.1177/000312240607100305" TargetMode="External" /><Relationship Type="http://schemas.openxmlformats.org/officeDocument/2006/relationships/hyperlink" Id="rId126" Target="https://doi.org/10.1177/0010414006295234" TargetMode="External" /><Relationship Type="http://schemas.openxmlformats.org/officeDocument/2006/relationships/hyperlink" Id="rId150" Target="https://doi.org/10.1177/0010414008330595" TargetMode="External" /><Relationship Type="http://schemas.openxmlformats.org/officeDocument/2006/relationships/hyperlink" Id="rId171" Target="https://doi.org/10.1177/0010414017740600" TargetMode="External" /><Relationship Type="http://schemas.openxmlformats.org/officeDocument/2006/relationships/hyperlink" Id="rId123" Target="https://doi.org/10.1177/0010414020912283" TargetMode="External" /><Relationship Type="http://schemas.openxmlformats.org/officeDocument/2006/relationships/hyperlink" Id="rId144" Target="https://doi.org/10.1177/08969205261417585" TargetMode="External" /><Relationship Type="http://schemas.openxmlformats.org/officeDocument/2006/relationships/hyperlink" Id="rId183" Target="https://doi.org/10.1177/0950017018785616" TargetMode="External" /><Relationship Type="http://schemas.openxmlformats.org/officeDocument/2006/relationships/hyperlink" Id="rId108" Target="https://doi.org/10.1177/09500170241301015" TargetMode="External" /><Relationship Type="http://schemas.openxmlformats.org/officeDocument/2006/relationships/hyperlink" Id="rId51" Target="https://doi.org/10.1177/0952872002012002114" TargetMode="External" /><Relationship Type="http://schemas.openxmlformats.org/officeDocument/2006/relationships/hyperlink" Id="rId179" Target="https://doi.org/10.1177/0958928706059829" TargetMode="External" /><Relationship Type="http://schemas.openxmlformats.org/officeDocument/2006/relationships/hyperlink" Id="rId74" Target="https://doi.org/10.1177/0958928711412224" TargetMode="External" /><Relationship Type="http://schemas.openxmlformats.org/officeDocument/2006/relationships/hyperlink" Id="rId161" Target="https://doi.org/10.1177/0958928713480064" TargetMode="External" /><Relationship Type="http://schemas.openxmlformats.org/officeDocument/2006/relationships/hyperlink" Id="rId134" Target="https://doi.org/10.1177/0958928714538217" TargetMode="External" /><Relationship Type="http://schemas.openxmlformats.org/officeDocument/2006/relationships/hyperlink" Id="rId90" Target="https://doi.org/10.1177/095892879600600102" TargetMode="External" /><Relationship Type="http://schemas.openxmlformats.org/officeDocument/2006/relationships/hyperlink" Id="rId112" Target="https://doi.org/10.1177/2053168018822395" TargetMode="External" /><Relationship Type="http://schemas.openxmlformats.org/officeDocument/2006/relationships/hyperlink" Id="rId53" Target="https://doi.org/10.1257/jep.29.3.3" TargetMode="External" /><Relationship Type="http://schemas.openxmlformats.org/officeDocument/2006/relationships/hyperlink" Id="rId177" Target="https://doi.org/10.1332/0305573002500811" TargetMode="External" /><Relationship Type="http://schemas.openxmlformats.org/officeDocument/2006/relationships/hyperlink" Id="rId173" Target="https://doi.org/10.1787/5eebe551-en" TargetMode="External" /><Relationship Type="http://schemas.openxmlformats.org/officeDocument/2006/relationships/hyperlink" Id="rId49" Target="https://doi.org/10.1787/5jlz9h56dvq7-en" TargetMode="External" /><Relationship Type="http://schemas.openxmlformats.org/officeDocument/2006/relationships/hyperlink" Id="rId65" Target="https://doi.org/10.18235/0002566" TargetMode="External" /><Relationship Type="http://schemas.openxmlformats.org/officeDocument/2006/relationships/hyperlink" Id="rId121" Target="https://doi.org/10.2307/2657333" TargetMode="External" /><Relationship Type="http://schemas.openxmlformats.org/officeDocument/2006/relationships/hyperlink" Id="rId128" Target="https://doi.org/10.32614/CRAN.package.emmeans" TargetMode="External" /><Relationship Type="http://schemas.openxmlformats.org/officeDocument/2006/relationships/hyperlink" Id="rId69" Target="https://doi.org/10.3389/fsoc.2025.1634219" TargetMode="External" /><Relationship Type="http://schemas.openxmlformats.org/officeDocument/2006/relationships/hyperlink" Id="rId79" Target="https://doi.org/10.4102/sajip.v31i4.200" TargetMode="External" /><Relationship Type="http://schemas.openxmlformats.org/officeDocument/2006/relationships/hyperlink" Id="rId110" Target="https://doi.org/10.4324/9781315650982" TargetMode="External" /><Relationship Type="http://schemas.openxmlformats.org/officeDocument/2006/relationships/hyperlink" Id="rId181" Target="https://doi.org/10.4337/9781785367212" TargetMode="External" /><Relationship Type="http://schemas.openxmlformats.org/officeDocument/2006/relationships/hyperlink" Id="rId83" Target="https://doi.org/10.5167/UZH-65793" TargetMode="External" /><Relationship Type="http://schemas.openxmlformats.org/officeDocument/2006/relationships/hyperlink" Id="rId27" Target="https://osf.io/bw26x/overview?view_only=13afa066aea3483f8e970a6a65c1f07a"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16/j.jesp.2020.104019" TargetMode="External" /><Relationship Type="http://schemas.openxmlformats.org/officeDocument/2006/relationships/hyperlink" Id="rId45" Target="https://doi.org/10.1016/j.postcomstud.2011.07.005" TargetMode="External" /><Relationship Type="http://schemas.openxmlformats.org/officeDocument/2006/relationships/hyperlink" Id="rId94" Target="https://doi.org/10.1016/j.techfore.2016.08.019" TargetMode="External" /><Relationship Type="http://schemas.openxmlformats.org/officeDocument/2006/relationships/hyperlink" Id="rId71" Target="https://doi.org/10.1017/9781009366038" TargetMode="External" /><Relationship Type="http://schemas.openxmlformats.org/officeDocument/2006/relationships/hyperlink" Id="rId154" Target="https://doi.org/10.1017/CBO9780511598449" TargetMode="External" /><Relationship Type="http://schemas.openxmlformats.org/officeDocument/2006/relationships/hyperlink" Id="rId137" Target="https://doi.org/10.1017/CBO9781139225687" TargetMode="External" /><Relationship Type="http://schemas.openxmlformats.org/officeDocument/2006/relationships/hyperlink" Id="rId114" Target="https://doi.org/10.1017/S0003055400400079" TargetMode="External" /><Relationship Type="http://schemas.openxmlformats.org/officeDocument/2006/relationships/hyperlink" Id="rId63" Target="https://doi.org/10.1017/S0047279421000519" TargetMode="External" /><Relationship Type="http://schemas.openxmlformats.org/officeDocument/2006/relationships/hyperlink" Id="rId87" Target="https://doi.org/10.1017/S1474746422000513" TargetMode="External" /><Relationship Type="http://schemas.openxmlformats.org/officeDocument/2006/relationships/hyperlink" Id="rId167" Target="https://doi.org/10.1017/S175577391200015X" TargetMode="External" /><Relationship Type="http://schemas.openxmlformats.org/officeDocument/2006/relationships/hyperlink" Id="rId61" Target="https://doi.org/10.1017/jmo.2016.55" TargetMode="External" /><Relationship Type="http://schemas.openxmlformats.org/officeDocument/2006/relationships/hyperlink" Id="rId169" Target="https://doi.org/10.1037/1076-8998.7.3.242" TargetMode="External" /><Relationship Type="http://schemas.openxmlformats.org/officeDocument/2006/relationships/hyperlink" Id="rId67" Target="https://doi.org/10.1080/02134748.2021.2009275" TargetMode="External" /><Relationship Type="http://schemas.openxmlformats.org/officeDocument/2006/relationships/hyperlink" Id="rId148" Target="https://doi.org/10.1080/13501763.2012.752064" TargetMode="External" /><Relationship Type="http://schemas.openxmlformats.org/officeDocument/2006/relationships/hyperlink" Id="rId156" Target="https://doi.org/10.1093/acprof:oso/9780199216352.001.0001" TargetMode="External" /><Relationship Type="http://schemas.openxmlformats.org/officeDocument/2006/relationships/hyperlink" Id="rId98" Target="https://doi.org/10.1093/acprof:oso/9780199664719.001.0001" TargetMode="External" /><Relationship Type="http://schemas.openxmlformats.org/officeDocument/2006/relationships/hyperlink" Id="rId59" Target="https://doi.org/10.1093/esr/19.5.415" TargetMode="External" /><Relationship Type="http://schemas.openxmlformats.org/officeDocument/2006/relationships/hyperlink" Id="rId116" Target="https://doi.org/10.1093/esr/jci049" TargetMode="External" /><Relationship Type="http://schemas.openxmlformats.org/officeDocument/2006/relationships/hyperlink" Id="rId152" Target="https://doi.org/10.1093/ijpor/edv020" TargetMode="External" /><Relationship Type="http://schemas.openxmlformats.org/officeDocument/2006/relationships/hyperlink" Id="rId165" Target="https://doi.org/10.1093/oxfordjournals.esr.a018219" TargetMode="External" /><Relationship Type="http://schemas.openxmlformats.org/officeDocument/2006/relationships/hyperlink" Id="rId77" Target="https://doi.org/10.1093/oxrep/grj022" TargetMode="External" /><Relationship Type="http://schemas.openxmlformats.org/officeDocument/2006/relationships/hyperlink" Id="rId119" Target="https://doi.org/10.1093/ser/mwm006" TargetMode="External" /><Relationship Type="http://schemas.openxmlformats.org/officeDocument/2006/relationships/hyperlink" Id="rId158" Target="https://doi.org/10.1093/ser/mwu030" TargetMode="External" /><Relationship Type="http://schemas.openxmlformats.org/officeDocument/2006/relationships/hyperlink" Id="rId81" Target="https://doi.org/10.1093/ser/mwx005" TargetMode="External" /><Relationship Type="http://schemas.openxmlformats.org/officeDocument/2006/relationships/hyperlink" Id="rId139" Target="https://doi.org/10.1093/ser/mwy051" TargetMode="External" /><Relationship Type="http://schemas.openxmlformats.org/officeDocument/2006/relationships/hyperlink" Id="rId102" Target="https://doi.org/10.1111/bjso.12326" TargetMode="External" /><Relationship Type="http://schemas.openxmlformats.org/officeDocument/2006/relationships/hyperlink" Id="rId104" Target="https://doi.org/10.1111/ecpo.12103" TargetMode="External" /><Relationship Type="http://schemas.openxmlformats.org/officeDocument/2006/relationships/hyperlink" Id="rId106" Target="https://doi.org/10.1111/ilr.12376" TargetMode="External" /><Relationship Type="http://schemas.openxmlformats.org/officeDocument/2006/relationships/hyperlink" Id="rId57" Target="https://doi.org/10.1111/issr.12212" TargetMode="External" /><Relationship Type="http://schemas.openxmlformats.org/officeDocument/2006/relationships/hyperlink" Id="rId92" Target="https://doi.org/10.1111/j.1467-9477.2008.00211.x" TargetMode="External" /><Relationship Type="http://schemas.openxmlformats.org/officeDocument/2006/relationships/hyperlink" Id="rId55" Target="https://doi.org/10.1111/j.1467-9515.2007.00536.x" TargetMode="External" /><Relationship Type="http://schemas.openxmlformats.org/officeDocument/2006/relationships/hyperlink" Id="rId47" Target="https://doi.org/10.1111/j.1475-6765.2007.00692.x" TargetMode="External" /><Relationship Type="http://schemas.openxmlformats.org/officeDocument/2006/relationships/hyperlink" Id="rId146" Target="https://doi.org/10.1111/j.1540-5907.2011.00545.x" TargetMode="External" /><Relationship Type="http://schemas.openxmlformats.org/officeDocument/2006/relationships/hyperlink" Id="rId132" Target="https://doi.org/10.1111/j.1548-2456.2008.00013.x" TargetMode="External" /><Relationship Type="http://schemas.openxmlformats.org/officeDocument/2006/relationships/hyperlink" Id="rId96" Target="https://doi.org/10.1146/annurev-polisci-051120-104535" TargetMode="External" /><Relationship Type="http://schemas.openxmlformats.org/officeDocument/2006/relationships/hyperlink" Id="rId130" Target="https://doi.org/10.1146/annurev-soc-121919-054609" TargetMode="External" /><Relationship Type="http://schemas.openxmlformats.org/officeDocument/2006/relationships/hyperlink" Id="rId175" Target="https://doi.org/10.1146/annurev-soc-121919-054857" TargetMode="External" /><Relationship Type="http://schemas.openxmlformats.org/officeDocument/2006/relationships/hyperlink" Id="rId141" Target="https://doi.org/10.1177/000312240607100305" TargetMode="External" /><Relationship Type="http://schemas.openxmlformats.org/officeDocument/2006/relationships/hyperlink" Id="rId126" Target="https://doi.org/10.1177/0010414006295234" TargetMode="External" /><Relationship Type="http://schemas.openxmlformats.org/officeDocument/2006/relationships/hyperlink" Id="rId150" Target="https://doi.org/10.1177/0010414008330595" TargetMode="External" /><Relationship Type="http://schemas.openxmlformats.org/officeDocument/2006/relationships/hyperlink" Id="rId171" Target="https://doi.org/10.1177/0010414017740600" TargetMode="External" /><Relationship Type="http://schemas.openxmlformats.org/officeDocument/2006/relationships/hyperlink" Id="rId123" Target="https://doi.org/10.1177/0010414020912283" TargetMode="External" /><Relationship Type="http://schemas.openxmlformats.org/officeDocument/2006/relationships/hyperlink" Id="rId144" Target="https://doi.org/10.1177/08969205261417585" TargetMode="External" /><Relationship Type="http://schemas.openxmlformats.org/officeDocument/2006/relationships/hyperlink" Id="rId183" Target="https://doi.org/10.1177/0950017018785616" TargetMode="External" /><Relationship Type="http://schemas.openxmlformats.org/officeDocument/2006/relationships/hyperlink" Id="rId108" Target="https://doi.org/10.1177/09500170241301015" TargetMode="External" /><Relationship Type="http://schemas.openxmlformats.org/officeDocument/2006/relationships/hyperlink" Id="rId51" Target="https://doi.org/10.1177/0952872002012002114" TargetMode="External" /><Relationship Type="http://schemas.openxmlformats.org/officeDocument/2006/relationships/hyperlink" Id="rId179" Target="https://doi.org/10.1177/0958928706059829" TargetMode="External" /><Relationship Type="http://schemas.openxmlformats.org/officeDocument/2006/relationships/hyperlink" Id="rId74" Target="https://doi.org/10.1177/0958928711412224" TargetMode="External" /><Relationship Type="http://schemas.openxmlformats.org/officeDocument/2006/relationships/hyperlink" Id="rId161" Target="https://doi.org/10.1177/0958928713480064" TargetMode="External" /><Relationship Type="http://schemas.openxmlformats.org/officeDocument/2006/relationships/hyperlink" Id="rId134" Target="https://doi.org/10.1177/0958928714538217" TargetMode="External" /><Relationship Type="http://schemas.openxmlformats.org/officeDocument/2006/relationships/hyperlink" Id="rId90" Target="https://doi.org/10.1177/095892879600600102" TargetMode="External" /><Relationship Type="http://schemas.openxmlformats.org/officeDocument/2006/relationships/hyperlink" Id="rId112" Target="https://doi.org/10.1177/2053168018822395" TargetMode="External" /><Relationship Type="http://schemas.openxmlformats.org/officeDocument/2006/relationships/hyperlink" Id="rId53" Target="https://doi.org/10.1257/jep.29.3.3" TargetMode="External" /><Relationship Type="http://schemas.openxmlformats.org/officeDocument/2006/relationships/hyperlink" Id="rId177" Target="https://doi.org/10.1332/0305573002500811" TargetMode="External" /><Relationship Type="http://schemas.openxmlformats.org/officeDocument/2006/relationships/hyperlink" Id="rId173" Target="https://doi.org/10.1787/5eebe551-en" TargetMode="External" /><Relationship Type="http://schemas.openxmlformats.org/officeDocument/2006/relationships/hyperlink" Id="rId49" Target="https://doi.org/10.1787/5jlz9h56dvq7-en" TargetMode="External" /><Relationship Type="http://schemas.openxmlformats.org/officeDocument/2006/relationships/hyperlink" Id="rId65" Target="https://doi.org/10.18235/0002566" TargetMode="External" /><Relationship Type="http://schemas.openxmlformats.org/officeDocument/2006/relationships/hyperlink" Id="rId121" Target="https://doi.org/10.2307/2657333" TargetMode="External" /><Relationship Type="http://schemas.openxmlformats.org/officeDocument/2006/relationships/hyperlink" Id="rId128" Target="https://doi.org/10.32614/CRAN.package.emmeans" TargetMode="External" /><Relationship Type="http://schemas.openxmlformats.org/officeDocument/2006/relationships/hyperlink" Id="rId69" Target="https://doi.org/10.3389/fsoc.2025.1634219" TargetMode="External" /><Relationship Type="http://schemas.openxmlformats.org/officeDocument/2006/relationships/hyperlink" Id="rId79" Target="https://doi.org/10.4102/sajip.v31i4.200" TargetMode="External" /><Relationship Type="http://schemas.openxmlformats.org/officeDocument/2006/relationships/hyperlink" Id="rId110" Target="https://doi.org/10.4324/9781315650982" TargetMode="External" /><Relationship Type="http://schemas.openxmlformats.org/officeDocument/2006/relationships/hyperlink" Id="rId181" Target="https://doi.org/10.4337/9781785367212" TargetMode="External" /><Relationship Type="http://schemas.openxmlformats.org/officeDocument/2006/relationships/hyperlink" Id="rId83" Target="https://doi.org/10.5167/UZH-65793" TargetMode="External" /><Relationship Type="http://schemas.openxmlformats.org/officeDocument/2006/relationships/hyperlink" Id="rId27" Target="https://osf.io/bw26x/overview?view_only=13afa066aea3483f8e970a6a65c1f07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Redistributive Justice, Job Insecurity, and Perceived Technological Risk: How Labor Market Position Shapes the Legitimacy of the Welfare State in 27 OECD Countries</dc:title>
  <dc:creator>Author</dc:creator>
  <cp:keywords/>
  <dcterms:created xsi:type="dcterms:W3CDTF">2026-08-15T21:37:16Z</dcterms:created>
  <dcterms:modified xsi:type="dcterms:W3CDTF">2026-08-15T21:37:16Z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Digital platforms and automation are loosening the link between employment and social protection, yet we know little about whether workers still judge their exchange with the welfare state to be just. This article examines perceived redistributive justice, understood as the sense of receiving a fair share of public benefits given the taxes and contributions one pays. Drawing on the 2024 OECD Risks That Matter survey (19,669 workers in 27 countries), it asks whether this perception depends on type of employment, job insecurity, perceptions of technological change and judgements about the deservingness of other beneficiaries, and whether welfare regimes condition these relationships. Preregistered hypotheses are tested with multilevel ordinal regression models. Job insecurity and the belief that others receive undeserved benefits lower perceived justice, while seeing technology as an improvement to working conditions raises it. Two results run against expectations. Platform workers report higher perceived justice than formal employees, and so do workers who anticipate technological displacement. Across countries, perceived justice is higher in richer economies and lower in conservative regimes than in liberal ones. The platform and displacement associations are steepest under liberal arrangements and nearly flat under social-democratic ones. These findings suggest that welfare institutions shape how strongly labour-market position translates into judgements of justice, and they speak to the EU agenda on extending social protection to non-standard and platform workers.   Keywords: Redistributive justice, Labor market position, Welfare regimes, platform work, technological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input/bib/redistributive-work.bib</vt:lpwstr>
  </property>
  <property fmtid="{D5CDD505-2E9C-101B-9397-08002B2CF9AE}" pid="7" name="by-affiliation">
    <vt:lpwstr/>
  </property>
  <property fmtid="{D5CDD505-2E9C-101B-9397-08002B2CF9AE}" pid="8" name="by-author">
    <vt:lpwstr/>
  </property>
  <property fmtid="{D5CDD505-2E9C-101B-9397-08002B2CF9AE}" pid="9" name="colorlinks">
    <vt:lpwstr>True</vt:lpwstr>
  </property>
  <property fmtid="{D5CDD505-2E9C-101B-9397-08002B2CF9AE}" pid="10" name="csl">
    <vt:lpwstr>input/bib/sage-harvard.csl</vt:lpwstr>
  </property>
  <property fmtid="{D5CDD505-2E9C-101B-9397-08002B2CF9AE}" pid="11" name="editor">
    <vt:lpwstr>source</vt:lpwstr>
  </property>
  <property fmtid="{D5CDD505-2E9C-101B-9397-08002B2CF9AE}" pid="12" name="engines">
    <vt:lpwstr/>
  </property>
  <property fmtid="{D5CDD505-2E9C-101B-9397-08002B2CF9AE}" pid="13" name="fontsize">
    <vt:lpwstr>12pt</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estretch">
    <vt:lpwstr>1.15</vt:lpwstr>
  </property>
  <property fmtid="{D5CDD505-2E9C-101B-9397-08002B2CF9AE}" pid="19" name="link-citations">
    <vt:lpwstr>True</vt:lpwstr>
  </property>
  <property fmtid="{D5CDD505-2E9C-101B-9397-08002B2CF9AE}" pid="20" name="mainfont">
    <vt:lpwstr>Times New Roman</vt:lpwstr>
  </property>
  <property fmtid="{D5CDD505-2E9C-101B-9397-08002B2CF9AE}" pid="21" name="toc-title">
    <vt:lpwstr>Table of contents</vt:lpwstr>
  </property>
</Properties>
</file>