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MAGERIT v3: Metodología de Análisis y Gestión de Riesgos de los Sistemas de Información</w:t>
      </w:r>
    </w:p>
    <w:p>
      <w:pPr>
        <w:pStyle w:val="Heading2"/>
        <w:pStyle w:val="MdHeading2"/>
      </w:pPr>
      <w:r>
        <w:t xml:space="preserve">Introducción</w:t>
      </w:r>
    </w:p>
    <w:p>
      <w:pPr>
        <w:pStyle w:val="MdParagraph"/>
      </w:pPr>
      <w:r>
        <w:t xml:space="preserve">El presente documento de investigación tiene como objetivo proporcionar una visión completa y estructurada de la metodología </w:t>
      </w:r>
      <w:r>
        <w:rPr>
          <w:rStyle w:val="MdStrong"/>
          <w:b/>
          <w:bCs/>
        </w:rPr>
        <w:t xml:space="preserve">MAGERIT (Metodología de Análisis y Gestión de Riesgos de los Sistemas de Información)</w:t>
      </w:r>
      <w:r>
        <w:t xml:space="preserve"> en su versión 3.0. Esta metodología, desarrollada por el Consejo Superior de Administración Electrónica (CSAE) del Gobierno de España, se ha consolidado como un marco de referencia esencial para la gestión de la seguridad de la información, especialmente en el ámbito de las Administraciones Públicas y en empresas con Sistemas de Información (SI) críticos [1].</w:t>
      </w:r>
    </w:p>
    <w:p>
      <w:pPr>
        <w:pStyle w:val="MdSpace"/>
        <w:spacing w:before="0" w:after="60"/>
      </w:pPr>
    </w:p>
    <w:p>
      <w:pPr>
        <w:pStyle w:val="MdParagraph"/>
      </w:pPr>
      <w:r>
        <w:t xml:space="preserve">La información se presenta siguiendo los puntos clave solicitados para la elaboración de una presentación.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Definición de MAGERIT</w:t>
      </w:r>
    </w:p>
    <w:p>
      <w:pPr>
        <w:pStyle w:val="MdParagraph"/>
      </w:pPr>
      <w:r>
        <w:t xml:space="preserve">MAGERIT es un </w:t>
      </w:r>
      <w:r>
        <w:rPr>
          <w:rStyle w:val="MdStrong"/>
          <w:b/>
          <w:bCs/>
        </w:rPr>
        <w:t xml:space="preserve">método formal y sistemático</w:t>
      </w:r>
      <w:r>
        <w:t xml:space="preserve"> diseñado para investigar los riesgos a los que están expuestos los Sistemas de Información y para recomendar las medidas de seguridad (salvaguardas) más adecuadas para gestionarlos [1].</w:t>
      </w:r>
    </w:p>
    <w:p>
      <w:pPr>
        <w:pStyle w:val="MdSpace"/>
        <w:spacing w:before="0" w:after="60"/>
      </w:pPr>
    </w:p>
    <w:p>
      <w:pPr>
        <w:pStyle w:val="MdParagraph"/>
      </w:pPr>
      <w:r>
        <w:t xml:space="preserve">Su propósito fundamental es ayudar a las organizaciones a tomar decisiones informadas sobre la seguridad de sus SI, alineando la gestión de riesgos con los objetivos de negocio. La metodología se enmarca dentro del </w:t>
      </w:r>
      <w:r>
        <w:rPr>
          <w:rStyle w:val="MdStrong"/>
          <w:b/>
          <w:bCs/>
        </w:rPr>
        <w:t xml:space="preserve">Esquema Nacional de Seguridad (ENS)</w:t>
      </w:r>
      <w:r>
        <w:t xml:space="preserve"> en España, siendo un pilar para el cumplimiento de sus requisitos.</w:t>
      </w:r>
    </w:p>
    <w:p>
      <w:pPr>
        <w:pStyle w:val="MdSpace"/>
        <w:spacing w:before="0" w:after="60"/>
      </w:pPr>
    </w:p>
    <w:p>
      <w:pPr>
        <w:pStyle w:val="MdBlockquote"/>
      </w:pPr>
      <w:r>
        <w:t xml:space="preserve">"MAGERIT es un método formal para investigar los riesgos que soportan los Sistemas de Información y para recomendar las medidas apropiadas que deben adoptarse para mantener dichos riesgos bajo control." [1]</w:t>
      </w:r>
    </w:p>
    <w:p>
      <w:pPr>
        <w:pStyle w:val="MdSpace"/>
        <w:spacing w:before="0" w:after="60"/>
      </w:pPr>
    </w:p>
    <w:p>
      <w:pPr>
        <w:pStyle w:val="MdParagraph"/>
      </w:pPr>
      <w:r>
        <w:t xml:space="preserve">La metodología se estructura en tres libros principales:</w:t>
      </w:r>
    </w:p>
    <w:p>
      <w:pPr>
        <w:pStyle w:val="MdListItem"/>
        <w:numPr>
          <w:ilvl w:val="0"/>
          <w:numId w:val="2"/>
        </w:numPr>
      </w:pPr>
      <w:r>
        <w:rPr>
          <w:rStyle w:val="MdStrong"/>
          <w:b/>
          <w:bCs/>
        </w:rPr>
        <w:t xml:space="preserve">Libro I – Método:</w:t>
      </w:r>
      <w:r>
        <w:t xml:space="preserve"> Detalla el proceso de análisis y gestión de riesgos.</w:t>
      </w:r>
    </w:p>
    <w:p>
      <w:pPr>
        <w:pStyle w:val="MdListItem"/>
        <w:numPr>
          <w:ilvl w:val="0"/>
          <w:numId w:val="2"/>
        </w:numPr>
      </w:pPr>
      <w:r>
        <w:rPr>
          <w:rStyle w:val="MdStrong"/>
          <w:b/>
          <w:bCs/>
        </w:rPr>
        <w:t xml:space="preserve">Libro II – Catálogo de Elementos:</w:t>
      </w:r>
      <w:r>
        <w:t xml:space="preserve"> Proporciona listas de activos, amenazas y salvaguardas típicas.</w:t>
      </w:r>
    </w:p>
    <w:p>
      <w:pPr>
        <w:pStyle w:val="MdListItem"/>
        <w:numPr>
          <w:ilvl w:val="0"/>
          <w:numId w:val="2"/>
        </w:numPr>
      </w:pPr>
      <w:r>
        <w:rPr>
          <w:rStyle w:val="MdStrong"/>
          <w:b/>
          <w:bCs/>
        </w:rPr>
        <w:t xml:space="preserve">Libro III – Guía de Técnicas:</w:t>
      </w:r>
      <w:r>
        <w:t xml:space="preserve"> Describe las técnicas específicas para llevar a cabo el análisis.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Objetivos de MAGERIT</w:t>
      </w:r>
    </w:p>
    <w:p>
      <w:pPr>
        <w:pStyle w:val="MdParagraph"/>
      </w:pPr>
      <w:r>
        <w:t xml:space="preserve">Los objetivos de MAGERIT se dividen en directos e indirectos, todos orientados a establecer una cultura de gestión de riesgos en la organización.</w:t>
      </w:r>
    </w:p>
    <w:p>
      <w:pPr>
        <w:pStyle w:val="MdSpace"/>
        <w:spacing w:before="0" w:after="60"/>
      </w:pPr>
    </w:p>
    <w:p>
      <w:pPr>
        <w:pStyle w:val="Heading3"/>
        <w:pStyle w:val="MdHeading3"/>
      </w:pPr>
      <w:r>
        <w:t xml:space="preserve">Objetivos Principales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Tipo de Objetivo</w:t>
            </w:r>
          </w:p>
        </w:tc>
        <w:tc>
          <w:tcPr>
            <w:tcBorders>
              <w:right w:val="none"/>
            </w:tcBorders>
            <w:tcMar>
              <w:top w:type="dxa" w:w="100"/>
              <w:left w:type="dxa" w:w="120"/>
              <w:bottom w:type="dxa" w:w="100"/>
              <w:right w:type="dxa" w:w="120"/>
            </w:tcMar>
            <w:vAlign w:val="center"/>
          </w:tcPr>
          <w:p>
            <w:pPr>
              <w:pStyle w:val="MdTableHeader"/>
              <w:jc w:val="left"/>
            </w:pPr>
            <w:r>
              <w:t xml:space="preserve">Descripción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Concienciación</w:t>
            </w:r>
          </w:p>
        </w:tc>
        <w:tc>
          <w:tcPr>
            <w:tcBorders>
              <w:right w:val="none"/>
            </w:tcBorders>
            <w:tcMar>
              <w:top w:type="dxa" w:w="80"/>
              <w:left w:type="dxa" w:w="120"/>
              <w:bottom w:type="dxa" w:w="80"/>
              <w:right w:type="dxa" w:w="120"/>
            </w:tcMar>
            <w:vAlign w:val="center"/>
          </w:tcPr>
          <w:p>
            <w:pPr>
              <w:pStyle w:val="MdTableCell"/>
              <w:jc w:val="left"/>
            </w:pPr>
            <w:r>
              <w:rPr>
                <w:rStyle w:val="MdStrong"/>
                <w:b/>
                <w:bCs/>
              </w:rPr>
              <w:t xml:space="preserve">Concienciar</w:t>
            </w:r>
            <w:r>
              <w:t xml:space="preserve"> a los responsables de la organización sobre la existencia de riesgos en sus SI y la necesidad imperante de gestionarlos de forma proactiva.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Sistemático</w:t>
            </w:r>
          </w:p>
        </w:tc>
        <w:tc>
          <w:tcPr>
            <w:tcBorders>
              <w:right w:val="none"/>
            </w:tcBorders>
            <w:tcMar>
              <w:top w:type="dxa" w:w="80"/>
              <w:left w:type="dxa" w:w="120"/>
              <w:bottom w:type="dxa" w:w="80"/>
              <w:right w:type="dxa" w:w="120"/>
            </w:tcMar>
            <w:vAlign w:val="center"/>
          </w:tcPr>
          <w:p>
            <w:pPr>
              <w:pStyle w:val="MdTableCell"/>
              <w:jc w:val="left"/>
            </w:pPr>
            <w:r>
              <w:t xml:space="preserve">Ofrecer un </w:t>
            </w:r>
            <w:r>
              <w:rPr>
                <w:rStyle w:val="MdStrong"/>
                <w:b/>
                <w:bCs/>
              </w:rPr>
              <w:t xml:space="preserve">método sistemático</w:t>
            </w:r>
            <w:r>
              <w:t xml:space="preserve"> y repetible para analizar los riesgos derivados del uso de las Tecnologías de la Información y Comunicaciones (TIC).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Tratamiento</w:t>
            </w:r>
          </w:p>
        </w:tc>
        <w:tc>
          <w:tcPr>
            <w:tcBorders>
              <w:right w:val="none"/>
            </w:tcBorders>
            <w:tcMar>
              <w:top w:type="dxa" w:w="80"/>
              <w:left w:type="dxa" w:w="120"/>
              <w:bottom w:type="dxa" w:w="80"/>
              <w:right w:type="dxa" w:w="120"/>
            </w:tcMar>
            <w:vAlign w:val="center"/>
          </w:tcPr>
          <w:p>
            <w:pPr>
              <w:pStyle w:val="MdTableCell"/>
              <w:jc w:val="left"/>
            </w:pPr>
            <w:r>
              <w:t xml:space="preserve">Ayudar a </w:t>
            </w:r>
            <w:r>
              <w:rPr>
                <w:rStyle w:val="MdStrong"/>
                <w:b/>
                <w:bCs/>
              </w:rPr>
              <w:t xml:space="preserve">descubrir y planificar el tratamiento</w:t>
            </w:r>
            <w:r>
              <w:t xml:space="preserve"> oportuno de los riesgos, asegurando que estos se mantengan bajo un nivel de control aceptable.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rPr>
                <w:rStyle w:val="MdStrong"/>
                <w:b/>
                <w:bCs/>
              </w:rPr>
              <w:t xml:space="preserve">Preparación</w:t>
            </w:r>
          </w:p>
        </w:tc>
        <w:tc>
          <w:tcPr>
            <w:tcBorders>
              <w:bottom w:val="single" w:color="E1E4E8" w:sz="4"/>
              <w:right w:val="none"/>
            </w:tcBorders>
            <w:tcMar>
              <w:top w:type="dxa" w:w="80"/>
              <w:left w:type="dxa" w:w="120"/>
              <w:bottom w:type="dxa" w:w="80"/>
              <w:right w:type="dxa" w:w="120"/>
            </w:tcMar>
            <w:vAlign w:val="center"/>
          </w:tcPr>
          <w:p>
            <w:pPr>
              <w:pStyle w:val="MdTableCell"/>
              <w:jc w:val="left"/>
            </w:pPr>
            <w:r>
              <w:rPr>
                <w:rStyle w:val="MdStrong"/>
                <w:b/>
                <w:bCs/>
              </w:rPr>
              <w:t xml:space="preserve">Preparar a la organización</w:t>
            </w:r>
            <w:r>
              <w:t xml:space="preserve"> para procesos de evaluación, auditoría, certificación o acreditación, como el cumplimiento del Esquema Nacional de Seguridad (ENS) [2].</w:t>
            </w:r>
          </w:p>
        </w:tc>
      </w:tr>
    </w:tbl>
    <w:p>
      <w:pPr>
        <w:pStyle w:val="Heading3"/>
        <w:pStyle w:val="MdHeading3"/>
      </w:pPr>
      <w:r>
        <w:t xml:space="preserve">Empresas y Sectores de Aplicación</w:t>
      </w:r>
    </w:p>
    <w:p>
      <w:pPr>
        <w:pStyle w:val="MdParagraph"/>
      </w:pPr>
      <w:r>
        <w:t xml:space="preserve">MAGERIT es de </w:t>
      </w:r>
      <w:r>
        <w:rPr>
          <w:rStyle w:val="MdStrong"/>
          <w:b/>
          <w:bCs/>
        </w:rPr>
        <w:t xml:space="preserve">aplicación obligatoria</w:t>
      </w:r>
      <w:r>
        <w:t xml:space="preserve"> para todas las </w:t>
      </w:r>
      <w:r>
        <w:rPr>
          <w:rStyle w:val="MdStrong"/>
          <w:b/>
          <w:bCs/>
        </w:rPr>
        <w:t xml:space="preserve">Administraciones Públicas españolas</w:t>
      </w:r>
      <w:r>
        <w:t xml:space="preserve"> en cumplimiento del ENS (Real Decreto 311/2022) [3].</w:t>
      </w:r>
    </w:p>
    <w:p>
      <w:pPr>
        <w:pStyle w:val="MdSpace"/>
        <w:spacing w:before="0" w:after="60"/>
      </w:pPr>
    </w:p>
    <w:p>
      <w:pPr>
        <w:pStyle w:val="MdParagraph"/>
      </w:pPr>
      <w:r>
        <w:t xml:space="preserve">No obstante, es una metodología de referencia altamente recomendada para cualquier tipo de organización, pública o privada, que maneje información sensible o crítica y que busque:</w:t>
      </w:r>
    </w:p>
    <w:p>
      <w:pPr>
        <w:pStyle w:val="MdListItem"/>
        <w:numPr>
          <w:ilvl w:val="0"/>
          <w:numId w:val="3"/>
        </w:numPr>
      </w:pPr>
      <w:r>
        <w:t xml:space="preserve">Cumplir con normativas de seguridad (como ISO 27001, ya que MAGERIT se alinea con sus principios).</w:t>
      </w:r>
    </w:p>
    <w:p>
      <w:pPr>
        <w:pStyle w:val="MdListItem"/>
        <w:numPr>
          <w:ilvl w:val="0"/>
          <w:numId w:val="3"/>
        </w:numPr>
      </w:pPr>
      <w:r>
        <w:t xml:space="preserve">Proteger sus activos de información.</w:t>
      </w:r>
    </w:p>
    <w:p>
      <w:pPr>
        <w:pStyle w:val="MdListItem"/>
        <w:numPr>
          <w:ilvl w:val="0"/>
          <w:numId w:val="3"/>
        </w:numPr>
      </w:pPr>
      <w:r>
        <w:t xml:space="preserve">Establecer un marco de gestión de riesgos sólido y reconocido.</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Fases del Análisis de Riesgos</w:t>
      </w:r>
    </w:p>
    <w:p>
      <w:pPr>
        <w:pStyle w:val="MdParagraph"/>
      </w:pPr>
      <w:r>
        <w:t xml:space="preserve">El proceso de análisis de riesgos propuesto por MAGERIT (Libro I - Método) se desarrolla en una secuencia lógica de pasos que van desde la identificación de los elementos hasta la estimación del riesgo residual.</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Fase</w:t>
            </w:r>
          </w:p>
        </w:tc>
        <w:tc>
          <w:tcPr>
            <w:tcMar>
              <w:top w:type="dxa" w:w="100"/>
              <w:left w:type="dxa" w:w="120"/>
              <w:bottom w:type="dxa" w:w="100"/>
              <w:right w:type="dxa" w:w="120"/>
            </w:tcMar>
            <w:vAlign w:val="center"/>
          </w:tcPr>
          <w:p>
            <w:pPr>
              <w:pStyle w:val="MdTableHeader"/>
              <w:jc w:val="left"/>
            </w:pPr>
            <w:r>
              <w:t xml:space="preserve">Tarea Principal</w:t>
            </w:r>
          </w:p>
        </w:tc>
        <w:tc>
          <w:tcPr>
            <w:tcBorders>
              <w:right w:val="none"/>
            </w:tcBorders>
            <w:tcMar>
              <w:top w:type="dxa" w:w="100"/>
              <w:left w:type="dxa" w:w="120"/>
              <w:bottom w:type="dxa" w:w="100"/>
              <w:right w:type="dxa" w:w="120"/>
            </w:tcMar>
            <w:vAlign w:val="center"/>
          </w:tcPr>
          <w:p>
            <w:pPr>
              <w:pStyle w:val="MdTableHeader"/>
              <w:jc w:val="left"/>
            </w:pPr>
            <w:r>
              <w:t xml:space="preserve">Descripción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1</w:t>
            </w:r>
          </w:p>
        </w:tc>
        <w:tc>
          <w:tcPr>
            <w:tcMar>
              <w:top w:type="dxa" w:w="80"/>
              <w:left w:type="dxa" w:w="120"/>
              <w:bottom w:type="dxa" w:w="80"/>
              <w:right w:type="dxa" w:w="120"/>
            </w:tcMar>
            <w:vAlign w:val="center"/>
          </w:tcPr>
          <w:p>
            <w:pPr>
              <w:pStyle w:val="MdTableCell"/>
              <w:jc w:val="left"/>
            </w:pPr>
            <w:r>
              <w:rPr>
                <w:rStyle w:val="MdStrong"/>
                <w:b/>
                <w:bCs/>
              </w:rPr>
              <w:t xml:space="preserve">Determinación y Valoración de Activos</w:t>
            </w:r>
          </w:p>
        </w:tc>
        <w:tc>
          <w:tcPr>
            <w:tcBorders>
              <w:right w:val="none"/>
            </w:tcBorders>
            <w:tcMar>
              <w:top w:type="dxa" w:w="80"/>
              <w:left w:type="dxa" w:w="120"/>
              <w:bottom w:type="dxa" w:w="80"/>
              <w:right w:type="dxa" w:w="120"/>
            </w:tcMar>
            <w:vAlign w:val="center"/>
          </w:tcPr>
          <w:p>
            <w:pPr>
              <w:pStyle w:val="MdTableCell"/>
              <w:jc w:val="left"/>
            </w:pPr>
            <w:r>
              <w:t xml:space="preserve">Se identifican todos los activos del SI (información, hardware, software, servicios, personal, etc.) y se les asigna un valor en función de las dimensiones de seguridad: </w:t>
            </w:r>
            <w:r>
              <w:rPr>
                <w:rStyle w:val="MdStrong"/>
                <w:b/>
                <w:bCs/>
              </w:rPr>
              <w:t xml:space="preserve">Confidencialidad, Integridad, Disponibilidad, Autenticidad y Trazabilidad</w:t>
            </w:r>
            <w:r>
              <w:t xml:space="preserve"> [4].</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2</w:t>
            </w:r>
          </w:p>
        </w:tc>
        <w:tc>
          <w:tcPr>
            <w:tcMar>
              <w:top w:type="dxa" w:w="80"/>
              <w:left w:type="dxa" w:w="120"/>
              <w:bottom w:type="dxa" w:w="80"/>
              <w:right w:type="dxa" w:w="120"/>
            </w:tcMar>
            <w:vAlign w:val="center"/>
          </w:tcPr>
          <w:p>
            <w:pPr>
              <w:pStyle w:val="MdTableCell"/>
              <w:jc w:val="left"/>
            </w:pPr>
            <w:r>
              <w:rPr>
                <w:rStyle w:val="MdStrong"/>
                <w:b/>
                <w:bCs/>
              </w:rPr>
              <w:t xml:space="preserve">Identificación de Amenazas</w:t>
            </w:r>
          </w:p>
        </w:tc>
        <w:tc>
          <w:tcPr>
            <w:tcBorders>
              <w:right w:val="none"/>
            </w:tcBorders>
            <w:tcMar>
              <w:top w:type="dxa" w:w="80"/>
              <w:left w:type="dxa" w:w="120"/>
              <w:bottom w:type="dxa" w:w="80"/>
              <w:right w:type="dxa" w:w="120"/>
            </w:tcMar>
            <w:vAlign w:val="center"/>
          </w:tcPr>
          <w:p>
            <w:pPr>
              <w:pStyle w:val="MdTableCell"/>
              <w:jc w:val="left"/>
            </w:pPr>
            <w:r>
              <w:t xml:space="preserve">Se determinan las amenazas a las que están expuestos los activos (ej. fallos técnicos, desastres naturales, ataques intencionados). Se valora la </w:t>
            </w:r>
            <w:r>
              <w:rPr>
                <w:rStyle w:val="MdStrong"/>
                <w:b/>
                <w:bCs/>
              </w:rPr>
              <w:t xml:space="preserve">degradación</w:t>
            </w:r>
            <w:r>
              <w:t xml:space="preserve"> que causarían y su </w:t>
            </w:r>
            <w:r>
              <w:rPr>
                <w:rStyle w:val="MdStrong"/>
                <w:b/>
                <w:bCs/>
              </w:rPr>
              <w:t xml:space="preserve">probabilidad de ocurrencia</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3</w:t>
            </w:r>
          </w:p>
        </w:tc>
        <w:tc>
          <w:tcPr>
            <w:tcMar>
              <w:top w:type="dxa" w:w="80"/>
              <w:left w:type="dxa" w:w="120"/>
              <w:bottom w:type="dxa" w:w="80"/>
              <w:right w:type="dxa" w:w="120"/>
            </w:tcMar>
            <w:vAlign w:val="center"/>
          </w:tcPr>
          <w:p>
            <w:pPr>
              <w:pStyle w:val="MdTableCell"/>
              <w:jc w:val="left"/>
            </w:pPr>
            <w:r>
              <w:rPr>
                <w:rStyle w:val="MdStrong"/>
                <w:b/>
                <w:bCs/>
              </w:rPr>
              <w:t xml:space="preserve">Identificación de Salvaguardas</w:t>
            </w:r>
          </w:p>
        </w:tc>
        <w:tc>
          <w:tcPr>
            <w:tcBorders>
              <w:right w:val="none"/>
            </w:tcBorders>
            <w:tcMar>
              <w:top w:type="dxa" w:w="80"/>
              <w:left w:type="dxa" w:w="120"/>
              <w:bottom w:type="dxa" w:w="80"/>
              <w:right w:type="dxa" w:w="120"/>
            </w:tcMar>
            <w:vAlign w:val="center"/>
          </w:tcPr>
          <w:p>
            <w:pPr>
              <w:pStyle w:val="MdTableCell"/>
              <w:jc w:val="left"/>
            </w:pPr>
            <w:r>
              <w:t xml:space="preserve">Se identifican las medidas de protección (salvaguardas) existentes o a implementar. Se evalúa su </w:t>
            </w:r>
            <w:r>
              <w:rPr>
                <w:rStyle w:val="MdStrong"/>
                <w:b/>
                <w:bCs/>
              </w:rPr>
              <w:t xml:space="preserve">eficacia</w:t>
            </w:r>
            <w:r>
              <w:t xml:space="preserve"> para reducir la probabilidad de las amenazas o mitigar el daño.</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4</w:t>
            </w:r>
          </w:p>
        </w:tc>
        <w:tc>
          <w:tcPr>
            <w:tcMar>
              <w:top w:type="dxa" w:w="80"/>
              <w:left w:type="dxa" w:w="120"/>
              <w:bottom w:type="dxa" w:w="80"/>
              <w:right w:type="dxa" w:w="120"/>
            </w:tcMar>
            <w:vAlign w:val="center"/>
          </w:tcPr>
          <w:p>
            <w:pPr>
              <w:pStyle w:val="MdTableCell"/>
              <w:jc w:val="left"/>
            </w:pPr>
            <w:r>
              <w:rPr>
                <w:rStyle w:val="MdStrong"/>
                <w:b/>
                <w:bCs/>
              </w:rPr>
              <w:t xml:space="preserve">Estimación del Impacto Residual</w:t>
            </w:r>
          </w:p>
        </w:tc>
        <w:tc>
          <w:tcPr>
            <w:tcBorders>
              <w:right w:val="none"/>
            </w:tcBorders>
            <w:tcMar>
              <w:top w:type="dxa" w:w="80"/>
              <w:left w:type="dxa" w:w="120"/>
              <w:bottom w:type="dxa" w:w="80"/>
              <w:right w:type="dxa" w:w="120"/>
            </w:tcMar>
            <w:vAlign w:val="center"/>
          </w:tcPr>
          <w:p>
            <w:pPr>
              <w:pStyle w:val="MdTableCell"/>
              <w:jc w:val="left"/>
            </w:pPr>
            <w:r>
              <w:t xml:space="preserve">Se calcula el daño potencial sobre un activo si una amenaza se materializa, una vez aplicadas las salvaguardas. Se pasa de un </w:t>
            </w:r>
            <w:r>
              <w:rPr>
                <w:rStyle w:val="MdStrong"/>
                <w:b/>
                <w:bCs/>
              </w:rPr>
              <w:t xml:space="preserve">Impacto Potencial</w:t>
            </w:r>
            <w:r>
              <w:t xml:space="preserve"> a un </w:t>
            </w:r>
            <w:r>
              <w:rPr>
                <w:rStyle w:val="MdStrong"/>
                <w:b/>
                <w:bCs/>
              </w:rPr>
              <w:t xml:space="preserve">Impacto Residual</w:t>
            </w: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rPr>
                <w:rStyle w:val="MdStrong"/>
                <w:b/>
                <w:bCs/>
              </w:rPr>
              <w:t xml:space="preserve">Paso 5</w:t>
            </w:r>
          </w:p>
        </w:tc>
        <w:tc>
          <w:tcPr>
            <w:tcBorders>
              <w:bottom w:val="single" w:color="E1E4E8" w:sz="4"/>
            </w:tcBorders>
            <w:tcMar>
              <w:top w:type="dxa" w:w="80"/>
              <w:left w:type="dxa" w:w="120"/>
              <w:bottom w:type="dxa" w:w="80"/>
              <w:right w:type="dxa" w:w="120"/>
            </w:tcMar>
            <w:vAlign w:val="center"/>
          </w:tcPr>
          <w:p>
            <w:pPr>
              <w:pStyle w:val="MdTableCell"/>
              <w:jc w:val="left"/>
            </w:pPr>
            <w:r>
              <w:rPr>
                <w:rStyle w:val="MdStrong"/>
                <w:b/>
                <w:bCs/>
              </w:rPr>
              <w:t xml:space="preserve">Estimación del Riesgo Residual</w:t>
            </w:r>
          </w:p>
        </w:tc>
        <w:tc>
          <w:tcPr>
            <w:tcBorders>
              <w:bottom w:val="single" w:color="E1E4E8" w:sz="4"/>
              <w:right w:val="none"/>
            </w:tcBorders>
            <w:tcMar>
              <w:top w:type="dxa" w:w="80"/>
              <w:left w:type="dxa" w:w="120"/>
              <w:bottom w:type="dxa" w:w="80"/>
              <w:right w:type="dxa" w:w="120"/>
            </w:tcMar>
            <w:vAlign w:val="center"/>
          </w:tcPr>
          <w:p>
            <w:pPr>
              <w:pStyle w:val="MdTableCell"/>
              <w:jc w:val="left"/>
            </w:pPr>
            <w:r>
              <w:t xml:space="preserve">Se calcula el riesgo final, que es el impacto residual ponderado por la probabilidad residual de la amenaza. El objetivo es que este </w:t>
            </w:r>
            <w:r>
              <w:rPr>
                <w:rStyle w:val="MdStrong"/>
                <w:b/>
                <w:bCs/>
              </w:rPr>
              <w:t xml:space="preserve">Riesgo Residual</w:t>
            </w:r>
            <w:r>
              <w:t xml:space="preserve"> sea aceptable para la organización.</w:t>
            </w:r>
          </w:p>
        </w:tc>
      </w:tr>
    </w:tbl>
    <w:p>
      <w:pPr>
        <w:pStyle w:val="MdHr"/>
        <w:pBdr>
          <w:bottom w:val="single" w:color="auto" w:sz="6" w:space="1"/>
        </w:pBdr>
      </w:pPr>
    </w:p>
    <w:p>
      <w:pPr>
        <w:pStyle w:val="MdSpace"/>
        <w:spacing w:before="0" w:after="60"/>
      </w:pPr>
    </w:p>
    <w:p>
      <w:pPr>
        <w:pStyle w:val="Heading2"/>
        <w:pStyle w:val="MdHeading2"/>
      </w:pPr>
      <w:r>
        <w:t xml:space="preserve">4. Aplicación Práctica: Mejora de la Seguridad Informática</w:t>
      </w:r>
    </w:p>
    <w:p>
      <w:pPr>
        <w:pStyle w:val="MdParagraph"/>
      </w:pPr>
      <w:r>
        <w:t xml:space="preserve">La aplicación práctica de MAGERIT se traduce en la implementación de </w:t>
      </w:r>
      <w:r>
        <w:rPr>
          <w:rStyle w:val="MdStrong"/>
          <w:b/>
          <w:bCs/>
        </w:rPr>
        <w:t xml:space="preserve">salvaguardas</w:t>
      </w:r>
      <w:r>
        <w:t xml:space="preserve"> que transforman un riesgo potencial inaceptable en un riesgo residual controlado.</w:t>
      </w:r>
    </w:p>
    <w:p>
      <w:pPr>
        <w:pStyle w:val="MdSpace"/>
        <w:spacing w:before="0" w:after="60"/>
      </w:pPr>
    </w:p>
    <w:p>
      <w:pPr>
        <w:pStyle w:val="Heading3"/>
        <w:pStyle w:val="MdHeading3"/>
      </w:pPr>
      <w:r>
        <w:t xml:space="preserve">Ejemplo de Caso Práctico: Protección de la Base de Datos de Clientes</w:t>
      </w:r>
    </w:p>
    <w:p>
      <w:pPr>
        <w:pStyle w:val="MdParagraph"/>
      </w:pPr>
      <w:r>
        <w:t xml:space="preserve">Consideremos una empresa de comercio electrónico cuyo activo más crítico es la Base de Datos de Clientes (BDC).</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Fase de MAGERIT</w:t>
            </w:r>
          </w:p>
        </w:tc>
        <w:tc>
          <w:tcPr>
            <w:tcMar>
              <w:top w:type="dxa" w:w="100"/>
              <w:left w:type="dxa" w:w="120"/>
              <w:bottom w:type="dxa" w:w="100"/>
              <w:right w:type="dxa" w:w="120"/>
            </w:tcMar>
            <w:vAlign w:val="center"/>
          </w:tcPr>
          <w:p>
            <w:pPr>
              <w:pStyle w:val="MdTableHeader"/>
              <w:jc w:val="left"/>
            </w:pPr>
            <w:r>
              <w:t xml:space="preserve">Ejemplo de Activo/Riesgo</w:t>
            </w:r>
          </w:p>
        </w:tc>
        <w:tc>
          <w:tcPr>
            <w:tcBorders>
              <w:right w:val="none"/>
            </w:tcBorders>
            <w:tcMar>
              <w:top w:type="dxa" w:w="100"/>
              <w:left w:type="dxa" w:w="120"/>
              <w:bottom w:type="dxa" w:w="100"/>
              <w:right w:type="dxa" w:w="120"/>
            </w:tcMar>
            <w:vAlign w:val="center"/>
          </w:tcPr>
          <w:p>
            <w:pPr>
              <w:pStyle w:val="MdTableHeader"/>
              <w:jc w:val="left"/>
            </w:pPr>
            <w:r>
              <w:t xml:space="preserve">Aplicación Práctica para la Mejora de la Seguridad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1: Activos</w:t>
            </w:r>
          </w:p>
        </w:tc>
        <w:tc>
          <w:tcPr>
            <w:tcMar>
              <w:top w:type="dxa" w:w="80"/>
              <w:left w:type="dxa" w:w="120"/>
              <w:bottom w:type="dxa" w:w="80"/>
              <w:right w:type="dxa" w:w="120"/>
            </w:tcMar>
            <w:vAlign w:val="center"/>
          </w:tcPr>
          <w:p>
            <w:pPr>
              <w:pStyle w:val="MdTableCell"/>
              <w:jc w:val="left"/>
            </w:pPr>
            <w:r>
              <w:rPr>
                <w:rStyle w:val="MdStrong"/>
                <w:b/>
                <w:bCs/>
              </w:rPr>
              <w:t xml:space="preserve">Activo:</w:t>
            </w:r>
            <w:r>
              <w:t xml:space="preserve"> Base de Datos de Clientes (BDC).</w:t>
            </w:r>
          </w:p>
        </w:tc>
        <w:tc>
          <w:tcPr>
            <w:tcBorders>
              <w:right w:val="none"/>
            </w:tcBorders>
            <w:tcMar>
              <w:top w:type="dxa" w:w="80"/>
              <w:left w:type="dxa" w:w="120"/>
              <w:bottom w:type="dxa" w:w="80"/>
              <w:right w:type="dxa" w:w="120"/>
            </w:tcMar>
            <w:vAlign w:val="center"/>
          </w:tcPr>
          <w:p>
            <w:pPr>
              <w:pStyle w:val="MdTableCell"/>
              <w:jc w:val="left"/>
            </w:pPr>
            <w:r>
              <w:rPr>
                <w:rStyle w:val="MdStrong"/>
                <w:b/>
                <w:bCs/>
              </w:rPr>
              <w:t xml:space="preserve">Valoración:</w:t>
            </w:r>
            <w:r>
              <w:t xml:space="preserve"> Confidencialidad y Disponibilidad </w:t>
            </w:r>
            <w:r>
              <w:rPr>
                <w:rStyle w:val="MdStrong"/>
                <w:b/>
                <w:bCs/>
              </w:rPr>
              <w:t xml:space="preserve">Alta</w:t>
            </w:r>
            <w:r>
              <w:t xml:space="preserve">. La pérdida de cualquiera de estas dimensiones tendría un impacto catastrófico (multas RGPD, cese de operaciones).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2: Amenazas</w:t>
            </w:r>
          </w:p>
        </w:tc>
        <w:tc>
          <w:tcPr>
            <w:tcMar>
              <w:top w:type="dxa" w:w="80"/>
              <w:left w:type="dxa" w:w="120"/>
              <w:bottom w:type="dxa" w:w="80"/>
              <w:right w:type="dxa" w:w="120"/>
            </w:tcMar>
            <w:vAlign w:val="center"/>
          </w:tcPr>
          <w:p>
            <w:pPr>
              <w:pStyle w:val="MdTableCell"/>
              <w:jc w:val="left"/>
            </w:pPr>
            <w:r>
              <w:rPr>
                <w:rStyle w:val="MdStrong"/>
                <w:b/>
                <w:bCs/>
              </w:rPr>
              <w:t xml:space="preserve">Amenaza:</w:t>
            </w:r>
            <w:r>
              <w:t xml:space="preserve"> Fallo del servidor de la BDC por sobrecalentamiento.</w:t>
            </w:r>
          </w:p>
        </w:tc>
        <w:tc>
          <w:tcPr>
            <w:tcBorders>
              <w:right w:val="none"/>
            </w:tcBorders>
            <w:tcMar>
              <w:top w:type="dxa" w:w="80"/>
              <w:left w:type="dxa" w:w="120"/>
              <w:bottom w:type="dxa" w:w="80"/>
              <w:right w:type="dxa" w:w="120"/>
            </w:tcMar>
            <w:vAlign w:val="center"/>
          </w:tcPr>
          <w:p>
            <w:pPr>
              <w:pStyle w:val="MdTableCell"/>
              <w:jc w:val="left"/>
            </w:pPr>
            <w:r>
              <w:rPr>
                <w:rStyle w:val="MdStrong"/>
                <w:b/>
                <w:bCs/>
              </w:rPr>
              <w:t xml:space="preserve">Riesgo Potencial:</w:t>
            </w:r>
            <w:r>
              <w:t xml:space="preserve"> Pérdida de disponibilidad del servicio durante 48 horas.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3: Salvaguardas</w:t>
            </w:r>
          </w:p>
        </w:tc>
        <w:tc>
          <w:tcPr>
            <w:tcMar>
              <w:top w:type="dxa" w:w="80"/>
              <w:left w:type="dxa" w:w="120"/>
              <w:bottom w:type="dxa" w:w="80"/>
              <w:right w:type="dxa" w:w="120"/>
            </w:tcMar>
            <w:vAlign w:val="center"/>
          </w:tcPr>
          <w:p>
            <w:pPr>
              <w:pStyle w:val="MdTableCell"/>
              <w:jc w:val="left"/>
            </w:pPr>
            <w:r>
              <w:rPr>
                <w:rStyle w:val="MdStrong"/>
                <w:b/>
                <w:bCs/>
              </w:rPr>
              <w:t xml:space="preserve">Salvaguarda Implementada:</w:t>
            </w:r>
            <w:r>
              <w:t xml:space="preserve"> Sistema de refrigeración redundante y monitorización de temperatura.</w:t>
            </w:r>
          </w:p>
        </w:tc>
        <w:tc>
          <w:tcPr>
            <w:tcBorders>
              <w:right w:val="none"/>
            </w:tcBorders>
            <w:tcMar>
              <w:top w:type="dxa" w:w="80"/>
              <w:left w:type="dxa" w:w="120"/>
              <w:bottom w:type="dxa" w:w="80"/>
              <w:right w:type="dxa" w:w="120"/>
            </w:tcMar>
            <w:vAlign w:val="center"/>
          </w:tcPr>
          <w:p>
            <w:pPr>
              <w:pStyle w:val="MdTableCell"/>
              <w:jc w:val="left"/>
            </w:pPr>
            <w:r>
              <w:rPr>
                <w:rStyle w:val="MdStrong"/>
                <w:b/>
                <w:bCs/>
              </w:rPr>
              <w:t xml:space="preserve">Acción:</w:t>
            </w:r>
            <w:r>
              <w:t xml:space="preserve"> Se instala un sistema de climatización de respaldo en el centro de datos y se configura una alerta automática.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rPr>
                <w:rStyle w:val="MdStrong"/>
                <w:b/>
                <w:bCs/>
              </w:rPr>
              <w:t xml:space="preserve">Paso 4: Impacto Residual</w:t>
            </w:r>
          </w:p>
        </w:tc>
        <w:tc>
          <w:tcPr>
            <w:tcMar>
              <w:top w:type="dxa" w:w="80"/>
              <w:left w:type="dxa" w:w="120"/>
              <w:bottom w:type="dxa" w:w="80"/>
              <w:right w:type="dxa" w:w="120"/>
            </w:tcMar>
            <w:vAlign w:val="center"/>
          </w:tcPr>
          <w:p>
            <w:pPr>
              <w:pStyle w:val="MdTableCell"/>
              <w:jc w:val="left"/>
            </w:pPr>
            <w:r>
              <w:rPr>
                <w:rStyle w:val="MdStrong"/>
                <w:b/>
                <w:bCs/>
              </w:rPr>
              <w:t xml:space="preserve">Impacto Potencial:</w:t>
            </w:r>
            <w:r>
              <w:t xml:space="preserve"> Pérdida total de servicio (48h).</w:t>
            </w:r>
          </w:p>
        </w:tc>
        <w:tc>
          <w:tcPr>
            <w:tcBorders>
              <w:right w:val="none"/>
            </w:tcBorders>
            <w:tcMar>
              <w:top w:type="dxa" w:w="80"/>
              <w:left w:type="dxa" w:w="120"/>
              <w:bottom w:type="dxa" w:w="80"/>
              <w:right w:type="dxa" w:w="120"/>
            </w:tcMar>
            <w:vAlign w:val="center"/>
          </w:tcPr>
          <w:p>
            <w:pPr>
              <w:pStyle w:val="MdTableCell"/>
              <w:jc w:val="left"/>
            </w:pPr>
            <w:r>
              <w:rPr>
                <w:rStyle w:val="MdStrong"/>
                <w:b/>
                <w:bCs/>
              </w:rPr>
              <w:t xml:space="preserve">Impacto Residual:</w:t>
            </w:r>
            <w:r>
              <w:t xml:space="preserve"> Interrupción de servicio de 1 hora (tiempo de conmutación al sistema de respaldo).</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rPr>
                <w:rStyle w:val="MdStrong"/>
                <w:b/>
                <w:bCs/>
              </w:rPr>
              <w:t xml:space="preserve">Paso 5: Riesgo Residual</w:t>
            </w:r>
          </w:p>
        </w:tc>
        <w:tc>
          <w:tcPr>
            <w:tcBorders>
              <w:bottom w:val="single" w:color="E1E4E8" w:sz="4"/>
            </w:tcBorders>
            <w:tcMar>
              <w:top w:type="dxa" w:w="80"/>
              <w:left w:type="dxa" w:w="120"/>
              <w:bottom w:type="dxa" w:w="80"/>
              <w:right w:type="dxa" w:w="120"/>
            </w:tcMar>
            <w:vAlign w:val="center"/>
          </w:tcPr>
          <w:p>
            <w:pPr>
              <w:pStyle w:val="MdTableCell"/>
              <w:jc w:val="left"/>
            </w:pPr>
            <w:r>
              <w:rPr>
                <w:rStyle w:val="MdStrong"/>
                <w:b/>
                <w:bCs/>
              </w:rPr>
              <w:t xml:space="preserve">Riesgo Potencial:</w:t>
            </w:r>
            <w:r>
              <w:t xml:space="preserve"> Alto.</w:t>
            </w:r>
          </w:p>
        </w:tc>
        <w:tc>
          <w:tcPr>
            <w:tcBorders>
              <w:bottom w:val="single" w:color="E1E4E8" w:sz="4"/>
              <w:right w:val="none"/>
            </w:tcBorders>
            <w:tcMar>
              <w:top w:type="dxa" w:w="80"/>
              <w:left w:type="dxa" w:w="120"/>
              <w:bottom w:type="dxa" w:w="80"/>
              <w:right w:type="dxa" w:w="120"/>
            </w:tcMar>
            <w:vAlign w:val="center"/>
          </w:tcPr>
          <w:p>
            <w:pPr>
              <w:pStyle w:val="MdTableCell"/>
              <w:jc w:val="left"/>
            </w:pPr>
            <w:r>
              <w:rPr>
                <w:rStyle w:val="MdStrong"/>
                <w:b/>
                <w:bCs/>
              </w:rPr>
              <w:t xml:space="preserve">Riesgo Residual:</w:t>
            </w:r>
            <w:r>
              <w:t xml:space="preserve"> Bajo. La inversión en la salvaguarda ha reducido el riesgo a un nivel aceptable, mejorando la seguridad informática.</w:t>
            </w:r>
          </w:p>
        </w:tc>
      </w:tr>
    </w:tbl>
    <w:p>
      <w:pPr>
        <w:pStyle w:val="Heading3"/>
        <w:pStyle w:val="MdHeading3"/>
      </w:pPr>
      <w:r>
        <w:t xml:space="preserve">Otras Salvaguardas Clave Derivadas de MAGERIT</w:t>
      </w:r>
    </w:p>
    <w:p>
      <w:pPr>
        <w:pStyle w:val="MdParagraph"/>
      </w:pPr>
      <w:r>
        <w:t xml:space="preserve">MAGERIT promueve la implementación de salvaguardas en diversas áreas:</w:t>
      </w:r>
    </w:p>
    <w:p>
      <w:pPr>
        <w:pStyle w:val="MdSpace"/>
        <w:spacing w:before="0" w:after="60"/>
      </w:pPr>
    </w:p>
    <w:p>
      <w:pPr>
        <w:pStyle w:val="MdListItem"/>
        <w:numPr>
          <w:ilvl w:val="0"/>
          <w:numId w:val="2"/>
        </w:numPr>
      </w:pPr>
      <w:r>
        <w:rPr>
          <w:rStyle w:val="MdStrong"/>
          <w:b/>
          <w:bCs/>
        </w:rPr>
        <w:t xml:space="preserve">Salvaguardas Organizativas:</w:t>
      </w:r>
    </w:p>
    <w:p>
      <w:pPr>
        <w:pStyle w:val="MdListItem"/>
        <w:numPr>
          <w:ilvl w:val="1"/>
          <w:numId w:val="3"/>
        </w:numPr>
      </w:pPr>
      <w:r>
        <w:rPr>
          <w:rStyle w:val="MdStrong"/>
          <w:b/>
          <w:bCs/>
        </w:rPr>
        <w:t xml:space="preserve">Concienciación y Formación:</w:t>
      </w:r>
      <w:r>
        <w:t xml:space="preserve"> Programas continuos de formación en ciberseguridad para mitigar el riesgo de errores humanos (ej. phishing, uso de contraseñas débiles).</w:t>
      </w:r>
    </w:p>
    <w:p>
      <w:pPr>
        <w:pStyle w:val="MdListItem"/>
        <w:numPr>
          <w:ilvl w:val="1"/>
          <w:numId w:val="3"/>
        </w:numPr>
      </w:pPr>
      <w:r>
        <w:rPr>
          <w:rStyle w:val="MdStrong"/>
          <w:b/>
          <w:bCs/>
        </w:rPr>
        <w:t xml:space="preserve">Políticas de Seguridad:</w:t>
      </w:r>
      <w:r>
        <w:t xml:space="preserve"> Definición y comunicación de políticas claras de uso aceptable, control de acceso lógico y gestión de incidentes.</w:t>
      </w:r>
    </w:p>
    <w:p>
      <w:pPr>
        <w:pStyle w:val="MdListItem"/>
        <w:numPr>
          <w:ilvl w:val="0"/>
          <w:numId w:val="2"/>
        </w:numPr>
      </w:pPr>
      <w:r>
        <w:rPr>
          <w:rStyle w:val="MdStrong"/>
          <w:b/>
          <w:bCs/>
        </w:rPr>
        <w:t xml:space="preserve">Salvaguardas Físicas:</w:t>
      </w:r>
    </w:p>
    <w:p>
      <w:pPr>
        <w:pStyle w:val="MdListItem"/>
        <w:numPr>
          <w:ilvl w:val="1"/>
          <w:numId w:val="3"/>
        </w:numPr>
      </w:pPr>
      <w:r>
        <w:rPr>
          <w:rStyle w:val="MdStrong"/>
          <w:b/>
          <w:bCs/>
        </w:rPr>
        <w:t xml:space="preserve">Control de Acceso Físico:</w:t>
      </w:r>
      <w:r>
        <w:t xml:space="preserve"> Implementación de sistemas de acceso por tarjeta o biométricos para proteger el centro de datos y las áreas críticas.</w:t>
      </w:r>
    </w:p>
    <w:p>
      <w:pPr>
        <w:pStyle w:val="MdListItem"/>
        <w:numPr>
          <w:ilvl w:val="1"/>
          <w:numId w:val="3"/>
        </w:numPr>
      </w:pPr>
      <w:r>
        <w:rPr>
          <w:rStyle w:val="MdStrong"/>
          <w:b/>
          <w:bCs/>
        </w:rPr>
        <w:t xml:space="preserve">Sistemas de Alimentación Ininterrumpida (SAI):</w:t>
      </w:r>
      <w:r>
        <w:t xml:space="preserve"> Para proteger el hardware de fallos eléctricos, garantizando la disponibilidad.</w:t>
      </w:r>
    </w:p>
    <w:p>
      <w:pPr>
        <w:pStyle w:val="MdListItem"/>
        <w:numPr>
          <w:ilvl w:val="0"/>
          <w:numId w:val="2"/>
        </w:numPr>
      </w:pPr>
      <w:r>
        <w:rPr>
          <w:rStyle w:val="MdStrong"/>
          <w:b/>
          <w:bCs/>
        </w:rPr>
        <w:t xml:space="preserve">Salvaguardas Técnicas:</w:t>
      </w:r>
    </w:p>
    <w:p>
      <w:pPr>
        <w:pStyle w:val="MdListItem"/>
        <w:numPr>
          <w:ilvl w:val="1"/>
          <w:numId w:val="3"/>
        </w:numPr>
      </w:pPr>
      <w:r>
        <w:rPr>
          <w:rStyle w:val="MdStrong"/>
          <w:b/>
          <w:bCs/>
        </w:rPr>
        <w:t xml:space="preserve">Copias de Seguridad:</w:t>
      </w:r>
      <w:r>
        <w:t xml:space="preserve"> Definición de una política de </w:t>
      </w:r>
      <w:r>
        <w:rPr>
          <w:rStyle w:val="MdEm"/>
          <w:i/>
          <w:iCs/>
        </w:rPr>
        <w:t xml:space="preserve">backup</w:t>
      </w:r>
      <w:r>
        <w:t xml:space="preserve"> robusta (frecuencia, almacenamiento externo, pruebas de restauración).</w:t>
      </w:r>
    </w:p>
    <w:p>
      <w:pPr>
        <w:pStyle w:val="MdListItem"/>
        <w:numPr>
          <w:ilvl w:val="1"/>
          <w:numId w:val="3"/>
        </w:numPr>
      </w:pPr>
      <w:r>
        <w:rPr>
          <w:rStyle w:val="MdStrong"/>
          <w:b/>
          <w:bCs/>
        </w:rPr>
        <w:t xml:space="preserve">Redundancia y Alta Disponibilidad:</w:t>
      </w:r>
      <w:r>
        <w:t xml:space="preserve"> Uso de clústeres de servidores y balanceadores de carga para asegurar la continuidad del servicio.</w:t>
      </w:r>
    </w:p>
    <w:p>
      <w:pPr>
        <w:pStyle w:val="MdSpace"/>
        <w:spacing w:before="0" w:after="60"/>
      </w:pPr>
    </w:p>
    <w:p>
      <w:pPr>
        <w:pStyle w:val="MdParagraph"/>
      </w:pPr>
      <w:r>
        <w:t xml:space="preserve">Al seguir la metodología MAGERIT, la empresa no solo identifica sus vulnerabilidades, sino que también justifica la inversión en seguridad, demostrando cómo cada salvaguarda reduce el riesgo a un nivel tolerable.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Referencias</w:t>
      </w:r>
    </w:p>
    <w:p>
      <w:pPr>
        <w:pStyle w:val="MdParagraph"/>
      </w:pPr>
      <w:r>
        <w:t xml:space="preserve">[1] CCN-CERT. </w:t>
      </w:r>
      <w:r>
        <w:rPr>
          <w:rStyle w:val="MdEm"/>
          <w:i/>
          <w:iCs/>
        </w:rPr>
        <w:t xml:space="preserve">MAGERIT – versión 3.0 Metodología de Análisis y Gestión de Riesgos de los Sistemas de Información</w:t>
      </w:r>
      <w:r>
        <w:t xml:space="preserve">. [En línea]. Disponible en: </w:t>
      </w:r>
      <w:hyperlink w:history="1" r:id="rId-qo9nhdaoz2_otrh02nwc">
        <w:r>
          <w:rPr>
            <w:rStyle w:val="MdLink"/>
          </w:rPr>
          <w:t xml:space="preserve">https://www.ccn-cert.cni.es/es/documentos-publicos/1789-magerit-libro-i-metodo/file?format=html</w:t>
        </w:r>
      </w:hyperlink>
    </w:p>
    <w:p>
      <w:pPr>
        <w:pStyle w:val="MdSpace"/>
        <w:spacing w:before="0" w:after="60"/>
      </w:pPr>
    </w:p>
    <w:p>
      <w:pPr>
        <w:pStyle w:val="MdParagraph"/>
      </w:pPr>
      <w:r>
        <w:t xml:space="preserve">[2] Piranirisk. </w:t>
      </w:r>
      <w:r>
        <w:rPr>
          <w:rStyle w:val="MdEm"/>
          <w:i/>
          <w:iCs/>
        </w:rPr>
        <w:t xml:space="preserve">MAGERIT: gestión de riesgos de Seguridad de la Información</w:t>
      </w:r>
      <w:r>
        <w:t xml:space="preserve">. [En línea]. Disponible en: </w:t>
      </w:r>
      <w:hyperlink w:history="1" r:id="rIdytg45-rgisyxpyuiinjcc">
        <w:r>
          <w:rPr>
            <w:rStyle w:val="MdLink"/>
          </w:rPr>
          <w:t xml:space="preserve">https://www.piranirisk.com/es/blog/metodologia-magerit-gestion-riesgos-sistemas-de-informacion</w:t>
        </w:r>
      </w:hyperlink>
    </w:p>
    <w:p>
      <w:pPr>
        <w:pStyle w:val="MdSpace"/>
        <w:spacing w:before="0" w:after="60"/>
      </w:pPr>
    </w:p>
    <w:p>
      <w:pPr>
        <w:pStyle w:val="MdParagraph"/>
      </w:pPr>
      <w:r>
        <w:t xml:space="preserve">[3] Gobierno de España. </w:t>
      </w:r>
      <w:r>
        <w:rPr>
          <w:rStyle w:val="MdEm"/>
          <w:i/>
          <w:iCs/>
        </w:rPr>
        <w:t xml:space="preserve">Esquema Nacional de Seguridad (ENS)</w:t>
      </w:r>
      <w:r>
        <w:t xml:space="preserve">. [En línea]. Disponible en: </w:t>
      </w:r>
      <w:hyperlink w:history="1" r:id="rId6iqvhxyhqvpg7ibdqgzt9">
        <w:r>
          <w:rPr>
            <w:rStyle w:val="MdLink"/>
          </w:rPr>
          <w:t xml:space="preserve">https://administracionelectronica.gob.es/ctt/ens</w:t>
        </w:r>
      </w:hyperlink>
    </w:p>
    <w:p>
      <w:pPr>
        <w:pStyle w:val="MdSpace"/>
        <w:spacing w:before="0" w:after="60"/>
      </w:pPr>
    </w:p>
    <w:p>
      <w:pPr>
        <w:pStyle w:val="MdParagraph"/>
      </w:pPr>
      <w:r>
        <w:t xml:space="preserve">[4] Jaymon Security. </w:t>
      </w:r>
      <w:r>
        <w:rPr>
          <w:rStyle w:val="MdEm"/>
          <w:i/>
          <w:iCs/>
        </w:rPr>
        <w:t xml:space="preserve">Análisis de riesgos de una empresa - Práctica Magerit 3</w:t>
      </w:r>
      <w:r>
        <w:t xml:space="preserve">. [En línea]. Disponible en: </w:t>
      </w:r>
      <w:hyperlink w:history="1" r:id="rIdcfor9wfe7cy1vtksrfb_c">
        <w:r>
          <w:rPr>
            <w:rStyle w:val="MdLink"/>
          </w:rPr>
          <w:t xml:space="preserve">https://jaymonsecurity.es/analisis-riesgos-empresa/</w:t>
        </w:r>
      </w:hyperlink>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o9nhdaoz2_otrh02nwc" Type="http://schemas.openxmlformats.org/officeDocument/2006/relationships/hyperlink" Target="https://www.ccn-cert.cni.es/es/documentos-publicos/1789-magerit-libro-i-metodo/file?format=html" TargetMode="External"/><Relationship Id="rIdytg45-rgisyxpyuiinjcc" Type="http://schemas.openxmlformats.org/officeDocument/2006/relationships/hyperlink" Target="https://www.piranirisk.com/es/blog/metodologia-magerit-gestion-riesgos-sistemas-de-informacion" TargetMode="External"/><Relationship Id="rId6iqvhxyhqvpg7ibdqgzt9" Type="http://schemas.openxmlformats.org/officeDocument/2006/relationships/hyperlink" Target="https://administracionelectronica.gob.es/ctt/ens" TargetMode="External"/><Relationship Id="rIdcfor9wfe7cy1vtksrfb_c" Type="http://schemas.openxmlformats.org/officeDocument/2006/relationships/hyperlink" Target="https://jaymonsecurity.es/analisis-riesgos-empresa/" TargetMode="External"/><Relationship Id="rId1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2025-10-31T15:39:51.927Z</dcterms:created>
  <dcterms:modified xsi:type="dcterms:W3CDTF">2025-10-31T15:39:51.927Z</dcterms:modified>
</cp:coreProperties>
</file>

<file path=docProps/custom.xml><?xml version="1.0" encoding="utf-8"?>
<Properties xmlns="http://schemas.openxmlformats.org/officeDocument/2006/custom-properties" xmlns:vt="http://schemas.openxmlformats.org/officeDocument/2006/docPropsVTypes"/>
</file>