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MAGERIT v3: Metodología de Análisis y Gestión de Riesgos de los Sistemas de Información</w:t>
      </w:r>
    </w:p>
    <w:p>
      <w:pPr>
        <w:pStyle w:val="Heading2"/>
        <w:pStyle w:val="MdHeading2"/>
      </w:pPr>
      <w:r>
        <w:t xml:space="preserve">Introducción</w:t>
      </w:r>
    </w:p>
    <w:p>
      <w:pPr>
        <w:pStyle w:val="MdParagraph"/>
      </w:pPr>
      <w:r>
        <w:t xml:space="preserve">El presente documento de investigación tiene como objetivo proporcionar una visión completa y estructurada de la metodología </w:t>
      </w:r>
      <w:r>
        <w:rPr>
          <w:rStyle w:val="MdStrong"/>
          <w:b/>
          <w:bCs/>
        </w:rPr>
        <w:t xml:space="preserve">MAGERIT (Metodología de Análisis y Gestión de Riesgos de los Sistemas de Información)</w:t>
      </w:r>
      <w:r>
        <w:t xml:space="preserve"> en su versión 3.0. Esta metodología, desarrollada por el Consejo Superior de Administración Electrónica (CSAE) del Gobierno de España, se ha consolidado como un marco de referencia esencial para la gestión de la seguridad de la información, especialmente en el ámbito de las Administraciones Públicas y en empresas con Sistemas de Información (SI) críticos.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Definición de MAGERIT</w:t>
      </w:r>
    </w:p>
    <w:p>
      <w:pPr>
        <w:pStyle w:val="MdParagraph"/>
      </w:pPr>
      <w:r>
        <w:t xml:space="preserve">MAGERIT es un </w:t>
      </w:r>
      <w:r>
        <w:rPr>
          <w:rStyle w:val="MdStrong"/>
          <w:b/>
          <w:bCs/>
        </w:rPr>
        <w:t xml:space="preserve">método formal y sistemático</w:t>
      </w:r>
      <w:r>
        <w:t xml:space="preserve"> diseñado para investigar los riesgos a los que están expuestos los Sistemas de Información y para recomendar las medidas de seguridad (salvaguardas) más adecuadas para gestionarlos.</w:t>
      </w:r>
    </w:p>
    <w:p>
      <w:pPr>
        <w:pStyle w:val="MdSpace"/>
        <w:spacing w:before="0" w:after="60"/>
      </w:pPr>
    </w:p>
    <w:p>
      <w:pPr>
        <w:pStyle w:val="MdParagraph"/>
      </w:pPr>
      <w:r>
        <w:t xml:space="preserve">Su propósito fundamental es ayudar a las organizaciones a tomar decisiones informadas sobre la seguridad de sus SI, alineando la gestión de riesgos con los objetivos de negocio. La metodología se enmarca dentro del </w:t>
      </w:r>
      <w:r>
        <w:rPr>
          <w:rStyle w:val="MdStrong"/>
          <w:b/>
          <w:bCs/>
        </w:rPr>
        <w:t xml:space="preserve">Esquema Nacional de Seguridad (ENS)</w:t>
      </w:r>
      <w:r>
        <w:t xml:space="preserve"> en España, siendo un pilar para el cumplimiento de sus requisitos.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Objetivos de MAGERIT</w:t>
      </w:r>
    </w:p>
    <w:p>
      <w:pPr>
        <w:pStyle w:val="MdParagraph"/>
      </w:pPr>
      <w:r>
        <w:t xml:space="preserve">Los objetivos de MAGERIT se dividen en directos e indirectos, todos orientados a establecer una cultura de gestión de riesgos en la organización.</w:t>
      </w:r>
    </w:p>
    <w:p>
      <w:pPr>
        <w:pStyle w:val="MdSpace"/>
        <w:spacing w:before="0" w:after="60"/>
      </w:pPr>
    </w:p>
    <w:p>
      <w:pPr>
        <w:pStyle w:val="Heading3"/>
        <w:pStyle w:val="MdHeading3"/>
      </w:pPr>
      <w:r>
        <w:t xml:space="preserve">Objetivos Principales</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Tipo de Objetivo</w:t>
            </w:r>
          </w:p>
        </w:tc>
        <w:tc>
          <w:tcPr>
            <w:tcBorders>
              <w:right w:val="none"/>
            </w:tcBorders>
            <w:tcMar>
              <w:top w:type="dxa" w:w="100"/>
              <w:left w:type="dxa" w:w="120"/>
              <w:bottom w:type="dxa" w:w="100"/>
              <w:right w:type="dxa" w:w="120"/>
            </w:tcMar>
            <w:vAlign w:val="center"/>
          </w:tcPr>
          <w:p>
            <w:pPr>
              <w:pStyle w:val="MdTableHeader"/>
            </w:pPr>
            <w:r>
              <w:t xml:space="preserve">Descripción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Concienciación</w:t>
            </w:r>
          </w:p>
        </w:tc>
        <w:tc>
          <w:tcPr>
            <w:tcBorders>
              <w:right w:val="none"/>
            </w:tcBorders>
            <w:tcMar>
              <w:top w:type="dxa" w:w="80"/>
              <w:left w:type="dxa" w:w="120"/>
              <w:bottom w:type="dxa" w:w="80"/>
              <w:right w:type="dxa" w:w="120"/>
            </w:tcMar>
            <w:vAlign w:val="center"/>
          </w:tcPr>
          <w:p>
            <w:pPr>
              <w:pStyle w:val="MdTableCell"/>
            </w:pPr>
            <w:r>
              <w:rPr>
                <w:rStyle w:val="MdStrong"/>
                <w:b/>
                <w:bCs/>
              </w:rPr>
              <w:t xml:space="preserve">Concienciar</w:t>
            </w:r>
            <w:r>
              <w:t xml:space="preserve"> a los responsables de la organización sobre la existencia de riesgos en sus SI y la necesidad urgente de gestionarlos de forma proactiva.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Sistemático</w:t>
            </w:r>
          </w:p>
        </w:tc>
        <w:tc>
          <w:tcPr>
            <w:tcBorders>
              <w:right w:val="none"/>
            </w:tcBorders>
            <w:tcMar>
              <w:top w:type="dxa" w:w="80"/>
              <w:left w:type="dxa" w:w="120"/>
              <w:bottom w:type="dxa" w:w="80"/>
              <w:right w:type="dxa" w:w="120"/>
            </w:tcMar>
            <w:vAlign w:val="center"/>
          </w:tcPr>
          <w:p>
            <w:pPr>
              <w:pStyle w:val="MdTableCell"/>
            </w:pPr>
            <w:r>
              <w:t xml:space="preserve">Ofrecer un </w:t>
            </w:r>
            <w:r>
              <w:rPr>
                <w:rStyle w:val="MdStrong"/>
                <w:b/>
                <w:bCs/>
              </w:rPr>
              <w:t xml:space="preserve">método sistemático</w:t>
            </w:r>
            <w:r>
              <w:t xml:space="preserve"> y repetible para analizar los riesgos derivados del uso de las Tecnologías de la Información y Comunicaciones (TIC).</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Tratamiento</w:t>
            </w:r>
          </w:p>
        </w:tc>
        <w:tc>
          <w:tcPr>
            <w:tcBorders>
              <w:right w:val="none"/>
            </w:tcBorders>
            <w:tcMar>
              <w:top w:type="dxa" w:w="80"/>
              <w:left w:type="dxa" w:w="120"/>
              <w:bottom w:type="dxa" w:w="80"/>
              <w:right w:type="dxa" w:w="120"/>
            </w:tcMar>
            <w:vAlign w:val="center"/>
          </w:tcPr>
          <w:p>
            <w:pPr>
              <w:pStyle w:val="MdTableCell"/>
            </w:pPr>
            <w:r>
              <w:t xml:space="preserve">Ayudar a </w:t>
            </w:r>
            <w:r>
              <w:rPr>
                <w:rStyle w:val="MdStrong"/>
                <w:b/>
                <w:bCs/>
              </w:rPr>
              <w:t xml:space="preserve">descubrir y planificar el tratamiento</w:t>
            </w:r>
            <w:r>
              <w:t xml:space="preserve"> oportuno de los riesgos, asegurando que estos se mantengan bajo un nivel de control aceptable.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Preparación</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Strong"/>
                <w:b/>
                <w:bCs/>
              </w:rPr>
              <w:t xml:space="preserve">Preparar a la organización</w:t>
            </w:r>
            <w:r>
              <w:t xml:space="preserve"> para procesos de evaluación, auditoría, certificación o acreditación, como el cumplimiento del Esquema Nacional de Seguridad (ENS).</w:t>
            </w:r>
          </w:p>
        </w:tc>
      </w:tr>
    </w:tbl>
    <w:p>
      <w:pPr>
        <w:pStyle w:val="Heading3"/>
        <w:pStyle w:val="MdHeading3"/>
      </w:pPr>
      <w:r>
        <w:t xml:space="preserve">Empresas y Sectores de Aplicación</w:t>
      </w:r>
    </w:p>
    <w:p>
      <w:pPr>
        <w:pStyle w:val="MdParagraph"/>
      </w:pPr>
      <w:r>
        <w:t xml:space="preserve">MAGERIT es de </w:t>
      </w:r>
      <w:r>
        <w:rPr>
          <w:rStyle w:val="MdStrong"/>
          <w:b/>
          <w:bCs/>
        </w:rPr>
        <w:t xml:space="preserve">aplicación obligatoria</w:t>
      </w:r>
      <w:r>
        <w:t xml:space="preserve"> para todas las </w:t>
      </w:r>
      <w:r>
        <w:rPr>
          <w:rStyle w:val="MdStrong"/>
          <w:b/>
          <w:bCs/>
        </w:rPr>
        <w:t xml:space="preserve">Administraciones Públicas españolas</w:t>
      </w:r>
      <w:r>
        <w:t xml:space="preserve"> en cumplimiento del ENS (Real Decreto 311/2022).</w:t>
      </w:r>
    </w:p>
    <w:p>
      <w:pPr>
        <w:pStyle w:val="MdSpace"/>
        <w:spacing w:before="0" w:after="60"/>
      </w:pPr>
    </w:p>
    <w:p>
      <w:pPr>
        <w:pStyle w:val="MdParagraph"/>
      </w:pPr>
      <w:r>
        <w:t xml:space="preserve">Su adopción se extiende a sectores donde la continuidad del negocio y la protección de datos son vitales, tales como:</w:t>
      </w:r>
    </w:p>
    <w:p>
      <w:pPr>
        <w:pStyle w:val="MdSpace"/>
        <w:spacing w:before="0" w:after="60"/>
      </w:pPr>
    </w:p>
    <w:p>
      <w:pPr>
        <w:pStyle w:val="MdListItem"/>
        <w:numPr>
          <w:ilvl w:val="0"/>
          <w:numId w:val="2"/>
        </w:numPr>
      </w:pPr>
      <w:r>
        <w:rPr>
          <w:rStyle w:val="MdStrong"/>
          <w:b/>
          <w:bCs/>
        </w:rPr>
        <w:t xml:space="preserve">Infraestructuras Críticas:</w:t>
      </w:r>
      <w:r>
        <w:t xml:space="preserve"> Empresas de energía, transporte, telecomunicaciones y servicios esenciales cuya interrupción podría tener un impacto grave en la sociedad.</w:t>
      </w:r>
    </w:p>
    <w:p>
      <w:pPr>
        <w:pStyle w:val="MdListItem"/>
        <w:numPr>
          <w:ilvl w:val="0"/>
          <w:numId w:val="2"/>
        </w:numPr>
      </w:pPr>
      <w:r>
        <w:rPr>
          <w:rStyle w:val="MdStrong"/>
          <w:b/>
          <w:bCs/>
        </w:rPr>
        <w:t xml:space="preserve">Sector Financiero y Seguros:</w:t>
      </w:r>
      <w:r>
        <w:t xml:space="preserve"> Organizaciones que gestionan grandes volúmenes de datos personales y transacciones económicas, donde la integridad y la confidencialidad son primordiales.</w:t>
      </w:r>
    </w:p>
    <w:p>
      <w:pPr>
        <w:pStyle w:val="MdListItem"/>
        <w:numPr>
          <w:ilvl w:val="0"/>
          <w:numId w:val="2"/>
        </w:numPr>
      </w:pPr>
      <w:r>
        <w:rPr>
          <w:rStyle w:val="MdStrong"/>
          <w:b/>
          <w:bCs/>
        </w:rPr>
        <w:t xml:space="preserve">Sector Sanitario:</w:t>
      </w:r>
      <w:r>
        <w:t xml:space="preserve"> Hospitales y clínicas que manejan historiales médicos y datos de salud altamente sensibles.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Fases del Análisis de Riesgos</w:t>
      </w:r>
    </w:p>
    <w:p>
      <w:pPr>
        <w:pStyle w:val="MdParagraph"/>
      </w:pPr>
      <w:r>
        <w:t xml:space="preserve">El proceso de análisis de riesgos propuesto por MAGERIT (Libro I - Método) se desarrolla en una secuencia lógica de pasos que van desde la identificación de los elementos hasta la estimación del riesgo residual.</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Fase</w:t>
            </w:r>
          </w:p>
        </w:tc>
        <w:tc>
          <w:tcPr>
            <w:tcMar>
              <w:top w:type="dxa" w:w="100"/>
              <w:left w:type="dxa" w:w="120"/>
              <w:bottom w:type="dxa" w:w="100"/>
              <w:right w:type="dxa" w:w="120"/>
            </w:tcMar>
            <w:vAlign w:val="center"/>
          </w:tcPr>
          <w:p>
            <w:pPr>
              <w:pStyle w:val="MdTableHeader"/>
            </w:pPr>
            <w:r>
              <w:t xml:space="preserve">Tarea Principal</w:t>
            </w:r>
          </w:p>
        </w:tc>
        <w:tc>
          <w:tcPr>
            <w:tcBorders>
              <w:right w:val="none"/>
            </w:tcBorders>
            <w:tcMar>
              <w:top w:type="dxa" w:w="100"/>
              <w:left w:type="dxa" w:w="120"/>
              <w:bottom w:type="dxa" w:w="100"/>
              <w:right w:type="dxa" w:w="120"/>
            </w:tcMar>
            <w:vAlign w:val="center"/>
          </w:tcPr>
          <w:p>
            <w:pPr>
              <w:pStyle w:val="MdTableHeader"/>
            </w:pPr>
            <w:r>
              <w:t xml:space="preserve">Descripción</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1</w:t>
            </w:r>
          </w:p>
        </w:tc>
        <w:tc>
          <w:tcPr>
            <w:tcMar>
              <w:top w:type="dxa" w:w="80"/>
              <w:left w:type="dxa" w:w="120"/>
              <w:bottom w:type="dxa" w:w="80"/>
              <w:right w:type="dxa" w:w="120"/>
            </w:tcMar>
            <w:vAlign w:val="center"/>
          </w:tcPr>
          <w:p>
            <w:pPr>
              <w:pStyle w:val="MdTableCell"/>
            </w:pPr>
            <w:r>
              <w:rPr>
                <w:rStyle w:val="MdStrong"/>
                <w:b/>
                <w:bCs/>
              </w:rPr>
              <w:t xml:space="preserve">Determinación y Valoración de Activos</w:t>
            </w:r>
          </w:p>
        </w:tc>
        <w:tc>
          <w:tcPr>
            <w:tcBorders>
              <w:right w:val="none"/>
            </w:tcBorders>
            <w:tcMar>
              <w:top w:type="dxa" w:w="80"/>
              <w:left w:type="dxa" w:w="120"/>
              <w:bottom w:type="dxa" w:w="80"/>
              <w:right w:type="dxa" w:w="120"/>
            </w:tcMar>
            <w:vAlign w:val="center"/>
          </w:tcPr>
          <w:p>
            <w:pPr>
              <w:pStyle w:val="MdTableCell"/>
            </w:pPr>
            <w:r>
              <w:t xml:space="preserve">Se identifican todos los activos del SI (información, hardware, software, servicios, personal, etc.) y se les asigna un valor en función de las dimensiones de seguridad: </w:t>
            </w:r>
            <w:r>
              <w:rPr>
                <w:rStyle w:val="MdStrong"/>
                <w:b/>
                <w:bCs/>
              </w:rPr>
              <w:t xml:space="preserve">Confidencialidad, Integridad, Disponibilidad, Autenticidad y Trazabilidad</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2</w:t>
            </w:r>
          </w:p>
        </w:tc>
        <w:tc>
          <w:tcPr>
            <w:tcMar>
              <w:top w:type="dxa" w:w="80"/>
              <w:left w:type="dxa" w:w="120"/>
              <w:bottom w:type="dxa" w:w="80"/>
              <w:right w:type="dxa" w:w="120"/>
            </w:tcMar>
            <w:vAlign w:val="center"/>
          </w:tcPr>
          <w:p>
            <w:pPr>
              <w:pStyle w:val="MdTableCell"/>
            </w:pPr>
            <w:r>
              <w:rPr>
                <w:rStyle w:val="MdStrong"/>
                <w:b/>
                <w:bCs/>
              </w:rPr>
              <w:t xml:space="preserve">Identificación de Amenazas</w:t>
            </w:r>
          </w:p>
        </w:tc>
        <w:tc>
          <w:tcPr>
            <w:tcBorders>
              <w:right w:val="none"/>
            </w:tcBorders>
            <w:tcMar>
              <w:top w:type="dxa" w:w="80"/>
              <w:left w:type="dxa" w:w="120"/>
              <w:bottom w:type="dxa" w:w="80"/>
              <w:right w:type="dxa" w:w="120"/>
            </w:tcMar>
            <w:vAlign w:val="center"/>
          </w:tcPr>
          <w:p>
            <w:pPr>
              <w:pStyle w:val="MdTableCell"/>
            </w:pPr>
            <w:r>
              <w:t xml:space="preserve">Se determinan las amenazas a las que están expuestos los activos (ej. fallos técnicos, desastres naturales, ataques intencionados). Se valora la </w:t>
            </w:r>
            <w:r>
              <w:rPr>
                <w:rStyle w:val="MdStrong"/>
                <w:b/>
                <w:bCs/>
              </w:rPr>
              <w:t xml:space="preserve">degradación</w:t>
            </w:r>
            <w:r>
              <w:t xml:space="preserve"> que causarían y su </w:t>
            </w:r>
            <w:r>
              <w:rPr>
                <w:rStyle w:val="MdStrong"/>
                <w:b/>
                <w:bCs/>
              </w:rPr>
              <w:t xml:space="preserve">probabilidad de ocurrencia</w:t>
            </w:r>
            <w:r>
              <w:t xml:space="preserve">.</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3</w:t>
            </w:r>
          </w:p>
        </w:tc>
        <w:tc>
          <w:tcPr>
            <w:tcMar>
              <w:top w:type="dxa" w:w="80"/>
              <w:left w:type="dxa" w:w="120"/>
              <w:bottom w:type="dxa" w:w="80"/>
              <w:right w:type="dxa" w:w="120"/>
            </w:tcMar>
            <w:vAlign w:val="center"/>
          </w:tcPr>
          <w:p>
            <w:pPr>
              <w:pStyle w:val="MdTableCell"/>
            </w:pPr>
            <w:r>
              <w:rPr>
                <w:rStyle w:val="MdStrong"/>
                <w:b/>
                <w:bCs/>
              </w:rPr>
              <w:t xml:space="preserve">Identificación de Salvaguardas</w:t>
            </w:r>
          </w:p>
        </w:tc>
        <w:tc>
          <w:tcPr>
            <w:tcBorders>
              <w:right w:val="none"/>
            </w:tcBorders>
            <w:tcMar>
              <w:top w:type="dxa" w:w="80"/>
              <w:left w:type="dxa" w:w="120"/>
              <w:bottom w:type="dxa" w:w="80"/>
              <w:right w:type="dxa" w:w="120"/>
            </w:tcMar>
            <w:vAlign w:val="center"/>
          </w:tcPr>
          <w:p>
            <w:pPr>
              <w:pStyle w:val="MdTableCell"/>
            </w:pPr>
            <w:r>
              <w:t xml:space="preserve">Se identifican las medidas de protección (salvaguardas) existentes o a implementar. Se evalúa su </w:t>
            </w:r>
            <w:r>
              <w:rPr>
                <w:rStyle w:val="MdStrong"/>
                <w:b/>
                <w:bCs/>
              </w:rPr>
              <w:t xml:space="preserve">eficacia</w:t>
            </w:r>
            <w:r>
              <w:t xml:space="preserve"> para reducir la probabilidad de las amenazas o mitigar el daño.</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4</w:t>
            </w:r>
          </w:p>
        </w:tc>
        <w:tc>
          <w:tcPr>
            <w:tcMar>
              <w:top w:type="dxa" w:w="80"/>
              <w:left w:type="dxa" w:w="120"/>
              <w:bottom w:type="dxa" w:w="80"/>
              <w:right w:type="dxa" w:w="120"/>
            </w:tcMar>
            <w:vAlign w:val="center"/>
          </w:tcPr>
          <w:p>
            <w:pPr>
              <w:pStyle w:val="MdTableCell"/>
            </w:pPr>
            <w:r>
              <w:rPr>
                <w:rStyle w:val="MdStrong"/>
                <w:b/>
                <w:bCs/>
              </w:rPr>
              <w:t xml:space="preserve">Estimación del Impacto Residual</w:t>
            </w:r>
          </w:p>
        </w:tc>
        <w:tc>
          <w:tcPr>
            <w:tcBorders>
              <w:right w:val="none"/>
            </w:tcBorders>
            <w:tcMar>
              <w:top w:type="dxa" w:w="80"/>
              <w:left w:type="dxa" w:w="120"/>
              <w:bottom w:type="dxa" w:w="80"/>
              <w:right w:type="dxa" w:w="120"/>
            </w:tcMar>
            <w:vAlign w:val="center"/>
          </w:tcPr>
          <w:p>
            <w:pPr>
              <w:pStyle w:val="MdTableCell"/>
            </w:pPr>
            <w:r>
              <w:t xml:space="preserve">Se calcula el daño potencial sobre un activo si una amenaza se materializa, una vez aplicadas las salvaguardas. Se pasa de un </w:t>
            </w:r>
            <w:r>
              <w:rPr>
                <w:rStyle w:val="MdStrong"/>
                <w:b/>
                <w:bCs/>
              </w:rPr>
              <w:t xml:space="preserve">Impacto Potencial</w:t>
            </w:r>
            <w:r>
              <w:t xml:space="preserve"> a un </w:t>
            </w:r>
            <w:r>
              <w:rPr>
                <w:rStyle w:val="MdStrong"/>
                <w:b/>
                <w:bCs/>
              </w:rPr>
              <w:t xml:space="preserve">Impacto Residual</w:t>
            </w:r>
            <w:r>
              <w:t xml:space="preserve">.</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Paso 5</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Estimación del Riesgo Residual</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Se calcula el riesgo final, que es el impacto residual ponderado por la probabilidad residual de la amenaza. El objetivo es que este </w:t>
            </w:r>
            <w:r>
              <w:rPr>
                <w:rStyle w:val="MdStrong"/>
                <w:b/>
                <w:bCs/>
              </w:rPr>
              <w:t xml:space="preserve">Riesgo Residual</w:t>
            </w:r>
            <w:r>
              <w:t xml:space="preserve"> sea aceptable para la organización.</w:t>
            </w:r>
          </w:p>
        </w:tc>
      </w:tr>
    </w:tbl>
    <w:p>
      <w:pPr>
        <w:pStyle w:val="MdHr"/>
        <w:pBdr>
          <w:bottom w:val="single" w:color="auto" w:sz="6" w:space="1"/>
        </w:pBdr>
      </w:pPr>
    </w:p>
    <w:p>
      <w:pPr>
        <w:pStyle w:val="MdSpace"/>
        <w:spacing w:before="0" w:after="60"/>
      </w:pPr>
    </w:p>
    <w:p>
      <w:pPr>
        <w:pStyle w:val="Heading2"/>
        <w:pStyle w:val="MdHeading2"/>
      </w:pPr>
      <w:r>
        <w:t xml:space="preserve">4. Aplicación Práctica: Mejora de la Seguridad Informática</w:t>
      </w:r>
    </w:p>
    <w:p>
      <w:pPr>
        <w:pStyle w:val="Heading3"/>
        <w:pStyle w:val="MdHeading3"/>
      </w:pPr>
      <w:r>
        <w:t xml:space="preserve">Protección de la Base de Datos de Clientes</w:t>
      </w:r>
    </w:p>
    <w:p>
      <w:pPr>
        <w:pStyle w:val="MdParagraph"/>
      </w:pPr>
      <w:r>
        <w:t xml:space="preserve">Consideremos una empresa de comercio electrónico cuyo activo más crítico es la Base de Datos de Clientes.</w:t>
      </w:r>
    </w:p>
    <w:p>
      <w:pPr>
        <w:pStyle w:val="MdSpace"/>
        <w:spacing w:before="0" w:after="60"/>
      </w:pP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Fase de MAGERIT</w:t>
            </w:r>
          </w:p>
        </w:tc>
        <w:tc>
          <w:tcPr>
            <w:tcMar>
              <w:top w:type="dxa" w:w="100"/>
              <w:left w:type="dxa" w:w="120"/>
              <w:bottom w:type="dxa" w:w="100"/>
              <w:right w:type="dxa" w:w="120"/>
            </w:tcMar>
            <w:vAlign w:val="center"/>
          </w:tcPr>
          <w:p>
            <w:pPr>
              <w:pStyle w:val="MdTableHeader"/>
            </w:pPr>
            <w:r>
              <w:t xml:space="preserve">Ejemplo de Activo/Riesgo</w:t>
            </w:r>
          </w:p>
        </w:tc>
        <w:tc>
          <w:tcPr>
            <w:tcBorders>
              <w:right w:val="none"/>
            </w:tcBorders>
            <w:tcMar>
              <w:top w:type="dxa" w:w="100"/>
              <w:left w:type="dxa" w:w="120"/>
              <w:bottom w:type="dxa" w:w="100"/>
              <w:right w:type="dxa" w:w="120"/>
            </w:tcMar>
            <w:vAlign w:val="center"/>
          </w:tcPr>
          <w:p>
            <w:pPr>
              <w:pStyle w:val="MdTableHeader"/>
            </w:pPr>
            <w:r>
              <w:t xml:space="preserve">Aplicación Práctica para la Mejora de la Seguridad</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1: Activos</w:t>
            </w:r>
          </w:p>
        </w:tc>
        <w:tc>
          <w:tcPr>
            <w:tcMar>
              <w:top w:type="dxa" w:w="80"/>
              <w:left w:type="dxa" w:w="120"/>
              <w:bottom w:type="dxa" w:w="80"/>
              <w:right w:type="dxa" w:w="120"/>
            </w:tcMar>
            <w:vAlign w:val="center"/>
          </w:tcPr>
          <w:p>
            <w:pPr>
              <w:pStyle w:val="MdTableCell"/>
            </w:pPr>
            <w:r>
              <w:rPr>
                <w:rStyle w:val="MdStrong"/>
                <w:b/>
                <w:bCs/>
              </w:rPr>
              <w:t xml:space="preserve">Activo:</w:t>
            </w:r>
            <w:r>
              <w:t xml:space="preserve"> Base de Datos de Clientes (BDC).</w:t>
            </w:r>
          </w:p>
        </w:tc>
        <w:tc>
          <w:tcPr>
            <w:tcBorders>
              <w:right w:val="none"/>
            </w:tcBorders>
            <w:tcMar>
              <w:top w:type="dxa" w:w="80"/>
              <w:left w:type="dxa" w:w="120"/>
              <w:bottom w:type="dxa" w:w="80"/>
              <w:right w:type="dxa" w:w="120"/>
            </w:tcMar>
            <w:vAlign w:val="center"/>
          </w:tcPr>
          <w:p>
            <w:pPr>
              <w:pStyle w:val="MdTableCell"/>
            </w:pPr>
            <w:r>
              <w:rPr>
                <w:rStyle w:val="MdStrong"/>
                <w:b/>
                <w:bCs/>
              </w:rPr>
              <w:t xml:space="preserve">Valoración:</w:t>
            </w:r>
            <w:r>
              <w:t xml:space="preserve"> Confidencialidad y Disponibilidad </w:t>
            </w:r>
            <w:r>
              <w:rPr>
                <w:rStyle w:val="MdStrong"/>
                <w:b/>
                <w:bCs/>
              </w:rPr>
              <w:t xml:space="preserve">Alta</w:t>
            </w:r>
            <w:r>
              <w:t xml:space="preserve">. La pérdida de cualquiera de estas dimensiones tendría un impacto catastrófico (multas RGPD, cese de operaciones).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2: Amenazas</w:t>
            </w:r>
          </w:p>
        </w:tc>
        <w:tc>
          <w:tcPr>
            <w:tcMar>
              <w:top w:type="dxa" w:w="80"/>
              <w:left w:type="dxa" w:w="120"/>
              <w:bottom w:type="dxa" w:w="80"/>
              <w:right w:type="dxa" w:w="120"/>
            </w:tcMar>
            <w:vAlign w:val="center"/>
          </w:tcPr>
          <w:p>
            <w:pPr>
              <w:pStyle w:val="MdTableCell"/>
            </w:pPr>
            <w:r>
              <w:rPr>
                <w:rStyle w:val="MdStrong"/>
                <w:b/>
                <w:bCs/>
              </w:rPr>
              <w:t xml:space="preserve">Amenaza:</w:t>
            </w:r>
            <w:r>
              <w:t xml:space="preserve"> Fallo del servidor de la BDC por sobrecalentamiento.</w:t>
            </w:r>
          </w:p>
        </w:tc>
        <w:tc>
          <w:tcPr>
            <w:tcBorders>
              <w:right w:val="none"/>
            </w:tcBorders>
            <w:tcMar>
              <w:top w:type="dxa" w:w="80"/>
              <w:left w:type="dxa" w:w="120"/>
              <w:bottom w:type="dxa" w:w="80"/>
              <w:right w:type="dxa" w:w="120"/>
            </w:tcMar>
            <w:vAlign w:val="center"/>
          </w:tcPr>
          <w:p>
            <w:pPr>
              <w:pStyle w:val="MdTableCell"/>
            </w:pPr>
            <w:r>
              <w:rPr>
                <w:rStyle w:val="MdStrong"/>
                <w:b/>
                <w:bCs/>
              </w:rPr>
              <w:t xml:space="preserve">Riesgo Potencial:</w:t>
            </w:r>
            <w:r>
              <w:t xml:space="preserve"> Pérdida de disponibilidad del servicio durante 48 horas.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3: Salvaguardas</w:t>
            </w:r>
          </w:p>
        </w:tc>
        <w:tc>
          <w:tcPr>
            <w:tcMar>
              <w:top w:type="dxa" w:w="80"/>
              <w:left w:type="dxa" w:w="120"/>
              <w:bottom w:type="dxa" w:w="80"/>
              <w:right w:type="dxa" w:w="120"/>
            </w:tcMar>
            <w:vAlign w:val="center"/>
          </w:tcPr>
          <w:p>
            <w:pPr>
              <w:pStyle w:val="MdTableCell"/>
            </w:pPr>
            <w:r>
              <w:rPr>
                <w:rStyle w:val="MdStrong"/>
                <w:b/>
                <w:bCs/>
              </w:rPr>
              <w:t xml:space="preserve">Salvaguarda Implementada:</w:t>
            </w:r>
            <w:r>
              <w:t xml:space="preserve"> Sistema de refrigeración redundante y monitorización de temperatura.</w:t>
            </w:r>
          </w:p>
        </w:tc>
        <w:tc>
          <w:tcPr>
            <w:tcBorders>
              <w:right w:val="none"/>
            </w:tcBorders>
            <w:tcMar>
              <w:top w:type="dxa" w:w="80"/>
              <w:left w:type="dxa" w:w="120"/>
              <w:bottom w:type="dxa" w:w="80"/>
              <w:right w:type="dxa" w:w="120"/>
            </w:tcMar>
            <w:vAlign w:val="center"/>
          </w:tcPr>
          <w:p>
            <w:pPr>
              <w:pStyle w:val="MdTableCell"/>
            </w:pPr>
            <w:r>
              <w:rPr>
                <w:rStyle w:val="MdStrong"/>
                <w:b/>
                <w:bCs/>
              </w:rPr>
              <w:t xml:space="preserve">Acción:</w:t>
            </w:r>
            <w:r>
              <w:t xml:space="preserve"> Se instala un sistema de climatización de respaldo en el centro de datos y se configura una alerta automática.</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Paso 4: Impacto Residual</w:t>
            </w:r>
          </w:p>
        </w:tc>
        <w:tc>
          <w:tcPr>
            <w:tcMar>
              <w:top w:type="dxa" w:w="80"/>
              <w:left w:type="dxa" w:w="120"/>
              <w:bottom w:type="dxa" w:w="80"/>
              <w:right w:type="dxa" w:w="120"/>
            </w:tcMar>
            <w:vAlign w:val="center"/>
          </w:tcPr>
          <w:p>
            <w:pPr>
              <w:pStyle w:val="MdTableCell"/>
            </w:pPr>
            <w:r>
              <w:rPr>
                <w:rStyle w:val="MdStrong"/>
                <w:b/>
                <w:bCs/>
              </w:rPr>
              <w:t xml:space="preserve">Impacto Potencial:</w:t>
            </w:r>
            <w:r>
              <w:t xml:space="preserve"> Pérdida total de servicio (48h).</w:t>
            </w:r>
          </w:p>
        </w:tc>
        <w:tc>
          <w:tcPr>
            <w:tcBorders>
              <w:right w:val="none"/>
            </w:tcBorders>
            <w:tcMar>
              <w:top w:type="dxa" w:w="80"/>
              <w:left w:type="dxa" w:w="120"/>
              <w:bottom w:type="dxa" w:w="80"/>
              <w:right w:type="dxa" w:w="120"/>
            </w:tcMar>
            <w:vAlign w:val="center"/>
          </w:tcPr>
          <w:p>
            <w:pPr>
              <w:pStyle w:val="MdTableCell"/>
            </w:pPr>
            <w:r>
              <w:rPr>
                <w:rStyle w:val="MdStrong"/>
                <w:b/>
                <w:bCs/>
              </w:rPr>
              <w:t xml:space="preserve">Impacto Residual:</w:t>
            </w:r>
            <w:r>
              <w:t xml:space="preserve"> Interrupción de servicio de 1 hora (tiempo de conmutación al sistema de respaldo).</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Paso 5: Riesgo Residual</w:t>
            </w:r>
          </w:p>
        </w:tc>
        <w:tc>
          <w:tcPr>
            <w:tcBorders>
              <w:bottom w:val="single" w:color="E1E4E8" w:sz="4"/>
            </w:tcBorders>
            <w:tcMar>
              <w:top w:type="dxa" w:w="80"/>
              <w:left w:type="dxa" w:w="120"/>
              <w:bottom w:type="dxa" w:w="80"/>
              <w:right w:type="dxa" w:w="120"/>
            </w:tcMar>
            <w:vAlign w:val="center"/>
          </w:tcPr>
          <w:p>
            <w:pPr>
              <w:pStyle w:val="MdTableCell"/>
            </w:pPr>
            <w:r>
              <w:rPr>
                <w:rStyle w:val="MdStrong"/>
                <w:b/>
                <w:bCs/>
              </w:rPr>
              <w:t xml:space="preserve">Riesgo Potencial:</w:t>
            </w:r>
            <w:r>
              <w:t xml:space="preserve"> Alto.</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Strong"/>
                <w:b/>
                <w:bCs/>
              </w:rPr>
              <w:t xml:space="preserve">Riesgo Residual:</w:t>
            </w:r>
            <w:r>
              <w:t xml:space="preserve"> Bajo. La inversión en la salvaguarda ha reducido el riesgo a un nivel aceptable, mejorando la seguridad informática.</w:t>
            </w:r>
          </w:p>
        </w:tc>
      </w:tr>
    </w:tbl>
    <w:p>
      <w:pPr>
        <w:pStyle w:val="MdHr"/>
        <w:pBdr>
          <w:bottom w:val="single" w:color="auto" w:sz="6" w:space="1"/>
        </w:pBdr>
      </w:pPr>
    </w:p>
    <w:p>
      <w:pPr>
        <w:pStyle w:val="MdSpace"/>
        <w:spacing w:before="0" w:after="60"/>
      </w:pPr>
    </w:p>
    <w:p>
      <w:pPr>
        <w:pStyle w:val="Heading2"/>
        <w:pStyle w:val="MdHeading2"/>
      </w:pPr>
      <w:r>
        <w:t xml:space="preserve">Referencias</w:t>
      </w:r>
    </w:p>
    <w:p>
      <w:pPr>
        <w:pStyle w:val="MdListItem"/>
        <w:numPr>
          <w:ilvl w:val="0"/>
          <w:numId w:val="3"/>
        </w:numPr>
      </w:pPr>
      <w:r>
        <w:t xml:space="preserve">CCN-CERT. </w:t>
      </w:r>
      <w:r>
        <w:rPr>
          <w:rStyle w:val="MdEm"/>
          <w:i/>
          <w:iCs/>
        </w:rPr>
        <w:t xml:space="preserve">MAGERIT – versión 3.0 Metodología de Análisis y Gestión de Riesgos de los Sistemas de Información</w:t>
      </w:r>
      <w:r>
        <w:t xml:space="preserve">. Disponible en: </w:t>
      </w:r>
      <w:hyperlink w:history="1" r:id="rIditpv2rdzouxbnajc-bhdv">
        <w:r>
          <w:rPr>
            <w:rStyle w:val="MdLink"/>
          </w:rPr>
          <w:t xml:space="preserve">https://www.ccn-cert.cni.es/es/documentos-publicos/1789-magerit-libro-i-metodo/file?format=html</w:t>
        </w:r>
      </w:hyperlink>
    </w:p>
    <w:p>
      <w:pPr>
        <w:pStyle w:val="MdListItem"/>
        <w:numPr>
          <w:ilvl w:val="0"/>
          <w:numId w:val="3"/>
        </w:numPr>
      </w:pPr>
      <w:r>
        <w:t xml:space="preserve">Piranirisk. </w:t>
      </w:r>
      <w:r>
        <w:rPr>
          <w:rStyle w:val="MdEm"/>
          <w:i/>
          <w:iCs/>
        </w:rPr>
        <w:t xml:space="preserve">MAGERIT: gestión de riesgos de Seguridad de la Información</w:t>
      </w:r>
      <w:r>
        <w:t xml:space="preserve">. Disponible en: </w:t>
      </w:r>
      <w:hyperlink w:history="1" r:id="rIdx29jfklqzmne8oo3v2its">
        <w:r>
          <w:rPr>
            <w:rStyle w:val="MdLink"/>
          </w:rPr>
          <w:t xml:space="preserve">https://www.piranirisk.com/es/blog/metodologia-magerit-gestion-riesgos-sistemas-de-informacion</w:t>
        </w:r>
      </w:hyperlink>
    </w:p>
    <w:p>
      <w:pPr>
        <w:pStyle w:val="MdListItem"/>
        <w:numPr>
          <w:ilvl w:val="0"/>
          <w:numId w:val="3"/>
        </w:numPr>
      </w:pPr>
      <w:r>
        <w:t xml:space="preserve">Gobierno de España. </w:t>
      </w:r>
      <w:r>
        <w:rPr>
          <w:rStyle w:val="MdEm"/>
          <w:i/>
          <w:iCs/>
        </w:rPr>
        <w:t xml:space="preserve">Esquema Nacional de Seguridad (ENS)</w:t>
      </w:r>
      <w:r>
        <w:t xml:space="preserve">. Disponible en: </w:t>
      </w:r>
      <w:hyperlink w:history="1" r:id="rIdkanvcfxtli7bomi7q0rvs">
        <w:r>
          <w:rPr>
            <w:rStyle w:val="MdLink"/>
          </w:rPr>
          <w:t xml:space="preserve">https://administracionelectronica.gob.es/ctt/ens</w:t>
        </w:r>
      </w:hyperlink>
    </w:p>
    <w:p>
      <w:pPr>
        <w:pStyle w:val="MdListItem"/>
        <w:numPr>
          <w:ilvl w:val="0"/>
          <w:numId w:val="3"/>
        </w:numPr>
      </w:pPr>
      <w:r>
        <w:t xml:space="preserve">Jaymon Security. </w:t>
      </w:r>
      <w:r>
        <w:rPr>
          <w:rStyle w:val="MdEm"/>
          <w:i/>
          <w:iCs/>
        </w:rPr>
        <w:t xml:space="preserve">Análisis de riesgos de una empresa - Práctica Magerit 3</w:t>
      </w:r>
      <w:r>
        <w:t xml:space="preserve">. Disponible en: </w:t>
      </w:r>
      <w:hyperlink w:history="1" r:id="rIduuchbyrwlb8hco-opaic7">
        <w:r>
          <w:rPr>
            <w:rStyle w:val="MdLink"/>
          </w:rPr>
          <w:t xml:space="preserve">https://jaymonsecurity.es/analisis-riesgos-empresa/</w:t>
        </w:r>
      </w:hyperlink>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tpv2rdzouxbnajc-bhdv" Type="http://schemas.openxmlformats.org/officeDocument/2006/relationships/hyperlink" Target="https://www.ccn-cert.cni.es/es/documentos-publicos/1789-magerit-libro-i-metodo/file?format=html" TargetMode="External"/><Relationship Id="rIdx29jfklqzmne8oo3v2its" Type="http://schemas.openxmlformats.org/officeDocument/2006/relationships/hyperlink" Target="https://www.piranirisk.com/es/blog/metodologia-magerit-gestion-riesgos-sistemas-de-informacion" TargetMode="External"/><Relationship Id="rIdkanvcfxtli7bomi7q0rvs" Type="http://schemas.openxmlformats.org/officeDocument/2006/relationships/hyperlink" Target="https://administracionelectronica.gob.es/ctt/ens" TargetMode="External"/><Relationship Id="rIduuchbyrwlb8hco-opaic7" Type="http://schemas.openxmlformats.org/officeDocument/2006/relationships/hyperlink" Target="https://jaymonsecurity.es/analisis-riesgos-empresa/" TargetMode="External"/><Relationship Id="rId10"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2025-10-31T17:25:33.445Z</dcterms:created>
  <dcterms:modified xsi:type="dcterms:W3CDTF">2025-10-31T17:25:33.445Z</dcterms:modified>
</cp:coreProperties>
</file>

<file path=docProps/custom.xml><?xml version="1.0" encoding="utf-8"?>
<Properties xmlns="http://schemas.openxmlformats.org/officeDocument/2006/custom-properties" xmlns:vt="http://schemas.openxmlformats.org/officeDocument/2006/docPropsVTypes"/>
</file>