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HarmoNet 원리 및 구조 설명서</w:t>
      </w:r>
    </w:p>
    <w:p>
      <w:pPr>
        <w:jc w:val="center"/>
      </w:pPr>
      <w:r>
        <w:t>작성일: 2026-06-15 | 테스트 결과 제외, 구조와 원리 중심</w:t>
      </w:r>
    </w:p>
    <w:p>
      <w:pPr>
        <w:pStyle w:val="Heading1"/>
      </w:pPr>
      <w:r>
        <w:t>1. 한 줄 정의</w:t>
      </w:r>
    </w:p>
    <w:p>
      <w:r>
        <w:t>HarmoNet은 모든 에이전트를 매번 호출하지 않고, 작업을 압축된 seed로 공유 필드에 투하한 뒤, 의미적으로 공명하는 에이전트만 선택적으로 활성화하는 토큰 효율형 멀티에이전트 런타임이다.</w:t>
      </w:r>
    </w:p>
    <w:p>
      <w:r>
        <w:rPr>
          <w:rFonts w:ascii="Consolas" w:hAnsi="Consolas"/>
          <w:sz w:val="17"/>
        </w:rPr>
        <w:t>HarmoNet = Seed encoding + Shared vector field + Resonance routing + Cheap validation + Sparse LLM activation</w:t>
      </w:r>
    </w:p>
    <w:p>
      <w:pPr>
        <w:pStyle w:val="Heading1"/>
      </w:pPr>
      <w:r>
        <w:t>2. 전체 구조</w:t>
      </w:r>
    </w:p>
    <w:p>
      <w:r>
        <w:drawing>
          <wp:inline xmlns:a="http://schemas.openxmlformats.org/drawingml/2006/main" xmlns:pic="http://schemas.openxmlformats.org/drawingml/2006/picture">
            <wp:extent cx="6126480" cy="31169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runtime_lo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1698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구성요소</w:t>
            </w:r>
          </w:p>
        </w:tc>
        <w:tc>
          <w:tcPr>
            <w:tcW w:type="dxa" w:w="5040"/>
          </w:tcPr>
          <w:p>
            <w:r>
              <w:rPr>
                <w:b/>
              </w:rPr>
              <w:t>역할</w:t>
            </w:r>
          </w:p>
        </w:tc>
      </w:tr>
      <w:tr>
        <w:tc>
          <w:tcPr>
            <w:tcW w:type="dxa" w:w="5040"/>
          </w:tcPr>
          <w:p>
            <w:r>
              <w:t>SeedEncoder</w:t>
            </w:r>
          </w:p>
        </w:tc>
        <w:tc>
          <w:tcPr>
            <w:tcW w:type="dxa" w:w="5040"/>
          </w:tcPr>
          <w:p>
            <w:r>
              <w:t>자연어 작업을 frequency, payload, energy, phase를 가진 seed로 변환</w:t>
            </w:r>
          </w:p>
        </w:tc>
      </w:tr>
      <w:tr>
        <w:tc>
          <w:tcPr>
            <w:tcW w:type="dxa" w:w="5040"/>
          </w:tcPr>
          <w:p>
            <w:r>
              <w:t>DataUniverseField</w:t>
            </w:r>
          </w:p>
        </w:tc>
        <w:tc>
          <w:tcPr>
            <w:tcW w:type="dxa" w:w="5040"/>
          </w:tcPr>
          <w:p>
            <w:r>
              <w:t>seed가 투하되는 공유 벡터 필드</w:t>
            </w:r>
          </w:p>
        </w:tc>
      </w:tr>
      <w:tr>
        <w:tc>
          <w:tcPr>
            <w:tcW w:type="dxa" w:w="5040"/>
          </w:tcPr>
          <w:p>
            <w:r>
              <w:t>ResonanceDetector</w:t>
            </w:r>
          </w:p>
        </w:tc>
        <w:tc>
          <w:tcPr>
            <w:tcW w:type="dxa" w:w="5040"/>
          </w:tcPr>
          <w:p>
            <w:r>
              <w:t>에이전트와 seed의 의미적/위상적 공명 여부 판단</w:t>
            </w:r>
          </w:p>
        </w:tc>
      </w:tr>
      <w:tr>
        <w:tc>
          <w:tcPr>
            <w:tcW w:type="dxa" w:w="5040"/>
          </w:tcPr>
          <w:p>
            <w:r>
              <w:t>KuraMotoCoupler</w:t>
            </w:r>
          </w:p>
        </w:tc>
        <w:tc>
          <w:tcPr>
            <w:tcW w:type="dxa" w:w="5040"/>
          </w:tcPr>
          <w:p>
            <w:r>
              <w:t>에이전트 phase 동기화 모델</w:t>
            </w:r>
          </w:p>
        </w:tc>
      </w:tr>
      <w:tr>
        <w:tc>
          <w:tcPr>
            <w:tcW w:type="dxa" w:w="5040"/>
          </w:tcPr>
          <w:p>
            <w:r>
              <w:t>SOCController</w:t>
            </w:r>
          </w:p>
        </w:tc>
        <w:tc>
          <w:tcPr>
            <w:tcW w:type="dxa" w:w="5040"/>
          </w:tcPr>
          <w:p>
            <w:r>
              <w:t>과부하 시 작업을 이웃 에이전트로 분산</w:t>
            </w:r>
          </w:p>
        </w:tc>
      </w:tr>
      <w:tr>
        <w:tc>
          <w:tcPr>
            <w:tcW w:type="dxa" w:w="5040"/>
          </w:tcPr>
          <w:p>
            <w:r>
              <w:t>Redis/FAISS</w:t>
            </w:r>
          </w:p>
        </w:tc>
        <w:tc>
          <w:tcPr>
            <w:tcW w:type="dxa" w:w="5040"/>
          </w:tcPr>
          <w:p>
            <w:r>
              <w:t>공유 상태 저장과 vector search 가속</w:t>
            </w:r>
          </w:p>
        </w:tc>
      </w:tr>
    </w:tbl>
    <w:p>
      <w:pPr>
        <w:pStyle w:val="Heading1"/>
      </w:pPr>
      <w:r>
        <w:t>3. Seed 모델</w:t>
      </w:r>
    </w:p>
    <w:p>
      <w:r>
        <w:rPr>
          <w:rFonts w:ascii="Consolas" w:hAnsi="Consolas"/>
          <w:sz w:val="17"/>
        </w:rPr>
        <w:t>Seed S = (id, creator, f, p, r, e, theta, t, ttl, metadata)</w:t>
        <w:br/>
        <w:t>field_vector = payload * energy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기호</w:t>
            </w:r>
          </w:p>
        </w:tc>
        <w:tc>
          <w:tcPr>
            <w:tcW w:type="dxa" w:w="3360"/>
          </w:tcPr>
          <w:p>
            <w:r>
              <w:rPr>
                <w:b/>
              </w:rPr>
              <w:t>코드 필드</w:t>
            </w:r>
          </w:p>
        </w:tc>
        <w:tc>
          <w:tcPr>
            <w:tcW w:type="dxa" w:w="3360"/>
          </w:tcPr>
          <w:p>
            <w:r>
              <w:rPr>
                <w:b/>
              </w:rPr>
              <w:t>의미</w:t>
            </w:r>
          </w:p>
        </w:tc>
      </w:tr>
      <w:tr>
        <w:tc>
          <w:tcPr>
            <w:tcW w:type="dxa" w:w="3360"/>
          </w:tcPr>
          <w:p>
            <w:r>
              <w:t>f</w:t>
            </w:r>
          </w:p>
        </w:tc>
        <w:tc>
          <w:tcPr>
            <w:tcW w:type="dxa" w:w="3360"/>
          </w:tcPr>
          <w:p>
            <w:r>
              <w:t>frequency</w:t>
            </w:r>
          </w:p>
        </w:tc>
        <w:tc>
          <w:tcPr>
            <w:tcW w:type="dxa" w:w="3360"/>
          </w:tcPr>
          <w:p>
            <w:r>
              <w:t>작업 도메인 주파수 벡터</w:t>
            </w:r>
          </w:p>
        </w:tc>
      </w:tr>
      <w:tr>
        <w:tc>
          <w:tcPr>
            <w:tcW w:type="dxa" w:w="3360"/>
          </w:tcPr>
          <w:p>
            <w:r>
              <w:t>p</w:t>
            </w:r>
          </w:p>
        </w:tc>
        <w:tc>
          <w:tcPr>
            <w:tcW w:type="dxa" w:w="3360"/>
          </w:tcPr>
          <w:p>
            <w:r>
              <w:t>payload</w:t>
            </w:r>
          </w:p>
        </w:tc>
        <w:tc>
          <w:tcPr>
            <w:tcW w:type="dxa" w:w="3360"/>
          </w:tcPr>
          <w:p>
            <w:r>
              <w:t>작업 내용의 압축 벡터</w:t>
            </w:r>
          </w:p>
        </w:tc>
      </w:tr>
      <w:tr>
        <w:tc>
          <w:tcPr>
            <w:tcW w:type="dxa" w:w="3360"/>
          </w:tcPr>
          <w:p>
            <w:r>
              <w:t>e</w:t>
            </w:r>
          </w:p>
        </w:tc>
        <w:tc>
          <w:tcPr>
            <w:tcW w:type="dxa" w:w="3360"/>
          </w:tcPr>
          <w:p>
            <w:r>
              <w:t>energy</w:t>
            </w:r>
          </w:p>
        </w:tc>
        <w:tc>
          <w:tcPr>
            <w:tcW w:type="dxa" w:w="3360"/>
          </w:tcPr>
          <w:p>
            <w:r>
              <w:t>필드에 미치는 영향 강도</w:t>
            </w:r>
          </w:p>
        </w:tc>
      </w:tr>
      <w:tr>
        <w:tc>
          <w:tcPr>
            <w:tcW w:type="dxa" w:w="3360"/>
          </w:tcPr>
          <w:p>
            <w:r>
              <w:t>theta</w:t>
            </w:r>
          </w:p>
        </w:tc>
        <w:tc>
          <w:tcPr>
            <w:tcW w:type="dxa" w:w="3360"/>
          </w:tcPr>
          <w:p>
            <w:r>
              <w:t>phase</w:t>
            </w:r>
          </w:p>
        </w:tc>
        <w:tc>
          <w:tcPr>
            <w:tcW w:type="dxa" w:w="3360"/>
          </w:tcPr>
          <w:p>
            <w:r>
              <w:t>생성 시점의 에이전트 phase</w:t>
            </w:r>
          </w:p>
        </w:tc>
      </w:tr>
      <w:tr>
        <w:tc>
          <w:tcPr>
            <w:tcW w:type="dxa" w:w="3360"/>
          </w:tcPr>
          <w:p>
            <w:r>
              <w:t>ttl</w:t>
            </w:r>
          </w:p>
        </w:tc>
        <w:tc>
          <w:tcPr>
            <w:tcW w:type="dxa" w:w="3360"/>
          </w:tcPr>
          <w:p>
            <w:r>
              <w:t>ttl_seconds</w:t>
            </w:r>
          </w:p>
        </w:tc>
        <w:tc>
          <w:tcPr>
            <w:tcW w:type="dxa" w:w="3360"/>
          </w:tcPr>
          <w:p>
            <w:r>
              <w:t>seed 생존 시간</w:t>
            </w:r>
          </w:p>
        </w:tc>
      </w:tr>
    </w:tbl>
    <w:p>
      <w:pPr>
        <w:pStyle w:val="Heading1"/>
      </w:pPr>
      <w:r>
        <w:t>4. Seed Encoding</w:t>
      </w:r>
    </w:p>
    <w:p>
      <w:r>
        <w:rPr>
          <w:rFonts w:ascii="Consolas" w:hAnsi="Consolas"/>
          <w:sz w:val="17"/>
        </w:rPr>
        <w:t>raw_f = mean(embed(tag_1), ..., embed(tag_n))</w:t>
        <w:br/>
        <w:t>f = normalize(raw_f)</w:t>
        <w:br/>
        <w:t>p = normalize(embed(task_description))</w:t>
        <w:br/>
        <w:t>complexity = min(1.0, word_count(task_description) / 50)</w:t>
        <w:br/>
        <w:t>energy = 0.3 + 0.7 * complexity</w:t>
      </w:r>
    </w:p>
    <w:p>
      <w:r>
        <w:t>frequency는 에이전트 전문 영역과의 매칭에 쓰이고, payload는 실제 작업 내용을 압축한 방향 벡터로 쓰인다. energy는 작업 복잡도에 따라 필드에 미치는 강도를 조정한다.</w:t>
      </w:r>
    </w:p>
    <w:p>
      <w:pPr>
        <w:pStyle w:val="Heading1"/>
      </w:pPr>
      <w:r>
        <w:t>5. DataUniverseField</w:t>
      </w:r>
    </w:p>
    <w:p>
      <w:r>
        <w:rPr>
          <w:rFonts w:ascii="Consolas" w:hAnsi="Consolas"/>
          <w:sz w:val="17"/>
        </w:rPr>
        <w:t>Phi in R^(grid_size x dim)</w:t>
        <w:br/>
        <w:t>for k in {-2,-1,0,1,2}:</w:t>
        <w:br/>
        <w:t xml:space="preserve">    Phi[x+k] += e * p * exp(-0.5*k^2)</w:t>
        <w:br/>
        <w:br/>
        <w:t>Phi(t+dt) = Phi(t) + dt*D*Laplacian(Phi(t)) - dt*lambda*Phi(t)</w:t>
        <w:br/>
        <w:t>Laplacian(Phi_i) = Phi_(i-1) + Phi_(i+1) - 2*Phi_i</w:t>
        <w:br/>
        <w:t>E_global = sum(Phi^2)</w:t>
      </w:r>
    </w:p>
    <w:p>
      <w:r>
        <w:t>seed는 하나의 위치에만 영향을 주지 않고 주변 위치에도 Gaussian 형태로 번진다. 이후 diffusion은 정보 확산을, decay는 오래된 신호의 자연 소멸을 담당한다.</w:t>
      </w:r>
    </w:p>
    <w:p>
      <w:pPr>
        <w:pStyle w:val="Heading1"/>
      </w:pPr>
      <w:r>
        <w:t>6. Resonance Routing</w:t>
      </w:r>
    </w:p>
    <w:p>
      <w:r>
        <w:rPr>
          <w:rFonts w:ascii="Consolas" w:hAnsi="Consolas"/>
          <w:sz w:val="17"/>
        </w:rPr>
        <w:t>sim = dot(omega_agent, normalize(f_seed))</w:t>
        <w:br/>
        <w:t>dtheta = abs(theta_agent - theta_seed) mod 2*pi</w:t>
        <w:br/>
        <w:t>phase_diff = min(dtheta, 2*pi - dtheta)</w:t>
        <w:br/>
        <w:t>coherence = max(0, cos(phase_diff))</w:t>
        <w:br/>
        <w:t>effective_coherence = max(0.2, coherence)</w:t>
        <w:br/>
        <w:t>strength = sim * effective_coherence * exp(-0.1 * distance)</w:t>
        <w:br/>
        <w:t>accept if sim &gt;= delta</w:t>
      </w:r>
    </w:p>
    <w:p>
      <w:r>
        <w:t>HarmoNet은 의미 유사도만 보지 않는다. phase coherence와 field 거리까지 반영해 최종 공명 강도를 계산한다.</w:t>
      </w:r>
    </w:p>
    <w:p>
      <w:pPr>
        <w:pStyle w:val="Heading1"/>
      </w:pPr>
      <w:r>
        <w:t>7. Adaptive Delta</w:t>
      </w:r>
    </w:p>
    <w:p>
      <w:r>
        <w:rPr>
          <w:rFonts w:ascii="Consolas" w:hAnsi="Consolas"/>
          <w:sz w:val="17"/>
        </w:rPr>
        <w:t>resonance_rate = resonance_count / candidate_count</w:t>
        <w:br/>
        <w:t>if resonance_rate &gt; 0.5:</w:t>
        <w:br/>
        <w:t xml:space="preserve">    delta = min(delta_max, delta + 0.02)</w:t>
        <w:br/>
        <w:t>if resonance_rate &lt; 0.05 and p70_similarity &lt; delta - 0.1:</w:t>
        <w:br/>
        <w:t xml:space="preserve">    delta = max(delta_min, delta - 0.02)</w:t>
        <w:br/>
        <w:t>delta_min = 0.05, delta_max = 0.95</w:t>
      </w:r>
    </w:p>
    <w:p>
      <w:r>
        <w:t>threshold가 너무 낮으면 너무 많은 에이전트가 깨어나고, 너무 높으면 아무도 반응하지 않는다. Adaptive delta는 이 균형을 자동으로 조정한다.</w:t>
      </w:r>
    </w:p>
    <w:p>
      <w:pPr>
        <w:pStyle w:val="Heading1"/>
      </w:pPr>
      <w:r>
        <w:t>8. Kuramoto Coupler</w:t>
      </w:r>
    </w:p>
    <w:p>
      <w:r>
        <w:rPr>
          <w:rFonts w:ascii="Consolas" w:hAnsi="Consolas"/>
          <w:sz w:val="17"/>
        </w:rPr>
        <w:t>dtheta_i/dt = omega_i + (K/N) * sum_j sin(theta_j - theta_i)</w:t>
        <w:br/>
        <w:t>r * exp(i*psi) = (1/N) * sum_j exp(i*theta_j)</w:t>
        <w:br/>
        <w:t>K = base_K * (1.5 - r)</w:t>
        <w:br/>
        <w:t>coupling_sum_i = N * r * sin(psi - theta_i)</w:t>
      </w:r>
    </w:p>
    <w:p>
      <w:r>
        <w:t>Kuramoto 모델은 에이전트 phase가 완전히 흩어지거나 과도하게 몰리지 않도록 조정한다. order parameter를 사용해 O(N^2) 상호작용을 O(N) 계산으로 줄인다.</w:t>
      </w:r>
    </w:p>
    <w:p>
      <w:pPr>
        <w:pStyle w:val="Heading1"/>
      </w:pPr>
      <w:r>
        <w:t>9. TDA 공명 검증</w:t>
      </w:r>
    </w:p>
    <w:p>
      <w:r>
        <w:rPr>
          <w:rFonts w:ascii="Consolas" w:hAnsi="Consolas"/>
          <w:sz w:val="17"/>
        </w:rPr>
        <w:t>energy_change = norm(after_snapshot - before_snapshot)</w:t>
        <w:br/>
        <w:t>if energy_change &lt; 1e-6: skip TDA</w:t>
        <w:br/>
        <w:br/>
        <w:t>Z_before = linkage(before, method='single')</w:t>
        <w:br/>
        <w:t>Z_after = linkage(after, method='single')</w:t>
        <w:br/>
        <w:t>deaths_before = sort(Z_before[:, 2])</w:t>
        <w:br/>
        <w:t>deaths_after = sort(Z_after[:, 2])</w:t>
        <w:br/>
        <w:t>W = sum(abs(deaths_before - deaths_after))</w:t>
        <w:br/>
        <w:t>is_valid = W &gt; 0.05</w:t>
      </w:r>
    </w:p>
    <w:p>
      <w:r>
        <w:t>TDA는 field 변화가 구조적으로 의미 있는 변화인지 보는 보조 검증이다. Betti-0 persistent homology를 single linkage 기반으로 근사한다.</w:t>
      </w:r>
    </w:p>
    <w:p>
      <w:pPr>
        <w:pStyle w:val="Heading1"/>
      </w:pPr>
      <w:r>
        <w:t>10. SOC Controller</w:t>
      </w:r>
    </w:p>
    <w:p>
      <w:r>
        <w:rPr>
          <w:rFonts w:ascii="Consolas" w:hAnsi="Consolas"/>
          <w:sz w:val="17"/>
        </w:rPr>
        <w:t>if load(agent) &gt; threshold:</w:t>
        <w:br/>
        <w:t xml:space="preserve">    spill = load(agent) * 0.5</w:t>
        <w:br/>
        <w:t xml:space="preserve">    per_neighbor = spill / number_of_neighbors</w:t>
        <w:br/>
        <w:t xml:space="preserve">    load(neighbor) += per_neighbor</w:t>
        <w:br/>
        <w:t xml:space="preserve">    load(agent) -= spill</w:t>
        <w:br/>
        <w:br/>
        <w:t>P(s) ~ s^(-alpha)</w:t>
        <w:br/>
        <w:t>log P(s) = -alpha * log s + C</w:t>
      </w:r>
    </w:p>
    <w:p>
      <w:r>
        <w:t>SOCController는 특정 에이전트에 부하가 몰릴 때 일부 부하를 다른 에이전트로 분산한다. 이는 극단적 집중과 starvation을 줄이기 위한 장치다.</w:t>
      </w:r>
    </w:p>
    <w:p>
      <w:pPr>
        <w:pStyle w:val="Heading1"/>
      </w:pPr>
      <w:r>
        <w:t>11. v2 Sparse Scheduler</w:t>
      </w:r>
    </w:p>
    <w:p>
      <w:r>
        <w:drawing>
          <wp:inline xmlns:a="http://schemas.openxmlformats.org/drawingml/2006/main" xmlns:pic="http://schemas.openxmlformats.org/drawingml/2006/picture">
            <wp:extent cx="6035040" cy="3017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rse_schedul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/>
          <w:sz w:val="17"/>
        </w:rPr>
        <w:t>risk = min(1.0, 0.25 + 0.18 * max(1, complexity))</w:t>
        <w:br/>
        <w:t>if patch_task: risk = max(risk, 0.90)</w:t>
        <w:br/>
        <w:t>if open_ended: risk = max(risk, 0.72)</w:t>
        <w:br/>
        <w:t>if len(prompt) &gt; 6000: risk = min(1.0, risk + 0.12)</w:t>
        <w:br/>
        <w:br/>
        <w:t>validator_required = open_ended or (risk &gt;= validator_threshold and not executable_code)</w:t>
        <w:br/>
        <w:t>repair_allowed = patch_task or executable_code</w:t>
      </w:r>
    </w:p>
    <w:p>
      <w:r>
        <w:t>v2는 builder를 먼저 호출하고, cheap validation으로 충분하면 종료한다. 필요할 때만 repair나 validator를 실행한다.</w:t>
      </w:r>
    </w:p>
    <w:p>
      <w:pPr>
        <w:pStyle w:val="Heading1"/>
      </w:pPr>
      <w:r>
        <w:t>12. Cheap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작업 유형</w:t>
            </w:r>
          </w:p>
        </w:tc>
        <w:tc>
          <w:tcPr>
            <w:tcW w:type="dxa" w:w="5040"/>
          </w:tcPr>
          <w:p>
            <w:r>
              <w:rPr>
                <w:b/>
              </w:rPr>
              <w:t>검증 방식</w:t>
            </w:r>
          </w:p>
        </w:tc>
      </w:tr>
      <w:tr>
        <w:tc>
          <w:tcPr>
            <w:tcW w:type="dxa" w:w="5040"/>
          </w:tcPr>
          <w:p>
            <w:r>
              <w:t>Patch</w:t>
            </w:r>
          </w:p>
        </w:tc>
        <w:tc>
          <w:tcPr>
            <w:tcW w:type="dxa" w:w="5040"/>
          </w:tcPr>
          <w:p>
            <w:r>
              <w:t>unified diff 존재, diff --git 시작, marker 포함 여부</w:t>
            </w:r>
          </w:p>
        </w:tc>
      </w:tr>
      <w:tr>
        <w:tc>
          <w:tcPr>
            <w:tcW w:type="dxa" w:w="5040"/>
          </w:tcPr>
          <w:p>
            <w:r>
              <w:t>Executable code</w:t>
            </w:r>
          </w:p>
        </w:tc>
        <w:tc>
          <w:tcPr>
            <w:tcW w:type="dxa" w:w="5040"/>
          </w:tcPr>
          <w:p>
            <w:r>
              <w:t>코드 추출, AST parse, required function 존재 여부</w:t>
            </w:r>
          </w:p>
        </w:tc>
      </w:tr>
      <w:tr>
        <w:tc>
          <w:tcPr>
            <w:tcW w:type="dxa" w:w="5040"/>
          </w:tcPr>
          <w:p>
            <w:r>
              <w:t>Open-ended</w:t>
            </w:r>
          </w:p>
        </w:tc>
        <w:tc>
          <w:tcPr>
            <w:tcW w:type="dxa" w:w="5040"/>
          </w:tcPr>
          <w:p>
            <w:r>
              <w:t>keyword hit rate가 threshold 이상인지 확인</w:t>
            </w:r>
          </w:p>
        </w:tc>
      </w:tr>
    </w:tbl>
    <w:p>
      <w:r>
        <w:rPr>
          <w:rFonts w:ascii="Consolas" w:hAnsi="Consolas"/>
          <w:sz w:val="17"/>
        </w:rPr>
        <w:t>hit_rate = keyword_hits / keyword_total</w:t>
        <w:br/>
        <w:t>ok = hit_rate &gt;= keyword_threshold</w:t>
      </w:r>
    </w:p>
    <w:p>
      <w:pPr>
        <w:pStyle w:val="Heading1"/>
      </w:pPr>
      <w:r>
        <w:t>13. 토큰 절감 원리</w:t>
      </w:r>
    </w:p>
    <w:p>
      <w:r>
        <w:rPr>
          <w:rFonts w:ascii="Consolas" w:hAnsi="Consolas"/>
          <w:sz w:val="17"/>
        </w:rPr>
        <w:t>total_tokens = sum(prompt_tokens_i + completion_tokens_i)</w:t>
        <w:br/>
        <w:t>T_traditional = T_planner + T_builder + T_reviewer + T_critic + T_summarizer</w:t>
        <w:br/>
        <w:t>T_harmonet = T_builder + optional(T_repair) + optional(T_validator)</w:t>
        <w:br/>
        <w:t>efficiency_gain = fewer_calls + shorter_prompts + shorter_outputs + cheap_static_checks</w:t>
      </w:r>
    </w:p>
    <w:p>
      <w:r>
        <w:t>HarmoNet의 효율은 호출 수 감소, 짧은 프롬프트, 짧은 출력, 정적 검증 선행에서 나온다. 정확도를 보장하는 마법이 아니라, 비싼 판단을 최대한 늦추고 필요한 경우에만 실행하는 구조다.</w:t>
      </w:r>
    </w:p>
    <w:p>
      <w:pPr>
        <w:pStyle w:val="Heading1"/>
      </w:pPr>
      <w:r>
        <w:t>14. Redis와 FAISS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구성</w:t>
            </w:r>
          </w:p>
        </w:tc>
        <w:tc>
          <w:tcPr>
            <w:tcW w:type="dxa" w:w="5040"/>
          </w:tcPr>
          <w:p>
            <w:r>
              <w:rPr>
                <w:b/>
              </w:rPr>
              <w:t>역할</w:t>
            </w:r>
          </w:p>
        </w:tc>
      </w:tr>
      <w:tr>
        <w:tc>
          <w:tcPr>
            <w:tcW w:type="dxa" w:w="5040"/>
          </w:tcPr>
          <w:p>
            <w:r>
              <w:t>Redis</w:t>
            </w:r>
          </w:p>
        </w:tc>
        <w:tc>
          <w:tcPr>
            <w:tcW w:type="dxa" w:w="5040"/>
          </w:tcPr>
          <w:p>
            <w:r>
              <w:t>field, seed registry, seed position, claim lock 공유</w:t>
            </w:r>
          </w:p>
        </w:tc>
      </w:tr>
      <w:tr>
        <w:tc>
          <w:tcPr>
            <w:tcW w:type="dxa" w:w="5040"/>
          </w:tcPr>
          <w:p>
            <w:r>
              <w:t>SETNX</w:t>
            </w:r>
          </w:p>
        </w:tc>
        <w:tc>
          <w:tcPr>
            <w:tcW w:type="dxa" w:w="5040"/>
          </w:tcPr>
          <w:p>
            <w:r>
              <w:t>동일 seed 중복 처리 방지</w:t>
            </w:r>
          </w:p>
        </w:tc>
      </w:tr>
      <w:tr>
        <w:tc>
          <w:tcPr>
            <w:tcW w:type="dxa" w:w="5040"/>
          </w:tcPr>
          <w:p>
            <w:r>
              <w:t>FAISS</w:t>
            </w:r>
          </w:p>
        </w:tc>
        <w:tc>
          <w:tcPr>
            <w:tcW w:type="dxa" w:w="5040"/>
          </w:tcPr>
          <w:p>
            <w:r>
              <w:t>frequency vector 기반 후보 seed 검색</w:t>
            </w:r>
          </w:p>
        </w:tc>
      </w:tr>
      <w:tr>
        <w:tc>
          <w:tcPr>
            <w:tcW w:type="dxa" w:w="5040"/>
          </w:tcPr>
          <w:p>
            <w:r>
              <w:t>Fallback</w:t>
            </w:r>
          </w:p>
        </w:tc>
        <w:tc>
          <w:tcPr>
            <w:tcW w:type="dxa" w:w="5040"/>
          </w:tcPr>
          <w:p>
            <w:r>
              <w:t>Redis/FAISS가 없어도 local memory/brute-force로 동작</w:t>
            </w:r>
          </w:p>
        </w:tc>
      </w:tr>
    </w:tbl>
    <w:p>
      <w:r>
        <w:rPr>
          <w:rFonts w:ascii="Consolas" w:hAnsi="Consolas"/>
          <w:sz w:val="17"/>
        </w:rPr>
        <w:t>SET key value NX EX ttl</w:t>
        <w:br/>
        <w:t>cosine(a,b) = dot(normalize(a), normalize(b))</w:t>
      </w:r>
    </w:p>
    <w:p>
      <w:pPr>
        <w:pStyle w:val="Heading1"/>
      </w:pPr>
      <w:r>
        <w:t>15. LangGraph식 구조와 차이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관점</w:t>
            </w:r>
          </w:p>
        </w:tc>
        <w:tc>
          <w:tcPr>
            <w:tcW w:type="dxa" w:w="3360"/>
          </w:tcPr>
          <w:p>
            <w:r>
              <w:rPr>
                <w:b/>
              </w:rPr>
              <w:t>LangGraph식 접근</w:t>
            </w:r>
          </w:p>
        </w:tc>
        <w:tc>
          <w:tcPr>
            <w:tcW w:type="dxa" w:w="3360"/>
          </w:tcPr>
          <w:p>
            <w:r>
              <w:rPr>
                <w:b/>
              </w:rPr>
              <w:t>HarmoNet식 접근</w:t>
            </w:r>
          </w:p>
        </w:tc>
      </w:tr>
      <w:tr>
        <w:tc>
          <w:tcPr>
            <w:tcW w:type="dxa" w:w="3360"/>
          </w:tcPr>
          <w:p>
            <w:r>
              <w:t>제어 방식</w:t>
            </w:r>
          </w:p>
        </w:tc>
        <w:tc>
          <w:tcPr>
            <w:tcW w:type="dxa" w:w="3360"/>
          </w:tcPr>
          <w:p>
            <w:r>
              <w:t>명시적 그래프/상태 전이</w:t>
            </w:r>
          </w:p>
        </w:tc>
        <w:tc>
          <w:tcPr>
            <w:tcW w:type="dxa" w:w="3360"/>
          </w:tcPr>
          <w:p>
            <w:r>
              <w:t>공명 기반 선택적 활성화</w:t>
            </w:r>
          </w:p>
        </w:tc>
      </w:tr>
      <w:tr>
        <w:tc>
          <w:tcPr>
            <w:tcW w:type="dxa" w:w="3360"/>
          </w:tcPr>
          <w:p>
            <w:r>
              <w:t>장점</w:t>
            </w:r>
          </w:p>
        </w:tc>
        <w:tc>
          <w:tcPr>
            <w:tcW w:type="dxa" w:w="3360"/>
          </w:tcPr>
          <w:p>
            <w:r>
              <w:t>경로가 명확하고 디버깅 쉬움</w:t>
            </w:r>
          </w:p>
        </w:tc>
        <w:tc>
          <w:tcPr>
            <w:tcW w:type="dxa" w:w="3360"/>
          </w:tcPr>
          <w:p>
            <w:r>
              <w:t>호출 수와 참여 에이전트 수를 줄이기 쉬움</w:t>
            </w:r>
          </w:p>
        </w:tc>
      </w:tr>
      <w:tr>
        <w:tc>
          <w:tcPr>
            <w:tcW w:type="dxa" w:w="3360"/>
          </w:tcPr>
          <w:p>
            <w:r>
              <w:t>약점</w:t>
            </w:r>
          </w:p>
        </w:tc>
        <w:tc>
          <w:tcPr>
            <w:tcW w:type="dxa" w:w="3360"/>
          </w:tcPr>
          <w:p>
            <w:r>
              <w:t>그래프가 커지면 호출/상태 관리 증가</w:t>
            </w:r>
          </w:p>
        </w:tc>
        <w:tc>
          <w:tcPr>
            <w:tcW w:type="dxa" w:w="3360"/>
          </w:tcPr>
          <w:p>
            <w:r>
              <w:t>명시적 분기 제어는 상대적으로 약함</w:t>
            </w:r>
          </w:p>
        </w:tc>
      </w:tr>
      <w:tr>
        <w:tc>
          <w:tcPr>
            <w:tcW w:type="dxa" w:w="3360"/>
          </w:tcPr>
          <w:p>
            <w:r>
              <w:t>적합한 작업</w:t>
            </w:r>
          </w:p>
        </w:tc>
        <w:tc>
          <w:tcPr>
            <w:tcW w:type="dxa" w:w="3360"/>
          </w:tcPr>
          <w:p>
            <w:r>
              <w:t>복잡한 절차형 workflow</w:t>
            </w:r>
          </w:p>
        </w:tc>
        <w:tc>
          <w:tcPr>
            <w:tcW w:type="dxa" w:w="3360"/>
          </w:tcPr>
          <w:p>
            <w:r>
              <w:t>비용 민감형 multi-agent routing</w:t>
            </w:r>
          </w:p>
        </w:tc>
      </w:tr>
    </w:tbl>
    <w:p>
      <w:pPr>
        <w:pStyle w:val="Heading1"/>
      </w:pPr>
      <w:r>
        <w:t>16. 설계상 한계</w:t>
      </w:r>
    </w:p>
    <w:p>
      <w:r>
        <w:t>정확한 절차 제어가 필요한 workflow에는 명시적 그래프가 더 적합할 수 있다.</w:t>
      </w:r>
    </w:p>
    <w:p>
      <w:r>
        <w:t>테스트가 없는 open-ended 작업에서는 cheap validation의 신뢰도가 제한된다.</w:t>
      </w:r>
    </w:p>
    <w:p>
      <w:r>
        <w:t>resonance threshold, risk threshold, keyword threshold는 도메인별 tuning이 필요하다.</w:t>
      </w:r>
    </w:p>
    <w:p>
      <w:r>
        <w:t>TDA 검증은 field 구조 변화의 근사 검증이지 의미 품질의 완전 보장은 아니다.</w:t>
      </w:r>
    </w:p>
    <w:p>
      <w:r>
        <w:t>field/resonance 개념은 강력하지만 디버깅 설명 비용이 있다.</w:t>
      </w:r>
    </w:p>
    <w:p>
      <w:pPr>
        <w:pStyle w:val="Heading1"/>
      </w:pPr>
      <w:r>
        <w:t>17. 최종 요약</w:t>
      </w:r>
    </w:p>
    <w:p>
      <w:r>
        <w:rPr>
          <w:rFonts w:ascii="Consolas" w:hAnsi="Consolas"/>
          <w:sz w:val="17"/>
        </w:rPr>
        <w:t>Seed = encode(task)</w:t>
        <w:br/>
        <w:t>Field = Field + deposit(Seed)</w:t>
        <w:br/>
        <w:t>Candidates = search(Field, agent_domain)</w:t>
        <w:br/>
        <w:t>Resonance = semantic_similarity * phase_coherence * distance_decay</w:t>
        <w:br/>
        <w:t>Execute only if Resonance &gt;= threshold</w:t>
        <w:br/>
        <w:t>Validate cheaply before invoking more agents</w:t>
      </w:r>
    </w:p>
    <w:p>
      <w:r>
        <w:t>HarmoNet의 핵심 질문은 '멀티에이전트 품질을 유지하면서 불필요한 LLM 호출을 얼마나 줄일 수 있는가'이다. 그 답으로 seed, field, resonance, cheap validation, sparse activation을 결합한다.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