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5211E191" w14:textId="77777777" w:rsidR="00B356F9" w:rsidRDefault="00B356F9" w:rsidP="006572DC">
      <w:pPr>
        <w:spacing w:line="0" w:lineRule="atLeast"/>
        <w:rPr>
          <w:rFonts w:ascii="Arial" w:eastAsia="Arial" w:hAnsi="Arial"/>
        </w:rPr>
        <w:sectPr w:rsidR="00B356F9">
          <w:pgSz w:w="12240" w:h="15840"/>
          <w:pgMar w:top="400" w:right="1440" w:bottom="305" w:left="1440" w:header="0" w:footer="0" w:gutter="0"/>
          <w:cols w:space="0" w:equalWidth="0">
            <w:col w:w="9360"/>
          </w:cols>
          <w:docGrid w:linePitch="360"/>
        </w:sectPr>
      </w:pP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C1] </w:t>
      </w:r>
      <w:r>
        <w:rPr>
          <w:rFonts w:eastAsia="Times New Roman" w:cs="Courier New"/>
          <w:i/>
        </w:rPr>
        <w:tab/>
      </w:r>
      <w:r w:rsidRPr="002E0AFB">
        <w:rPr>
          <w:rFonts w:eastAsia="Times New Roman" w:cs="Courier New"/>
          <w:i/>
        </w:rPr>
        <w:t>[major comment : clarity of presentation]</w:t>
      </w:r>
      <w:r>
        <w:rPr>
          <w:rFonts w:eastAsia="Times New Roman" w:cs="Courier New"/>
          <w:i/>
        </w:rPr>
        <w:t xml:space="preserve"> </w:t>
      </w:r>
      <w:r w:rsidRPr="002E0AFB">
        <w:rPr>
          <w:rFonts w:eastAsia="Times New Roman" w:cs="Courier New"/>
          <w:i/>
        </w:rPr>
        <w:t>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02B263D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2E0AFB">
        <w:rPr>
          <w:rFonts w:eastAsia="Times New Roman" w:cs="Courier New"/>
          <w:color w:val="FF0000"/>
        </w:rPr>
        <w:t>“Add relevant text here”</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0AE5EAA4"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 xml:space="preserve">The following text was added in the introduction: </w:t>
      </w:r>
      <w:r w:rsidR="003F41A5">
        <w:rPr>
          <w:rFonts w:eastAsia="Times New Roman" w:cs="Courier New"/>
        </w:rPr>
        <w:t>“</w:t>
      </w:r>
      <w:r w:rsidR="00260E8F" w:rsidRPr="00260E8F">
        <w:rPr>
          <w:rFonts w:eastAsia="Times New Roman" w:cs="Courier New"/>
        </w:rPr>
        <w:t>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The perfectly closed loop control 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r w:rsidR="003F41A5">
        <w:rPr>
          <w:rFonts w:eastAsia="Times New Roman" w:cs="Courier New"/>
        </w:rPr>
        <w:t>”</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1"/>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 xml:space="preserve">In the perfectly closed loop system, the magnetic gradient direction is changed when the sphere hits the impact plate and when the spring reaches full compression. These two moments also corresponds </w:t>
      </w:r>
      <w:r w:rsidRPr="00076F5B">
        <w:rPr>
          <w:rFonts w:eastAsia="Times New Roman" w:cs="Courier New"/>
        </w:rPr>
        <w:lastRenderedPageBreak/>
        <w:t>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
      <w:r>
        <w:rPr>
          <w:rStyle w:val="CommentReference"/>
        </w:rPr>
        <w:commentReference w:id="1"/>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2E0AFB">
        <w:rPr>
          <w:rFonts w:eastAsia="Times New Roman" w:cs="Courier New"/>
          <w:i/>
        </w:rPr>
        <w:t>[major comment : thoroughness of results]</w:t>
      </w:r>
      <w:r>
        <w:rPr>
          <w:rFonts w:eastAsia="Times New Roman" w:cs="Courier New"/>
          <w:i/>
        </w:rPr>
        <w:t xml:space="preserve"> </w:t>
      </w:r>
      <w:r w:rsidRPr="002E0AFB">
        <w:rPr>
          <w:rFonts w:eastAsia="Times New Roman" w:cs="Courier New"/>
          <w:i/>
        </w:rPr>
        <w:t>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3167404A"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The abbreviation ODE was removed as it was only use</w:t>
      </w:r>
      <w:r w:rsidR="003F41A5">
        <w:rPr>
          <w:rFonts w:eastAsia="Times New Roman" w:cs="Courier New"/>
        </w:rPr>
        <w:t>\</w:t>
      </w:r>
      <w:r>
        <w:rPr>
          <w:rFonts w:eastAsia="Times New Roman" w:cs="Courier New"/>
        </w:rPr>
        <w:t xml:space="preserv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2"/>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2"/>
      <w:r>
        <w:rPr>
          <w:rStyle w:val="CommentReference"/>
        </w:rPr>
        <w:commentReference w:id="2"/>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3"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sidRPr="00701FD6">
        <w:rPr>
          <w:rFonts w:asciiTheme="minorHAnsi" w:hAnsiTheme="minorHAnsi"/>
          <w:i/>
          <w:color w:val="4472C4" w:themeColor="accent1"/>
          <w:sz w:val="22"/>
          <w:szCs w:val="22"/>
        </w:rPr>
        <w:tab/>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lastRenderedPageBreak/>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4"/>
      <w:r w:rsidRPr="005033A7">
        <w:rPr>
          <w:rFonts w:asciiTheme="minorHAnsi" w:hAnsiTheme="minorHAnsi"/>
          <w:sz w:val="22"/>
          <w:szCs w:val="22"/>
        </w:rPr>
        <w:t>This was corrected.</w:t>
      </w:r>
      <w:commentRangeEnd w:id="4"/>
      <w:r>
        <w:rPr>
          <w:rStyle w:val="CommentReference"/>
          <w:rFonts w:asciiTheme="minorHAnsi" w:eastAsiaTheme="minorHAnsi" w:hAnsiTheme="minorHAnsi" w:cstheme="minorBidi"/>
        </w:rPr>
        <w:commentReference w:id="4"/>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5"/>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5"/>
      <w:r>
        <w:rPr>
          <w:rStyle w:val="CommentReference"/>
          <w:rFonts w:asciiTheme="minorHAnsi" w:eastAsiaTheme="minorHAnsi" w:hAnsiTheme="minorHAnsi" w:cstheme="minorBidi"/>
        </w:rPr>
        <w:commentReference w:id="5"/>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701FD6" w:rsidRDefault="00281ECF" w:rsidP="00281ECF">
      <w:pPr>
        <w:pStyle w:val="HTMLPreformatted"/>
        <w:shd w:val="clear" w:color="auto" w:fill="FFFFFF"/>
        <w:ind w:left="912" w:hanging="912"/>
        <w:rPr>
          <w:rFonts w:asciiTheme="minorHAnsi" w:hAnsiTheme="minorHAnsi"/>
          <w:i/>
          <w:color w:val="4472C4" w:themeColor="accent1"/>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701FD6">
        <w:rPr>
          <w:rFonts w:asciiTheme="minorHAnsi" w:hAnsiTheme="minorHAnsi"/>
          <w:i/>
          <w:color w:val="4472C4" w:themeColor="accent1"/>
          <w:sz w:val="22"/>
          <w:szCs w:val="22"/>
        </w:rPr>
        <w:t>Add discussion and modeling of the effects of air resistance on the motion of the sphere in the tube.</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1C3A8A46" w:rsidR="00281ECF" w:rsidRPr="005033A7" w:rsidRDefault="00281ECF" w:rsidP="003F41A5">
      <w:pPr>
        <w:pStyle w:val="HTMLPreformatted"/>
        <w:shd w:val="clear" w:color="auto" w:fill="FFFFFF"/>
        <w:ind w:left="912"/>
        <w:rPr>
          <w:rFonts w:asciiTheme="minorHAnsi" w:hAnsiTheme="minorHAnsi"/>
          <w:color w:val="FF0000"/>
          <w:sz w:val="22"/>
          <w:szCs w:val="22"/>
        </w:rPr>
      </w:pPr>
      <w:r>
        <w:rPr>
          <w:rFonts w:asciiTheme="minorHAnsi" w:hAnsiTheme="minorHAnsi"/>
          <w:sz w:val="22"/>
          <w:szCs w:val="22"/>
        </w:rPr>
        <w:tab/>
      </w:r>
      <w:r w:rsidRPr="003F41A5">
        <w:rPr>
          <w:rFonts w:asciiTheme="minorHAnsi" w:hAnsiTheme="minorHAnsi"/>
          <w:sz w:val="22"/>
          <w:szCs w:val="22"/>
        </w:rPr>
        <w:t>A discussion about the modeling of the air friction was added in the conclusion</w:t>
      </w:r>
      <w:r w:rsidR="003F41A5" w:rsidRPr="003F41A5">
        <w:rPr>
          <w:rFonts w:asciiTheme="minorHAnsi" w:hAnsiTheme="minorHAnsi"/>
          <w:sz w:val="22"/>
          <w:szCs w:val="22"/>
        </w:rPr>
        <w:t>: “The friction between the air and the sphere was not taken into account as the final millorobot will be under vacuum to prevent any air release within the body.”</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2E0AFB">
        <w:rPr>
          <w:rFonts w:asciiTheme="minorHAnsi" w:hAnsiTheme="minorHAnsi"/>
          <w:i/>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7DBFD914" w:rsidR="00281ECF" w:rsidRPr="00404F14" w:rsidRDefault="00281ECF" w:rsidP="00281ECF">
      <w:pPr>
        <w:pStyle w:val="HTMLPreformatted"/>
        <w:shd w:val="clear" w:color="auto" w:fill="FFFFFF"/>
        <w:ind w:left="916"/>
        <w:rPr>
          <w:rFonts w:asciiTheme="minorHAnsi" w:hAnsiTheme="minorHAnsi"/>
          <w:sz w:val="22"/>
          <w:szCs w:val="22"/>
        </w:rPr>
      </w:pPr>
      <w:r w:rsidRPr="00404F14">
        <w:rPr>
          <w:rFonts w:asciiTheme="minorHAnsi" w:hAnsiTheme="minorHAnsi"/>
          <w:sz w:val="22"/>
          <w:szCs w:val="22"/>
        </w:rPr>
        <w:t>The sphere is a NdFeB magnet with a magnetization of 883,000 A/m. The diameter is 6.35 mm and its mass is 1.05g. This information was added in the paper.</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701FD6">
        <w:rPr>
          <w:rFonts w:asciiTheme="minorHAnsi" w:hAnsiTheme="minorHAnsi"/>
          <w:i/>
          <w:color w:val="4472C4" w:themeColor="accent1"/>
          <w:sz w:val="22"/>
          <w:szCs w:val="22"/>
        </w:rPr>
        <w:t xml:space="preserve">How were the dimensions and other parameters of the device selected? </w:t>
      </w:r>
    </w:p>
    <w:p w14:paraId="217A95BE" w14:textId="124BF7A0"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701FD6">
        <w:rPr>
          <w:rFonts w:asciiTheme="minorHAnsi" w:hAnsiTheme="minorHAnsi"/>
          <w:i/>
          <w:color w:val="4472C4" w:themeColor="accent1"/>
          <w:sz w:val="22"/>
          <w:szCs w:val="22"/>
        </w:rPr>
        <w:tab/>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701FD6">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3"/>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5DF440BC" w:rsidR="008B517C" w:rsidRPr="00701FD6" w:rsidRDefault="00701FD6" w:rsidP="00701FD6">
      <w:pPr>
        <w:ind w:left="900" w:hanging="900"/>
        <w:rPr>
          <w:sz w:val="22"/>
        </w:rPr>
      </w:pPr>
      <w:r w:rsidRPr="00701FD6">
        <w:rPr>
          <w:sz w:val="22"/>
        </w:rPr>
        <w:t>[M2]</w:t>
      </w:r>
      <w:r w:rsidRPr="00701FD6">
        <w:rPr>
          <w:sz w:val="22"/>
        </w:rPr>
        <w:tab/>
        <w:t>Section IV.b was modified. The presented experiment has b</w:t>
      </w:r>
      <w:r>
        <w:rPr>
          <w:sz w:val="22"/>
        </w:rPr>
        <w:t xml:space="preserve">een improved and now includes a </w:t>
      </w:r>
      <w:r w:rsidRPr="00701FD6">
        <w:rPr>
          <w:sz w:val="22"/>
        </w:rPr>
        <w:t>laser and  a   light sensor to measure the velocity of the sphere.</w:t>
      </w:r>
      <w:bookmarkStart w:id="6" w:name="_GoBack"/>
      <w:bookmarkEnd w:id="6"/>
    </w:p>
    <w:sectPr w:rsidR="008B517C" w:rsidRPr="00701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clerc, Julien" w:date="2017-05-26T15:07:00Z" w:initials="LJ">
    <w:p w14:paraId="161D0EF0" w14:textId="77777777" w:rsidR="00281ECF" w:rsidRDefault="00281ECF" w:rsidP="00281ECF">
      <w:pPr>
        <w:pStyle w:val="CommentText"/>
      </w:pPr>
      <w:r>
        <w:rPr>
          <w:rStyle w:val="CommentReference"/>
        </w:rPr>
        <w:annotationRef/>
      </w:r>
      <w:r>
        <w:t>Modification made in the paper</w:t>
      </w:r>
    </w:p>
  </w:comment>
  <w:comment w:id="2" w:author="Leclerc, Julien" w:date="2017-05-26T15:12:00Z" w:initials="LJ">
    <w:p w14:paraId="73D2D57E" w14:textId="77777777" w:rsidR="00281ECF" w:rsidRDefault="00281ECF" w:rsidP="00281ECF">
      <w:pPr>
        <w:pStyle w:val="CommentText"/>
      </w:pPr>
      <w:r>
        <w:rPr>
          <w:rStyle w:val="CommentReference"/>
        </w:rPr>
        <w:annotationRef/>
      </w:r>
      <w:r>
        <w:t>Change made in the paper</w:t>
      </w:r>
    </w:p>
    <w:p w14:paraId="7A552779" w14:textId="77777777" w:rsidR="00281ECF" w:rsidRDefault="00281ECF" w:rsidP="00281ECF">
      <w:pPr>
        <w:pStyle w:val="CommentText"/>
      </w:pPr>
    </w:p>
  </w:comment>
  <w:comment w:id="4" w:author="Leclerc, Julien" w:date="2017-05-26T15:13:00Z" w:initials="LJ">
    <w:p w14:paraId="030492B8" w14:textId="77777777" w:rsidR="00281ECF" w:rsidRDefault="00281ECF" w:rsidP="00281ECF">
      <w:pPr>
        <w:pStyle w:val="CommentText"/>
      </w:pPr>
      <w:r>
        <w:rPr>
          <w:rStyle w:val="CommentReference"/>
        </w:rPr>
        <w:annotationRef/>
      </w:r>
      <w:r>
        <w:t>Change made in the paper</w:t>
      </w:r>
    </w:p>
  </w:comment>
  <w:comment w:id="5" w:author="Leclerc, Julien" w:date="2017-05-26T15:20:00Z" w:initials="LJ">
    <w:p w14:paraId="617D54BD" w14:textId="77777777" w:rsidR="00281ECF" w:rsidRDefault="00281ECF"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71BA0" w14:textId="77777777" w:rsidR="00DC12FA" w:rsidRDefault="00DC12FA" w:rsidP="00321440">
      <w:r>
        <w:separator/>
      </w:r>
    </w:p>
  </w:endnote>
  <w:endnote w:type="continuationSeparator" w:id="0">
    <w:p w14:paraId="418B1C35" w14:textId="77777777" w:rsidR="00DC12FA" w:rsidRDefault="00DC12FA"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2C500" w14:textId="77777777" w:rsidR="00DC12FA" w:rsidRDefault="00DC12FA" w:rsidP="00321440">
      <w:r>
        <w:separator/>
      </w:r>
    </w:p>
  </w:footnote>
  <w:footnote w:type="continuationSeparator" w:id="0">
    <w:p w14:paraId="39056A9D" w14:textId="77777777" w:rsidR="00DC12FA" w:rsidRDefault="00DC12FA"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431AD"/>
    <w:rsid w:val="00260E8F"/>
    <w:rsid w:val="00267E6B"/>
    <w:rsid w:val="00281ECF"/>
    <w:rsid w:val="00321440"/>
    <w:rsid w:val="003336C1"/>
    <w:rsid w:val="00335DA3"/>
    <w:rsid w:val="00343F57"/>
    <w:rsid w:val="00363C4F"/>
    <w:rsid w:val="003F41A5"/>
    <w:rsid w:val="003F6066"/>
    <w:rsid w:val="00426958"/>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D667A"/>
    <w:rsid w:val="006E5C2B"/>
    <w:rsid w:val="00701FD6"/>
    <w:rsid w:val="00782818"/>
    <w:rsid w:val="00790259"/>
    <w:rsid w:val="007B27EF"/>
    <w:rsid w:val="007F2B86"/>
    <w:rsid w:val="008429BB"/>
    <w:rsid w:val="00886DFA"/>
    <w:rsid w:val="00891BB2"/>
    <w:rsid w:val="008B04FF"/>
    <w:rsid w:val="008B517C"/>
    <w:rsid w:val="008F1219"/>
    <w:rsid w:val="008F5B56"/>
    <w:rsid w:val="00904DE8"/>
    <w:rsid w:val="00907236"/>
    <w:rsid w:val="00952E72"/>
    <w:rsid w:val="00977CAA"/>
    <w:rsid w:val="009B0659"/>
    <w:rsid w:val="009D1051"/>
    <w:rsid w:val="009F7CC3"/>
    <w:rsid w:val="00A06F9F"/>
    <w:rsid w:val="00A52676"/>
    <w:rsid w:val="00A655CD"/>
    <w:rsid w:val="00A7525C"/>
    <w:rsid w:val="00A84719"/>
    <w:rsid w:val="00AB5760"/>
    <w:rsid w:val="00AC07AD"/>
    <w:rsid w:val="00AC158D"/>
    <w:rsid w:val="00B25805"/>
    <w:rsid w:val="00B356F9"/>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12FA"/>
    <w:rsid w:val="00DC58C0"/>
    <w:rsid w:val="00E22A4D"/>
    <w:rsid w:val="00E245D0"/>
    <w:rsid w:val="00E474EB"/>
    <w:rsid w:val="00E51BA6"/>
    <w:rsid w:val="00E727E3"/>
    <w:rsid w:val="00EA29FD"/>
    <w:rsid w:val="00EA2C7B"/>
    <w:rsid w:val="00EE186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14</cp:revision>
  <dcterms:created xsi:type="dcterms:W3CDTF">2017-05-03T20:46:00Z</dcterms:created>
  <dcterms:modified xsi:type="dcterms:W3CDTF">2017-06-04T03:51:00Z</dcterms:modified>
</cp:coreProperties>
</file>