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1868"/>
        <w:gridCol w:w="1868"/>
      </w:tblGrid>
      <w:tr w:rsidR="007C6F32" w:rsidRPr="007C6F32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 w:colFirst="3" w:colLast="3"/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Characteristics of </w:t>
            </w:r>
            <w:proofErr w:type="spellStart"/>
            <w:r w:rsidRPr="007C6F32">
              <w:rPr>
                <w:rFonts w:ascii="Arial" w:hAnsi="Arial" w:cs="Arial"/>
                <w:b/>
                <w:sz w:val="22"/>
                <w:szCs w:val="22"/>
              </w:rPr>
              <w:t>Lelièvre</w:t>
            </w:r>
            <w:proofErr w:type="spellEnd"/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 and Oldenburg’s (2009) method</w:t>
            </w:r>
          </w:p>
        </w:tc>
        <w:tc>
          <w:tcPr>
            <w:tcW w:w="1871" w:type="dxa"/>
            <w:tcBorders>
              <w:top w:val="nil"/>
              <w:lef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Characteristics of our method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Interpretation model consists of a  user-specified grid of M juxtaposed prisms in the horizontal and vertical directions</w:t>
            </w:r>
          </w:p>
        </w:tc>
        <w:tc>
          <w:tcPr>
            <w:tcW w:w="18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C6F32">
              <w:rPr>
                <w:rFonts w:ascii="Arial" w:hAnsi="Arial" w:cs="Arial"/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C6F32">
              <w:rPr>
                <w:rFonts w:ascii="Arial" w:hAnsi="Arial" w:cs="Arial"/>
                <w:color w:val="000000" w:themeColor="text1"/>
                <w:sz w:val="22"/>
                <w:szCs w:val="22"/>
              </w:rPr>
              <w:t>No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Interpretation model consists of a  user-specified set of a few dipoles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A large-scale forward model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Inversion method for estimating the magnetization vector of geological bodies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The Cartesian and Spherical formulations for estimating the magnetization vector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An underdetermined optimization approach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An </w:t>
            </w:r>
            <w:proofErr w:type="spellStart"/>
            <w:r w:rsidRPr="007C6F32">
              <w:rPr>
                <w:rFonts w:ascii="Arial" w:hAnsi="Arial" w:cs="Arial"/>
                <w:b/>
                <w:sz w:val="22"/>
                <w:szCs w:val="22"/>
              </w:rPr>
              <w:t>overdetermined</w:t>
            </w:r>
            <w:proofErr w:type="spellEnd"/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 optimization approach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High degree of </w:t>
            </w:r>
            <w:proofErr w:type="spellStart"/>
            <w:r w:rsidRPr="007C6F32">
              <w:rPr>
                <w:rFonts w:ascii="Arial" w:hAnsi="Arial" w:cs="Arial"/>
                <w:b/>
                <w:sz w:val="22"/>
                <w:szCs w:val="22"/>
              </w:rPr>
              <w:t>nonuniqueness</w:t>
            </w:r>
            <w:proofErr w:type="spellEnd"/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 (Ill-posed inverse problem)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The use of </w:t>
            </w:r>
            <w:proofErr w:type="spellStart"/>
            <w:r w:rsidRPr="007C6F32">
              <w:rPr>
                <w:rFonts w:ascii="Arial" w:hAnsi="Arial" w:cs="Arial"/>
                <w:b/>
                <w:sz w:val="22"/>
                <w:szCs w:val="22"/>
              </w:rPr>
              <w:t>Tikhonov</w:t>
            </w:r>
            <w:proofErr w:type="spellEnd"/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 regularization to transform an ill-posed inverse problem into a well-posed one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The use of unorthodox procedure to reduce the </w:t>
            </w:r>
            <w:proofErr w:type="spellStart"/>
            <w:r w:rsidRPr="007C6F32">
              <w:rPr>
                <w:rFonts w:ascii="Arial" w:hAnsi="Arial" w:cs="Arial"/>
                <w:b/>
                <w:sz w:val="22"/>
                <w:szCs w:val="22"/>
              </w:rPr>
              <w:t>nonuniqueness</w:t>
            </w:r>
            <w:proofErr w:type="spellEnd"/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 (e.g., removing padding cells)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A plethora of control parameters the prior information)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Inversion method that recovers  the 3D magnetization vector distribution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270A6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 xml:space="preserve">Inversion method that </w:t>
            </w:r>
            <w:r w:rsidR="00270A6C" w:rsidRPr="007C6F32">
              <w:rPr>
                <w:rFonts w:ascii="Arial" w:hAnsi="Arial" w:cs="Arial"/>
                <w:b/>
                <w:sz w:val="22"/>
                <w:szCs w:val="22"/>
              </w:rPr>
              <w:t>presum</w:t>
            </w:r>
            <w:r w:rsidRPr="007C6F32">
              <w:rPr>
                <w:rFonts w:ascii="Arial" w:hAnsi="Arial" w:cs="Arial"/>
                <w:b/>
                <w:sz w:val="22"/>
                <w:szCs w:val="22"/>
              </w:rPr>
              <w:t>es the shape of the geologic bodies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1" w:type="dxa"/>
            <w:tcBorders>
              <w:lef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C6F32" w:rsidRPr="00987543" w:rsidTr="007C6F32">
        <w:trPr>
          <w:trHeight w:val="828"/>
        </w:trPr>
        <w:tc>
          <w:tcPr>
            <w:tcW w:w="5102" w:type="dxa"/>
            <w:tcBorders>
              <w:right w:val="single" w:sz="18" w:space="0" w:color="auto"/>
            </w:tcBorders>
            <w:vAlign w:val="center"/>
          </w:tcPr>
          <w:p w:rsidR="00987543" w:rsidRPr="007C6F32" w:rsidRDefault="00987543" w:rsidP="0098754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F32">
              <w:rPr>
                <w:rFonts w:ascii="Arial" w:hAnsi="Arial" w:cs="Arial"/>
                <w:b/>
                <w:sz w:val="22"/>
                <w:szCs w:val="22"/>
              </w:rPr>
              <w:t>Inversion method that recovers a single  magnetization direction per anomaly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1" w:type="dxa"/>
            <w:tcBorders>
              <w:left w:val="single" w:sz="18" w:space="0" w:color="auto"/>
              <w:bottom w:val="nil"/>
            </w:tcBorders>
            <w:vAlign w:val="center"/>
          </w:tcPr>
          <w:p w:rsidR="00987543" w:rsidRPr="007C6F32" w:rsidRDefault="00270A6C" w:rsidP="009875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6F32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bookmarkEnd w:id="0"/>
    </w:tbl>
    <w:p w:rsidR="00E1515A" w:rsidRPr="00987543" w:rsidRDefault="00E1515A">
      <w:pPr>
        <w:rPr>
          <w:rFonts w:ascii="Arial" w:hAnsi="Arial" w:cs="Arial"/>
        </w:rPr>
      </w:pPr>
    </w:p>
    <w:sectPr w:rsidR="00E1515A" w:rsidRPr="00987543" w:rsidSect="007C6F3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AF4" w:rsidRDefault="005F7AF4" w:rsidP="007C6F32">
      <w:r>
        <w:separator/>
      </w:r>
    </w:p>
  </w:endnote>
  <w:endnote w:type="continuationSeparator" w:id="0">
    <w:p w:rsidR="005F7AF4" w:rsidRDefault="005F7AF4" w:rsidP="007C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AF4" w:rsidRDefault="005F7AF4" w:rsidP="007C6F32">
      <w:r>
        <w:separator/>
      </w:r>
    </w:p>
  </w:footnote>
  <w:footnote w:type="continuationSeparator" w:id="0">
    <w:p w:rsidR="005F7AF4" w:rsidRDefault="005F7AF4" w:rsidP="007C6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43"/>
    <w:rsid w:val="00270A6C"/>
    <w:rsid w:val="003235D2"/>
    <w:rsid w:val="00360E8C"/>
    <w:rsid w:val="005F7AF4"/>
    <w:rsid w:val="007C6F32"/>
    <w:rsid w:val="00987543"/>
    <w:rsid w:val="00E1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8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C6F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6F3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7C6F3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6F32"/>
    <w:rPr>
      <w:rFonts w:ascii="Times New Roman" w:eastAsia="Times New Roman" w:hAnsi="Times New Roman" w:cs="Times New Roman"/>
      <w:sz w:val="20"/>
      <w:szCs w:val="20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8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C6F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6F3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7C6F3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6F32"/>
    <w:rPr>
      <w:rFonts w:ascii="Times New Roman" w:eastAsia="Times New Roman" w:hAnsi="Times New Roman" w:cs="Times New Roman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9761-789D-4E1C-8AFF-450E88B5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2</cp:revision>
  <cp:lastPrinted>2014-12-05T19:06:00Z</cp:lastPrinted>
  <dcterms:created xsi:type="dcterms:W3CDTF">2014-12-05T18:16:00Z</dcterms:created>
  <dcterms:modified xsi:type="dcterms:W3CDTF">2014-12-05T19:12:00Z</dcterms:modified>
</cp:coreProperties>
</file>