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cs="Times New Roman"/>
          <w:sz w:val="21"/>
        </w:rPr>
      </w:pPr>
    </w:p>
    <w:p>
      <w:pPr>
        <w:spacing w:line="240" w:lineRule="auto"/>
        <w:jc w:val="center"/>
        <w:rPr>
          <w:rFonts w:cs="Times New Roman"/>
          <w:sz w:val="21"/>
        </w:rPr>
      </w:pPr>
    </w:p>
    <w:p>
      <w:pPr>
        <w:spacing w:line="240" w:lineRule="auto"/>
        <w:jc w:val="center"/>
        <w:rPr>
          <w:rFonts w:cs="Times New Roman"/>
          <w:sz w:val="21"/>
        </w:rPr>
      </w:pPr>
    </w:p>
    <w:p>
      <w:pPr>
        <w:spacing w:line="240" w:lineRule="auto"/>
        <w:jc w:val="center"/>
        <w:rPr>
          <w:rFonts w:cs="Times New Roman"/>
          <w:sz w:val="21"/>
        </w:rPr>
      </w:pPr>
      <w:r>
        <w:rPr>
          <w:rFonts w:cs="Times New Roman"/>
          <w:sz w:val="21"/>
        </w:rPr>
        <w:drawing>
          <wp:inline distT="0" distB="0" distL="0" distR="0">
            <wp:extent cx="2762250" cy="1028700"/>
            <wp:effectExtent l="0" t="0" r="1143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62250" cy="1028700"/>
                    </a:xfrm>
                    <a:prstGeom prst="rect">
                      <a:avLst/>
                    </a:prstGeom>
                    <a:noFill/>
                    <a:ln>
                      <a:noFill/>
                    </a:ln>
                  </pic:spPr>
                </pic:pic>
              </a:graphicData>
            </a:graphic>
          </wp:inline>
        </w:drawing>
      </w:r>
    </w:p>
    <w:p>
      <w:pPr>
        <w:spacing w:line="240" w:lineRule="auto"/>
        <w:jc w:val="center"/>
        <w:rPr>
          <w:rFonts w:hint="eastAsia" w:ascii="楷体_GB2312" w:eastAsia="楷体_GB2312" w:cs="Times New Roman"/>
          <w:b/>
          <w:sz w:val="44"/>
          <w:szCs w:val="44"/>
        </w:rPr>
      </w:pPr>
      <w:r>
        <w:rPr>
          <w:rFonts w:ascii="楷体_GB2312" w:eastAsia="楷体_GB2312" w:cs="Times New Roman"/>
          <w:b/>
          <w:sz w:val="44"/>
          <w:szCs w:val="44"/>
        </w:rPr>
        <w:t>本科生课程</w:t>
      </w:r>
      <w:r>
        <w:rPr>
          <w:rFonts w:hint="eastAsia" w:ascii="楷体_GB2312" w:eastAsia="楷体_GB2312" w:cs="Times New Roman"/>
          <w:b/>
          <w:sz w:val="44"/>
          <w:szCs w:val="44"/>
        </w:rPr>
        <w:t>论文</w:t>
      </w:r>
    </w:p>
    <w:p>
      <w:pPr>
        <w:spacing w:line="240" w:lineRule="auto"/>
        <w:jc w:val="center"/>
        <w:rPr>
          <w:rFonts w:hint="eastAsia" w:ascii="楷体_GB2312" w:eastAsia="楷体_GB2312" w:cs="Times New Roman"/>
          <w:b/>
          <w:sz w:val="44"/>
          <w:szCs w:val="44"/>
        </w:rPr>
      </w:pPr>
    </w:p>
    <w:p>
      <w:pPr>
        <w:spacing w:line="240" w:lineRule="auto"/>
        <w:jc w:val="center"/>
        <w:rPr>
          <w:rFonts w:cs="Times New Roman"/>
          <w:b/>
          <w:bCs/>
          <w:sz w:val="30"/>
        </w:rPr>
      </w:pPr>
      <w:r>
        <w:rPr>
          <w:rFonts w:hint="eastAsia" w:cs="Times New Roman"/>
          <w:b/>
          <w:bCs/>
          <w:sz w:val="30"/>
        </w:rPr>
        <w:drawing>
          <wp:inline distT="0" distB="0" distL="0" distR="0">
            <wp:extent cx="965200" cy="984250"/>
            <wp:effectExtent l="0" t="0" r="10160" b="6350"/>
            <wp:docPr id="8" name="图片 8" descr="fu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ud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65200" cy="984250"/>
                    </a:xfrm>
                    <a:prstGeom prst="rect">
                      <a:avLst/>
                    </a:prstGeom>
                    <a:noFill/>
                    <a:ln>
                      <a:noFill/>
                    </a:ln>
                  </pic:spPr>
                </pic:pic>
              </a:graphicData>
            </a:graphic>
          </wp:inline>
        </w:drawing>
      </w:r>
    </w:p>
    <w:p>
      <w:pPr>
        <w:spacing w:line="240" w:lineRule="auto"/>
        <w:jc w:val="center"/>
        <w:rPr>
          <w:rFonts w:cs="Times New Roman"/>
          <w:b/>
          <w:bCs/>
          <w:sz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6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nil"/>
              <w:left w:val="nil"/>
              <w:bottom w:val="nil"/>
              <w:right w:val="nil"/>
            </w:tcBorders>
          </w:tcPr>
          <w:p>
            <w:pPr>
              <w:spacing w:line="240" w:lineRule="auto"/>
              <w:ind w:left="0" w:leftChars="0"/>
              <w:jc w:val="distribute"/>
              <w:rPr>
                <w:rFonts w:hint="eastAsia"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论文题目：</w:t>
            </w:r>
          </w:p>
        </w:tc>
        <w:tc>
          <w:tcPr>
            <w:tcW w:w="6320" w:type="dxa"/>
            <w:tcBorders>
              <w:top w:val="nil"/>
              <w:left w:val="nil"/>
              <w:bottom w:val="single" w:color="000000" w:sz="4" w:space="0"/>
              <w:right w:val="nil"/>
            </w:tcBorders>
          </w:tcPr>
          <w:p>
            <w:pPr>
              <w:spacing w:line="240" w:lineRule="auto"/>
              <w:jc w:val="center"/>
              <w:rPr>
                <w:rFonts w:hint="eastAsia" w:ascii="楷体_GB2312" w:eastAsia="楷体_GB2312" w:cs="Times New Roman"/>
                <w:b/>
                <w:sz w:val="32"/>
                <w:szCs w:val="32"/>
                <w:vertAlign w:val="baseline"/>
                <w:lang w:eastAsia="zh-CN"/>
              </w:rPr>
            </w:pPr>
            <w:r>
              <w:rPr>
                <w:rFonts w:hint="eastAsia" w:ascii="楷体_GB2312" w:eastAsia="楷体_GB2312" w:cs="Times New Roman"/>
                <w:b/>
                <w:sz w:val="32"/>
                <w:szCs w:val="32"/>
                <w:vertAlign w:val="baseline"/>
                <w:lang w:eastAsia="zh-CN"/>
              </w:rPr>
              <w:t>《</w:t>
            </w:r>
            <w:r>
              <w:rPr>
                <w:rFonts w:hint="eastAsia" w:ascii="楷体_GB2312" w:eastAsia="楷体_GB2312" w:cs="Times New Roman"/>
                <w:b/>
                <w:sz w:val="32"/>
                <w:szCs w:val="32"/>
                <w:vertAlign w:val="baseline"/>
                <w:lang w:val="en-US" w:eastAsia="zh-CN"/>
              </w:rPr>
              <w:t>从居民消费角度看改革开放</w:t>
            </w:r>
            <w:r>
              <w:rPr>
                <w:rFonts w:hint="eastAsia" w:ascii="楷体_GB2312" w:eastAsia="楷体_GB2312" w:cs="Times New Roman"/>
                <w:b/>
                <w:sz w:val="32"/>
                <w:szCs w:val="32"/>
                <w:vertAlign w:val="baseli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nil"/>
              <w:left w:val="nil"/>
              <w:bottom w:val="nil"/>
              <w:right w:val="nil"/>
            </w:tcBorders>
          </w:tcPr>
          <w:p>
            <w:pPr>
              <w:spacing w:line="240" w:lineRule="auto"/>
              <w:ind w:left="0" w:leftChars="0"/>
              <w:jc w:val="distribute"/>
              <w:rPr>
                <w:rFonts w:ascii="楷体_GB2312" w:eastAsia="楷体_GB2312" w:cs="Times New Roman"/>
                <w:b/>
                <w:sz w:val="32"/>
                <w:szCs w:val="32"/>
                <w:vertAlign w:val="baseline"/>
              </w:rPr>
            </w:pPr>
          </w:p>
        </w:tc>
        <w:tc>
          <w:tcPr>
            <w:tcW w:w="6320" w:type="dxa"/>
            <w:tcBorders>
              <w:top w:val="single" w:color="000000" w:sz="4" w:space="0"/>
              <w:left w:val="nil"/>
              <w:bottom w:val="nil"/>
              <w:right w:val="nil"/>
            </w:tcBorders>
          </w:tcPr>
          <w:p>
            <w:pPr>
              <w:spacing w:line="240" w:lineRule="auto"/>
              <w:jc w:val="center"/>
              <w:rPr>
                <w:rFonts w:ascii="楷体_GB2312" w:eastAsia="楷体_GB2312" w:cs="Times New Roman"/>
                <w:b/>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nil"/>
              <w:left w:val="nil"/>
              <w:bottom w:val="nil"/>
              <w:right w:val="nil"/>
            </w:tcBorders>
          </w:tcPr>
          <w:p>
            <w:pPr>
              <w:spacing w:line="240" w:lineRule="auto"/>
              <w:ind w:left="0" w:leftChars="0"/>
              <w:jc w:val="distribute"/>
              <w:rPr>
                <w:rFonts w:hint="eastAsia"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指导教师：</w:t>
            </w:r>
          </w:p>
        </w:tc>
        <w:tc>
          <w:tcPr>
            <w:tcW w:w="6320" w:type="dxa"/>
            <w:tcBorders>
              <w:top w:val="nil"/>
              <w:left w:val="nil"/>
              <w:bottom w:val="single" w:color="000000" w:sz="4" w:space="0"/>
              <w:right w:val="nil"/>
            </w:tcBorders>
            <w:vAlign w:val="center"/>
          </w:tcPr>
          <w:p>
            <w:pPr>
              <w:spacing w:line="240" w:lineRule="auto"/>
              <w:jc w:val="center"/>
              <w:rPr>
                <w:rFonts w:hint="default"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赵刘洋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nil"/>
              <w:left w:val="nil"/>
              <w:bottom w:val="nil"/>
              <w:right w:val="nil"/>
            </w:tcBorders>
          </w:tcPr>
          <w:p>
            <w:pPr>
              <w:spacing w:line="240" w:lineRule="auto"/>
              <w:ind w:left="0" w:leftChars="0"/>
              <w:jc w:val="center"/>
              <w:rPr>
                <w:rFonts w:hint="eastAsia"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院系：</w:t>
            </w:r>
          </w:p>
        </w:tc>
        <w:tc>
          <w:tcPr>
            <w:tcW w:w="6320" w:type="dxa"/>
            <w:tcBorders>
              <w:top w:val="single" w:color="000000" w:sz="4" w:space="0"/>
              <w:left w:val="nil"/>
              <w:bottom w:val="single" w:color="000000" w:sz="4" w:space="0"/>
              <w:right w:val="nil"/>
            </w:tcBorders>
            <w:vAlign w:val="center"/>
          </w:tcPr>
          <w:p>
            <w:pPr>
              <w:spacing w:line="240" w:lineRule="auto"/>
              <w:jc w:val="center"/>
              <w:rPr>
                <w:rFonts w:hint="eastAsia"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中国语言文学系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nil"/>
              <w:left w:val="nil"/>
              <w:bottom w:val="nil"/>
              <w:right w:val="nil"/>
            </w:tcBorders>
          </w:tcPr>
          <w:p>
            <w:pPr>
              <w:spacing w:line="240" w:lineRule="auto"/>
              <w:ind w:left="0" w:leftChars="0"/>
              <w:jc w:val="center"/>
              <w:rPr>
                <w:rFonts w:hint="eastAsia"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专业：</w:t>
            </w:r>
          </w:p>
        </w:tc>
        <w:tc>
          <w:tcPr>
            <w:tcW w:w="6320" w:type="dxa"/>
            <w:tcBorders>
              <w:top w:val="single" w:color="000000" w:sz="4" w:space="0"/>
              <w:left w:val="nil"/>
              <w:bottom w:val="single" w:color="000000" w:sz="4" w:space="0"/>
              <w:right w:val="nil"/>
            </w:tcBorders>
            <w:vAlign w:val="center"/>
          </w:tcPr>
          <w:p>
            <w:pPr>
              <w:spacing w:line="240" w:lineRule="auto"/>
              <w:jc w:val="center"/>
              <w:rPr>
                <w:rFonts w:hint="default"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中国语言文学类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nil"/>
              <w:left w:val="nil"/>
              <w:bottom w:val="nil"/>
              <w:right w:val="nil"/>
            </w:tcBorders>
          </w:tcPr>
          <w:p>
            <w:pPr>
              <w:spacing w:line="240" w:lineRule="auto"/>
              <w:ind w:left="0" w:leftChars="0"/>
              <w:jc w:val="center"/>
              <w:rPr>
                <w:rFonts w:hint="default"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姓名：</w:t>
            </w:r>
          </w:p>
        </w:tc>
        <w:tc>
          <w:tcPr>
            <w:tcW w:w="6320" w:type="dxa"/>
            <w:tcBorders>
              <w:top w:val="single" w:color="000000" w:sz="4" w:space="0"/>
              <w:left w:val="nil"/>
              <w:bottom w:val="single" w:color="000000" w:sz="4" w:space="0"/>
              <w:right w:val="nil"/>
            </w:tcBorders>
            <w:vAlign w:val="center"/>
          </w:tcPr>
          <w:p>
            <w:pPr>
              <w:spacing w:line="240" w:lineRule="auto"/>
              <w:jc w:val="center"/>
              <w:rPr>
                <w:rFonts w:hint="eastAsia"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吴咏真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Borders>
              <w:top w:val="nil"/>
              <w:left w:val="nil"/>
              <w:bottom w:val="nil"/>
              <w:right w:val="nil"/>
            </w:tcBorders>
          </w:tcPr>
          <w:p>
            <w:pPr>
              <w:spacing w:line="240" w:lineRule="auto"/>
              <w:ind w:left="0" w:leftChars="0"/>
              <w:jc w:val="center"/>
              <w:rPr>
                <w:rFonts w:hint="eastAsia"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学号：</w:t>
            </w:r>
          </w:p>
        </w:tc>
        <w:tc>
          <w:tcPr>
            <w:tcW w:w="6320" w:type="dxa"/>
            <w:tcBorders>
              <w:top w:val="single" w:color="000000" w:sz="4" w:space="0"/>
              <w:left w:val="nil"/>
              <w:bottom w:val="single" w:color="000000" w:sz="4" w:space="0"/>
              <w:right w:val="nil"/>
            </w:tcBorders>
            <w:vAlign w:val="center"/>
          </w:tcPr>
          <w:p>
            <w:pPr>
              <w:spacing w:line="240" w:lineRule="auto"/>
              <w:jc w:val="center"/>
              <w:rPr>
                <w:rFonts w:hint="default" w:ascii="楷体_GB2312" w:eastAsia="楷体_GB2312" w:cs="Times New Roman"/>
                <w:b/>
                <w:sz w:val="32"/>
                <w:szCs w:val="32"/>
                <w:vertAlign w:val="baseline"/>
                <w:lang w:val="en-US" w:eastAsia="zh-CN"/>
              </w:rPr>
            </w:pPr>
            <w:r>
              <w:rPr>
                <w:rFonts w:hint="eastAsia" w:ascii="楷体_GB2312" w:eastAsia="楷体_GB2312" w:cs="Times New Roman"/>
                <w:b/>
                <w:sz w:val="32"/>
                <w:szCs w:val="32"/>
                <w:vertAlign w:val="baseline"/>
                <w:lang w:val="en-US" w:eastAsia="zh-CN"/>
              </w:rPr>
              <w:t>23300110080</w:t>
            </w:r>
          </w:p>
        </w:tc>
      </w:tr>
    </w:tbl>
    <w:p>
      <w:pPr>
        <w:spacing w:line="240" w:lineRule="auto"/>
        <w:jc w:val="both"/>
        <w:rPr>
          <w:rFonts w:ascii="楷体_GB2312" w:eastAsia="楷体_GB2312" w:cs="Times New Roman"/>
          <w:b/>
          <w:sz w:val="32"/>
          <w:szCs w:val="32"/>
        </w:rPr>
      </w:pPr>
    </w:p>
    <w:p>
      <w:pPr>
        <w:spacing w:line="240" w:lineRule="auto"/>
        <w:jc w:val="center"/>
        <w:rPr>
          <w:rFonts w:ascii="楷体_GB2312" w:eastAsia="楷体_GB2312" w:cs="Times New Roman"/>
          <w:b/>
          <w:sz w:val="32"/>
          <w:szCs w:val="32"/>
        </w:rPr>
      </w:pPr>
    </w:p>
    <w:p>
      <w:pPr>
        <w:spacing w:line="240" w:lineRule="auto"/>
        <w:jc w:val="right"/>
        <w:rPr>
          <w:rFonts w:ascii="楷体_GB2312" w:eastAsia="楷体_GB2312" w:cs="Times New Roman"/>
          <w:b/>
          <w:sz w:val="32"/>
          <w:szCs w:val="32"/>
        </w:rPr>
      </w:pPr>
      <w:r>
        <w:rPr>
          <w:rFonts w:hint="eastAsia" w:ascii="楷体_GB2312" w:eastAsia="楷体_GB2312" w:cs="Times New Roman"/>
          <w:b/>
          <w:sz w:val="32"/>
          <w:szCs w:val="32"/>
          <w:lang w:val="en-US" w:eastAsia="zh-CN"/>
        </w:rPr>
        <w:t>2023</w:t>
      </w:r>
      <w:r>
        <w:rPr>
          <w:rFonts w:hint="eastAsia" w:ascii="楷体_GB2312" w:eastAsia="楷体_GB2312" w:cs="Times New Roman"/>
          <w:b/>
          <w:sz w:val="32"/>
          <w:szCs w:val="32"/>
        </w:rPr>
        <w:t>年</w:t>
      </w:r>
      <w:r>
        <w:rPr>
          <w:rFonts w:hint="eastAsia" w:ascii="楷体_GB2312" w:eastAsia="楷体_GB2312" w:cs="Times New Roman"/>
          <w:b/>
          <w:sz w:val="32"/>
          <w:szCs w:val="32"/>
          <w:lang w:val="en-US" w:eastAsia="zh-CN"/>
        </w:rPr>
        <w:t>12</w:t>
      </w:r>
      <w:r>
        <w:rPr>
          <w:rFonts w:hint="eastAsia" w:ascii="楷体_GB2312" w:eastAsia="楷体_GB2312" w:cs="Times New Roman"/>
          <w:b/>
          <w:sz w:val="32"/>
          <w:szCs w:val="32"/>
        </w:rPr>
        <w:t>月</w:t>
      </w:r>
    </w:p>
    <w:p>
      <w:pPr>
        <w:rPr>
          <w:rFonts w:hint="eastAsia"/>
          <w:lang w:val="en-US" w:eastAsia="zh-CN"/>
        </w:rPr>
      </w:pPr>
    </w:p>
    <w:p>
      <w:pPr>
        <w:rPr>
          <w:rFonts w:hint="eastAsia"/>
          <w:lang w:val="en-US" w:eastAsia="zh-CN"/>
        </w:rPr>
      </w:pPr>
      <w:r>
        <w:rPr>
          <w:rFonts w:hint="eastAsia"/>
          <w:lang w:val="en-US" w:eastAsia="zh-CN"/>
        </w:rPr>
        <w:br w:type="page"/>
      </w:r>
    </w:p>
    <w:p>
      <w:pPr>
        <w:pStyle w:val="2"/>
        <w:bidi w:val="0"/>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从居民消费角度看改革开放</w:t>
      </w:r>
    </w:p>
    <w:p>
      <w:pPr>
        <w:keepNext w:val="0"/>
        <w:keepLines w:val="0"/>
        <w:pageBreakBefore w:val="0"/>
        <w:widowControl w:val="0"/>
        <w:tabs>
          <w:tab w:val="center" w:pos="4213"/>
          <w:tab w:val="left" w:pos="6992"/>
        </w:tabs>
        <w:kinsoku/>
        <w:wordWrap/>
        <w:overflowPunct/>
        <w:topLinePunct w:val="0"/>
        <w:autoSpaceDE/>
        <w:autoSpaceDN/>
        <w:bidi w:val="0"/>
        <w:adjustRightInd/>
        <w:snapToGrid/>
        <w:spacing w:after="100" w:line="240" w:lineRule="atLeast"/>
        <w:jc w:val="center"/>
        <w:textAlignment w:val="auto"/>
        <w:rPr>
          <w:rFonts w:hint="eastAsia" w:ascii="仿宋" w:hAnsi="仿宋" w:eastAsia="仿宋" w:cs="仿宋"/>
          <w:b/>
          <w:bCs/>
          <w:lang w:val="en-US" w:eastAsia="zh-CN"/>
        </w:rPr>
      </w:pPr>
      <w:r>
        <w:rPr>
          <w:rFonts w:hint="eastAsia" w:ascii="仿宋" w:hAnsi="仿宋" w:eastAsia="仿宋" w:cs="仿宋"/>
          <w:b/>
          <w:bCs/>
          <w:lang w:val="en-US" w:eastAsia="zh-CN"/>
        </w:rPr>
        <w:t>吴咏真 23300110080 中国语言文学系 大一</w:t>
      </w:r>
    </w:p>
    <w:p>
      <w:pPr>
        <w:keepNext w:val="0"/>
        <w:keepLines w:val="0"/>
        <w:pageBreakBefore w:val="0"/>
        <w:widowControl w:val="0"/>
        <w:tabs>
          <w:tab w:val="center" w:pos="4213"/>
          <w:tab w:val="left" w:pos="6992"/>
        </w:tabs>
        <w:kinsoku/>
        <w:wordWrap/>
        <w:overflowPunct/>
        <w:topLinePunct w:val="0"/>
        <w:autoSpaceDE/>
        <w:autoSpaceDN/>
        <w:bidi w:val="0"/>
        <w:adjustRightInd/>
        <w:snapToGrid/>
        <w:spacing w:after="100" w:line="240" w:lineRule="atLeast"/>
        <w:jc w:val="center"/>
        <w:textAlignment w:val="auto"/>
        <w:rPr>
          <w:rFonts w:hint="eastAsia" w:ascii="仿宋" w:hAnsi="仿宋" w:eastAsia="仿宋" w:cs="仿宋"/>
          <w:b/>
          <w:bCs/>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ascii="黑体" w:hAnsi="黑体" w:eastAsia="黑体" w:cs="黑体"/>
          <w:lang w:eastAsia="zh-CN"/>
        </w:rPr>
        <w:t>【</w:t>
      </w:r>
      <w:r>
        <w:rPr>
          <w:rFonts w:hint="eastAsia" w:ascii="黑体" w:hAnsi="黑体" w:eastAsia="黑体" w:cs="黑体"/>
          <w:lang w:val="en-US" w:eastAsia="zh-CN"/>
        </w:rPr>
        <w:t>摘要</w:t>
      </w:r>
      <w:r>
        <w:rPr>
          <w:rFonts w:hint="eastAsia" w:ascii="黑体" w:hAnsi="黑体" w:eastAsia="黑体" w:cs="黑体"/>
          <w:lang w:eastAsia="zh-CN"/>
        </w:rPr>
        <w:t>】</w:t>
      </w:r>
      <w:r>
        <w:rPr>
          <w:rFonts w:hint="eastAsia"/>
          <w:lang w:eastAsia="zh-CN"/>
        </w:rPr>
        <w:t>改革开放的四十五年来，中国经济运行机制经历了显著变革，消费对经济增长的贡献日益凸显，而居民消费在其中发挥的作用也愈发</w:t>
      </w:r>
      <w:r>
        <w:rPr>
          <w:rFonts w:hint="eastAsia"/>
          <w:lang w:val="en-US" w:eastAsia="zh-CN"/>
        </w:rPr>
        <w:t>关键</w:t>
      </w:r>
      <w:r>
        <w:rPr>
          <w:rFonts w:hint="eastAsia"/>
          <w:lang w:eastAsia="zh-CN"/>
        </w:rPr>
        <w:t>。</w:t>
      </w:r>
      <w:r>
        <w:rPr>
          <w:rFonts w:hint="eastAsia"/>
          <w:lang w:val="en-US" w:eastAsia="zh-CN"/>
        </w:rPr>
        <w:t>本篇</w:t>
      </w:r>
      <w:r>
        <w:rPr>
          <w:rFonts w:hint="eastAsia"/>
          <w:lang w:eastAsia="zh-CN"/>
        </w:rPr>
        <w:t>论文</w:t>
      </w:r>
      <w:r>
        <w:rPr>
          <w:rFonts w:hint="eastAsia"/>
          <w:lang w:val="en-US" w:eastAsia="zh-CN"/>
        </w:rPr>
        <w:t>意</w:t>
      </w:r>
      <w:r>
        <w:rPr>
          <w:rFonts w:hint="eastAsia"/>
          <w:lang w:eastAsia="zh-CN"/>
        </w:rPr>
        <w:t>从中国居民消费结构优化与途径升级的角度切入，</w:t>
      </w:r>
      <w:r>
        <w:rPr>
          <w:rFonts w:hint="eastAsia"/>
          <w:lang w:val="en-US" w:eastAsia="zh-CN"/>
        </w:rPr>
        <w:t>通过分析居民服务性消费支出占比和电子商务平台所占市场份额变化，深入</w:t>
      </w:r>
      <w:r>
        <w:rPr>
          <w:rFonts w:hint="eastAsia"/>
          <w:lang w:eastAsia="zh-CN"/>
        </w:rPr>
        <w:t>探讨改革开放对于</w:t>
      </w:r>
      <w:r>
        <w:rPr>
          <w:rFonts w:hint="eastAsia"/>
          <w:lang w:val="en-US" w:eastAsia="zh-CN"/>
        </w:rPr>
        <w:t>推动</w:t>
      </w:r>
      <w:r>
        <w:rPr>
          <w:rFonts w:hint="eastAsia"/>
          <w:lang w:eastAsia="zh-CN"/>
        </w:rPr>
        <w:t>经济发展和</w:t>
      </w:r>
      <w:r>
        <w:rPr>
          <w:rFonts w:hint="eastAsia"/>
          <w:lang w:val="en-US" w:eastAsia="zh-CN"/>
        </w:rPr>
        <w:t>增进</w:t>
      </w:r>
      <w:r>
        <w:rPr>
          <w:rFonts w:hint="eastAsia"/>
          <w:lang w:eastAsia="zh-CN"/>
        </w:rPr>
        <w:t>民生福祉的</w:t>
      </w:r>
      <w:r>
        <w:rPr>
          <w:rFonts w:hint="eastAsia"/>
          <w:lang w:val="en-US" w:eastAsia="zh-CN"/>
        </w:rPr>
        <w:t>积极</w:t>
      </w:r>
      <w:r>
        <w:rPr>
          <w:rFonts w:hint="eastAsia"/>
          <w:lang w:eastAsia="zh-CN"/>
        </w:rPr>
        <w:t>影响。</w:t>
      </w:r>
      <w:r>
        <w:rPr>
          <w:rFonts w:hint="eastAsia"/>
          <w:lang w:val="en-US" w:eastAsia="zh-CN"/>
        </w:rPr>
        <w:t>同时，针对当前存在的消费降级与直播带货乱象等问题，提出一些切实可行的解决方案。</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ascii="黑体" w:hAnsi="黑体" w:eastAsia="黑体" w:cs="黑体"/>
          <w:lang w:val="en-US" w:eastAsia="zh-CN"/>
        </w:rPr>
        <w:t>【关键词】</w:t>
      </w:r>
      <w:r>
        <w:rPr>
          <w:rFonts w:hint="eastAsia"/>
          <w:lang w:val="en-US" w:eastAsia="zh-CN"/>
        </w:rPr>
        <w:t>改革开放；居民消费；消费结构；消费途径</w:t>
      </w:r>
    </w:p>
    <w:p>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1978年12月，中国共产党第十一届中央委员会第三次全体会议在北京</w:t>
      </w:r>
      <w:r>
        <w:rPr>
          <w:rFonts w:hint="eastAsia"/>
          <w:lang w:val="en-US" w:eastAsia="zh-CN"/>
        </w:rPr>
        <w:t>盛大召开</w:t>
      </w:r>
      <w:r>
        <w:rPr>
          <w:rFonts w:hint="eastAsia"/>
          <w:lang w:eastAsia="zh-CN"/>
        </w:rPr>
        <w:t>。</w:t>
      </w:r>
      <w:r>
        <w:rPr>
          <w:rFonts w:hint="eastAsia"/>
          <w:lang w:val="en-US" w:eastAsia="zh-CN"/>
        </w:rPr>
        <w:t>在这次会议上，</w:t>
      </w:r>
      <w:r>
        <w:rPr>
          <w:rFonts w:hint="eastAsia"/>
          <w:lang w:eastAsia="zh-CN"/>
        </w:rPr>
        <w:t>根据邓小平同志的指示，</w:t>
      </w:r>
      <w:r>
        <w:rPr>
          <w:rFonts w:hint="eastAsia"/>
          <w:lang w:val="en-US" w:eastAsia="zh-CN"/>
        </w:rPr>
        <w:t>重点</w:t>
      </w:r>
      <w:r>
        <w:rPr>
          <w:rFonts w:hint="eastAsia"/>
          <w:lang w:eastAsia="zh-CN"/>
        </w:rPr>
        <w:t>讨论了如何将全党的工作重心转移到经济建设</w:t>
      </w:r>
      <w:r>
        <w:rPr>
          <w:rFonts w:hint="eastAsia"/>
          <w:lang w:val="en-US" w:eastAsia="zh-CN"/>
        </w:rPr>
        <w:t>方面的问题</w:t>
      </w:r>
      <w:r>
        <w:rPr>
          <w:rFonts w:hint="eastAsia"/>
          <w:lang w:eastAsia="zh-CN"/>
        </w:rPr>
        <w:t>。会议通过深入的探讨和研究，明确了经济建设在党和国家工作中的</w:t>
      </w:r>
      <w:r>
        <w:rPr>
          <w:rFonts w:hint="eastAsia"/>
          <w:lang w:val="en-US" w:eastAsia="zh-CN"/>
        </w:rPr>
        <w:t>中心</w:t>
      </w:r>
      <w:r>
        <w:rPr>
          <w:rFonts w:hint="eastAsia"/>
          <w:lang w:eastAsia="zh-CN"/>
        </w:rPr>
        <w:t>地位，并以此为起点，拉开了改革开放的历史新篇章。</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在经济建设方面，</w:t>
      </w:r>
      <w:r>
        <w:rPr>
          <w:rFonts w:hint="eastAsia"/>
          <w:lang w:eastAsia="zh-CN"/>
        </w:rPr>
        <w:t>消费、投资和出口三大领域通常被</w:t>
      </w:r>
      <w:r>
        <w:rPr>
          <w:rFonts w:hint="eastAsia"/>
          <w:lang w:val="en-US" w:eastAsia="zh-CN"/>
        </w:rPr>
        <w:t>视为促进</w:t>
      </w:r>
      <w:r>
        <w:rPr>
          <w:rFonts w:hint="eastAsia"/>
          <w:lang w:eastAsia="zh-CN"/>
        </w:rPr>
        <w:t>经济增长的马车，对整体经济增长起到至关重要的作用。</w:t>
      </w:r>
      <w:r>
        <w:rPr>
          <w:rFonts w:hint="eastAsia"/>
          <w:lang w:val="en-US" w:eastAsia="zh-CN"/>
        </w:rPr>
        <w:t>根据李占风和袁知英的研究结果显示</w:t>
      </w:r>
      <w:r>
        <w:rPr>
          <w:rStyle w:val="11"/>
          <w:rFonts w:hint="eastAsia"/>
          <w:highlight w:val="none"/>
          <w:lang w:val="en-US" w:eastAsia="zh-CN"/>
        </w:rPr>
        <w:footnoteReference w:id="0"/>
      </w:r>
      <w:r>
        <w:rPr>
          <w:rFonts w:hint="eastAsia"/>
          <w:lang w:val="en-US" w:eastAsia="zh-CN"/>
        </w:rPr>
        <w:t>，样本期间内，政府支出对于中国经济发展产生最大的影响力，每当政府支出的规模提升一单位，相应的生产量就会上升1.73单位。这表明，适当扩大政府开销可以成为促进经济发展的关键策略之一。然而，分析以2006年为基准计算的弹性系数，却是消费者支出对经济增速的变化产生了最高的效应，其产量弹性值达到了0.48。因此，长期来看，消费者支出的持续扩张将会是刺激经济的发展的最有效的方法。</w:t>
      </w:r>
    </w:p>
    <w:p>
      <w:pPr>
        <w:pStyle w:val="5"/>
        <w:jc w:val="center"/>
        <w:rPr>
          <w:rFonts w:hint="eastAsia"/>
          <w:lang w:val="en-US" w:eastAsia="zh-CN"/>
        </w:rPr>
      </w:pPr>
      <w:r>
        <w:rPr>
          <w:rFonts w:hint="eastAsia"/>
          <w:highlight w:val="yellow"/>
          <w:lang w:val="en-US" w:eastAsia="zh-CN"/>
        </w:rPr>
        <w:drawing>
          <wp:anchor distT="0" distB="0" distL="114300" distR="114300" simplePos="0" relativeHeight="251659264" behindDoc="0" locked="0" layoutInCell="1" allowOverlap="1">
            <wp:simplePos x="0" y="0"/>
            <wp:positionH relativeFrom="column">
              <wp:posOffset>664210</wp:posOffset>
            </wp:positionH>
            <wp:positionV relativeFrom="paragraph">
              <wp:posOffset>46990</wp:posOffset>
            </wp:positionV>
            <wp:extent cx="3982085" cy="2023110"/>
            <wp:effectExtent l="0" t="0" r="10795" b="3810"/>
            <wp:wrapTopAndBottom/>
            <wp:docPr id="1" name="图片 1" descr="2"/>
            <wp:cNvGraphicFramePr/>
            <a:graphic xmlns:a="http://schemas.openxmlformats.org/drawingml/2006/main">
              <a:graphicData uri="http://schemas.openxmlformats.org/drawingml/2006/picture">
                <pic:pic xmlns:pic="http://schemas.openxmlformats.org/drawingml/2006/picture">
                  <pic:nvPicPr>
                    <pic:cNvPr id="1" name="图片 1" descr="2"/>
                    <pic:cNvPicPr/>
                  </pic:nvPicPr>
                  <pic:blipFill>
                    <a:blip r:embed="rId8"/>
                    <a:stretch>
                      <a:fillRect/>
                    </a:stretch>
                  </pic:blipFill>
                  <pic:spPr>
                    <a:xfrm>
                      <a:off x="0" y="0"/>
                      <a:ext cx="3982085" cy="2023110"/>
                    </a:xfrm>
                    <a:prstGeom prst="rect">
                      <a:avLst/>
                    </a:prstGeom>
                  </pic:spPr>
                </pic:pic>
              </a:graphicData>
            </a:graphic>
          </wp:anchor>
        </w:drawing>
      </w:r>
      <w:r>
        <w:t>图表</w:t>
      </w:r>
      <w:r>
        <w:fldChar w:fldCharType="begin"/>
      </w:r>
      <w:r>
        <w:instrText xml:space="preserve"> SEQ 图表 \* ARABIC </w:instrText>
      </w:r>
      <w:r>
        <w:fldChar w:fldCharType="separate"/>
      </w:r>
      <w:r>
        <w:t>1</w:t>
      </w:r>
      <w:r>
        <w:fldChar w:fldCharType="end"/>
      </w:r>
      <w:r>
        <w:rPr>
          <w:rFonts w:hint="eastAsia"/>
          <w:lang w:val="en-US" w:eastAsia="zh-CN"/>
        </w:rPr>
        <w:t xml:space="preserve"> </w:t>
      </w:r>
      <w:r>
        <w:rPr>
          <w:rFonts w:hint="eastAsia"/>
          <w:lang w:eastAsia="zh-CN"/>
        </w:rPr>
        <w:t>三大需求对生产总值的影响程度和推动力</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highlight w:val="none"/>
          <w:lang w:val="en-US" w:eastAsia="zh-CN"/>
        </w:rPr>
        <w:t>因此，本篇论文将从中国居民消费结构优化与途径升级的角度切入，通过分析居民消费这一“推动经济增长的最有效手段”</w:t>
      </w:r>
      <w:r>
        <w:rPr>
          <w:rStyle w:val="11"/>
          <w:rFonts w:hint="eastAsia"/>
          <w:highlight w:val="none"/>
          <w:lang w:val="en-US" w:eastAsia="zh-CN"/>
        </w:rPr>
        <w:footnoteReference w:id="1"/>
      </w:r>
      <w:r>
        <w:rPr>
          <w:rFonts w:hint="eastAsia"/>
          <w:highlight w:val="none"/>
          <w:lang w:val="en-US" w:eastAsia="zh-CN"/>
        </w:rPr>
        <w:t>，展现改革开放对于促进经济发展和增进民生福祉的积极影响。</w:t>
      </w:r>
    </w:p>
    <w:p>
      <w:pPr>
        <w:pStyle w:val="3"/>
        <w:numPr>
          <w:ilvl w:val="0"/>
          <w:numId w:val="1"/>
        </w:numPr>
        <w:bidi w:val="0"/>
        <w:rPr>
          <w:rFonts w:hint="default"/>
          <w:lang w:val="en-US" w:eastAsia="zh-CN"/>
        </w:rPr>
      </w:pPr>
      <w:r>
        <w:rPr>
          <w:rFonts w:hint="eastAsia"/>
          <w:lang w:val="en-US" w:eastAsia="zh-CN"/>
        </w:rPr>
        <w:t>居民消费结构优化</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在四十五年的改革开放历程中，中国经济运行机制经历了显著变革，市场导向作用得到强化，消费对经济增长的贡献日益凸显。在此背景下，消费理论研究在经济研究领域中的地位愈发重要。伴随着中国经济体系逐渐摆脱计划模式而走向市场化，城市人口的消费结构也发生了重大转变。其中食品、衣着和家庭设备等商品的消费支出占比已经明显下滑，而医疗、交通、娱乐教育和居住等服务性消费的支出份额则呈现出大幅增长的趋势</w:t>
      </w:r>
      <w:r>
        <w:rPr>
          <w:rStyle w:val="11"/>
          <w:rFonts w:hint="eastAsia"/>
          <w:highlight w:val="none"/>
          <w:lang w:val="en-US" w:eastAsia="zh-CN"/>
        </w:rPr>
        <w:footnoteReference w:id="2"/>
      </w:r>
      <w:r>
        <w:rPr>
          <w:rFonts w:hint="eastAsia"/>
          <w:highlight w:val="none"/>
          <w:lang w:val="en-US" w:eastAsia="zh-CN"/>
        </w:rPr>
        <w:t>。这一变化表明，我国居民消费结构正在经历重要改进，从以商品消费为主转向了以服务消费为主。</w:t>
      </w:r>
    </w:p>
    <w:tbl>
      <w:tblPr>
        <w:tblStyle w:val="8"/>
        <w:tblW w:w="5000" w:type="pct"/>
        <w:jc w:val="center"/>
        <w:tblDescription w:val="{&quot;column&quot;:{&quot;emphasizeNum&quot;:1,&quot;emphasizeType&quot;:1,&quot;headerCellStyle&quot;:{&quot;bBoldFont&quot;:true,&quot;bValid&quot;:true,&quot;backgroundColor&quot;:&quot;#ffffff&quot;,&quot;borders&quot;:[{&quot;borderColor&quot;:&quot;#535353&quot;,&quot;borderType&quot;:-4,&quot;lineStyle&quot;:1,&quot;lineWidth&quot;:18},{&quot;borderColor&quot;:&quot;#000000&quot;,&quot;borderType&quot;:-3,&quot;lineStyle&quot;:1,&quot;lineWidth&quot;:4},{&quot;borderColor&quot;:&quot;#535353&quot;,&quot;borderType&quot;:-2,&quot;lineStyle&quot;:1,&quot;lineWidth&quot;:18},{&quot;borderColor&quot;:&quot;#535353&quot;,&quot;borderType&quot;:-1,&quot;lineStyle&quot;:1,&quot;lineWidth&quot;:18}],&quot;fontColor&quot;:&quot;#535353&quot;},&quot;originStyle&quot;:{&quot;bBoldFont&quot;:true,&quot;bValid&quot;:true,&quot;backgroundColor&quot;:&quot;#ffffff&quot;,&quot;borders&quot;:[{&quot;borderColor&quot;:&quot;#535353&quot;,&quot;borderType&quot;:-4,&quot;lineStyle&quot;:1,&quot;lineWidth&quot;:18},{&quot;borderColor&quot;:&quot;#000000&quot;,&quot;borderType&quot;:-3,&quot;lineStyle&quot;:1,&quot;lineWidth&quot;:4},{&quot;borderColor&quot;:&quot;#535353&quot;,&quot;borderType&quot;:-2,&quot;lineStyle&quot;:1,&quot;lineWidth&quot;:18},{&quot;borderColor&quot;:&quot;#000000&quot;,&quot;borderType&quot;:-1,&quot;lineStyle&quot;:1,&quot;lineWidth&quot;:4}],&quot;fontColor&quot;:&quot;#535353&quo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6"/>
        <w:gridCol w:w="825"/>
        <w:gridCol w:w="825"/>
        <w:gridCol w:w="825"/>
        <w:gridCol w:w="825"/>
        <w:gridCol w:w="825"/>
        <w:gridCol w:w="825"/>
        <w:gridCol w:w="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pPr>
              <w:widowControl w:val="0"/>
              <w:numPr>
                <w:ilvl w:val="0"/>
                <w:numId w:val="0"/>
              </w:numPr>
              <w:spacing w:line="400" w:lineRule="exact"/>
              <w:jc w:val="both"/>
              <w:rPr>
                <w:rFonts w:hint="eastAsia"/>
                <w:b/>
                <w:color w:val="7F7F7F"/>
                <w:highlight w:val="none"/>
                <w:vertAlign w:val="baseline"/>
                <w:lang w:val="en-US" w:eastAsia="zh-CN"/>
              </w:rPr>
            </w:pPr>
          </w:p>
        </w:tc>
        <w:tc>
          <w:tcPr>
            <w:tcW w:w="484" w:type="pct"/>
            <w:tcBorders>
              <w:left w:val="single" w:color="auto" w:sz="4" w:space="0"/>
            </w:tcBorders>
            <w:shd w:val="clear" w:color="auto" w:fill="F1F1F1" w:themeFill="background1" w:themeFillShade="F2"/>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2013</w:t>
            </w:r>
          </w:p>
        </w:tc>
        <w:tc>
          <w:tcPr>
            <w:tcW w:w="484" w:type="pct"/>
            <w:shd w:val="clear" w:color="auto" w:fill="F1F1F1" w:themeFill="background1" w:themeFillShade="F2"/>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2014</w:t>
            </w:r>
          </w:p>
        </w:tc>
        <w:tc>
          <w:tcPr>
            <w:tcW w:w="484" w:type="pct"/>
            <w:shd w:val="clear" w:color="auto" w:fill="F1F1F1" w:themeFill="background1" w:themeFillShade="F2"/>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2015</w:t>
            </w:r>
          </w:p>
        </w:tc>
        <w:tc>
          <w:tcPr>
            <w:tcW w:w="484" w:type="pct"/>
            <w:shd w:val="clear" w:color="auto" w:fill="F1F1F1" w:themeFill="background1" w:themeFillShade="F2"/>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2016</w:t>
            </w:r>
          </w:p>
        </w:tc>
        <w:tc>
          <w:tcPr>
            <w:tcW w:w="484" w:type="pct"/>
            <w:shd w:val="clear" w:color="auto" w:fill="F1F1F1" w:themeFill="background1" w:themeFillShade="F2"/>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2017</w:t>
            </w:r>
          </w:p>
        </w:tc>
        <w:tc>
          <w:tcPr>
            <w:tcW w:w="484" w:type="pct"/>
            <w:shd w:val="clear" w:color="auto" w:fill="F1F1F1" w:themeFill="background1" w:themeFillShade="F2"/>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2018</w:t>
            </w:r>
          </w:p>
        </w:tc>
        <w:tc>
          <w:tcPr>
            <w:tcW w:w="484" w:type="pct"/>
            <w:shd w:val="clear" w:color="auto" w:fill="F1F1F1" w:themeFill="background1" w:themeFillShade="F2"/>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pPr>
              <w:widowControl w:val="0"/>
              <w:numPr>
                <w:ilvl w:val="0"/>
                <w:numId w:val="0"/>
              </w:numPr>
              <w:spacing w:line="400" w:lineRule="exact"/>
              <w:jc w:val="both"/>
              <w:rPr>
                <w:rFonts w:hint="eastAsia" w:ascii="宋体" w:hAnsi="宋体" w:eastAsia="宋体" w:cs="宋体"/>
                <w:b/>
                <w:bCs w:val="0"/>
                <w:color w:val="7F7F7F"/>
                <w:highlight w:val="none"/>
                <w:vertAlign w:val="baseline"/>
                <w:lang w:val="en-US" w:eastAsia="zh-CN"/>
              </w:rPr>
            </w:pPr>
            <w:r>
              <w:rPr>
                <w:rFonts w:hint="eastAsia" w:ascii="宋体" w:hAnsi="宋体" w:eastAsia="宋体" w:cs="宋体"/>
                <w:b/>
                <w:bCs w:val="0"/>
                <w:color w:val="7F7F7F"/>
                <w:highlight w:val="none"/>
                <w:vertAlign w:val="baseline"/>
                <w:lang w:val="en-US" w:eastAsia="zh-CN"/>
              </w:rPr>
              <w:t>城镇居民人均消费支出</w:t>
            </w:r>
          </w:p>
          <w:p>
            <w:pPr>
              <w:widowControl w:val="0"/>
              <w:numPr>
                <w:ilvl w:val="0"/>
                <w:numId w:val="0"/>
              </w:numPr>
              <w:spacing w:line="400" w:lineRule="exact"/>
              <w:jc w:val="both"/>
              <w:rPr>
                <w:rFonts w:hint="eastAsia" w:ascii="宋体" w:hAnsi="宋体" w:eastAsia="宋体" w:cs="宋体"/>
                <w:b/>
                <w:bCs w:val="0"/>
                <w:color w:val="7F7F7F"/>
                <w:highlight w:val="none"/>
                <w:vertAlign w:val="baseline"/>
                <w:lang w:val="en-US" w:eastAsia="zh-CN"/>
              </w:rPr>
            </w:pPr>
            <w:r>
              <w:rPr>
                <w:rFonts w:hint="eastAsia" w:ascii="宋体" w:hAnsi="宋体" w:eastAsia="宋体" w:cs="宋体"/>
                <w:b/>
                <w:bCs w:val="0"/>
                <w:color w:val="7F7F7F"/>
                <w:highlight w:val="none"/>
                <w:vertAlign w:val="baseline"/>
                <w:lang w:val="en-US" w:eastAsia="zh-CN"/>
              </w:rPr>
              <w:t>/元</w:t>
            </w:r>
          </w:p>
        </w:tc>
        <w:tc>
          <w:tcPr>
            <w:tcW w:w="484" w:type="pct"/>
            <w:tcBorders>
              <w:left w:val="single" w:color="auto" w:sz="4" w:space="0"/>
            </w:tcBorders>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18488</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19968</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21392</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23079</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24445</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26112</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30391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pPr>
              <w:widowControl w:val="0"/>
              <w:numPr>
                <w:ilvl w:val="0"/>
                <w:numId w:val="0"/>
              </w:numPr>
              <w:spacing w:line="400" w:lineRule="exact"/>
              <w:jc w:val="both"/>
              <w:rPr>
                <w:rFonts w:hint="eastAsia" w:ascii="宋体" w:hAnsi="宋体" w:eastAsia="宋体" w:cs="宋体"/>
                <w:b/>
                <w:bCs w:val="0"/>
                <w:color w:val="7F7F7F"/>
                <w:highlight w:val="none"/>
                <w:vertAlign w:val="baseline"/>
                <w:lang w:val="en-US" w:eastAsia="zh-CN"/>
              </w:rPr>
            </w:pPr>
            <w:r>
              <w:rPr>
                <w:rFonts w:hint="eastAsia" w:ascii="宋体" w:hAnsi="宋体" w:eastAsia="宋体" w:cs="宋体"/>
                <w:b/>
                <w:bCs w:val="0"/>
                <w:color w:val="7F7F7F"/>
                <w:highlight w:val="none"/>
                <w:vertAlign w:val="baseline"/>
                <w:lang w:val="en-US" w:eastAsia="zh-CN"/>
              </w:rPr>
              <w:t>城镇居民人均服务性消费支出/元</w:t>
            </w:r>
          </w:p>
        </w:tc>
        <w:tc>
          <w:tcPr>
            <w:tcW w:w="484" w:type="pct"/>
            <w:tcBorders>
              <w:left w:val="single" w:color="auto" w:sz="4" w:space="0"/>
            </w:tcBorders>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7706</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8438</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9192</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10068</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10854</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12130</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13723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1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pPr>
              <w:widowControl w:val="0"/>
              <w:numPr>
                <w:ilvl w:val="0"/>
                <w:numId w:val="0"/>
              </w:numPr>
              <w:spacing w:line="400" w:lineRule="exact"/>
              <w:jc w:val="both"/>
              <w:rPr>
                <w:rFonts w:hint="eastAsia" w:ascii="宋体" w:hAnsi="宋体" w:eastAsia="宋体" w:cs="宋体"/>
                <w:b/>
                <w:bCs w:val="0"/>
                <w:color w:val="7F7F7F"/>
                <w:highlight w:val="none"/>
                <w:vertAlign w:val="baseline"/>
                <w:lang w:val="en-US" w:eastAsia="zh-CN"/>
              </w:rPr>
            </w:pPr>
            <w:r>
              <w:rPr>
                <w:rFonts w:hint="eastAsia" w:ascii="宋体" w:hAnsi="宋体" w:eastAsia="宋体" w:cs="宋体"/>
                <w:b/>
                <w:bCs w:val="0"/>
                <w:color w:val="7F7F7F"/>
                <w:highlight w:val="none"/>
                <w:vertAlign w:val="baseline"/>
                <w:lang w:val="en-US" w:eastAsia="zh-CN"/>
              </w:rPr>
              <w:t>城镇居民人均服务性消费支出占总消费比例</w:t>
            </w:r>
          </w:p>
        </w:tc>
        <w:tc>
          <w:tcPr>
            <w:tcW w:w="484" w:type="pct"/>
            <w:tcBorders>
              <w:left w:val="single" w:color="auto" w:sz="4" w:space="0"/>
            </w:tcBorders>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41.6%</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42.3%</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42.9%</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43.6%</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44.4%</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46.4%</w:t>
            </w:r>
          </w:p>
        </w:tc>
        <w:tc>
          <w:tcPr>
            <w:tcW w:w="484" w:type="pct"/>
          </w:tcPr>
          <w:p>
            <w:pPr>
              <w:widowControl w:val="0"/>
              <w:numPr>
                <w:ilvl w:val="0"/>
                <w:numId w:val="0"/>
              </w:numPr>
              <w:spacing w:line="400" w:lineRule="exact"/>
              <w:jc w:val="both"/>
              <w:rPr>
                <w:rFonts w:hint="default"/>
                <w:highlight w:val="none"/>
                <w:vertAlign w:val="baseline"/>
                <w:lang w:val="en-US" w:eastAsia="zh-CN"/>
              </w:rPr>
            </w:pPr>
            <w:r>
              <w:rPr>
                <w:rFonts w:hint="eastAsia"/>
                <w:highlight w:val="none"/>
                <w:vertAlign w:val="baseline"/>
                <w:lang w:val="en-US" w:eastAsia="zh-CN"/>
              </w:rPr>
              <w:t>45.1%</w:t>
            </w:r>
          </w:p>
        </w:tc>
      </w:tr>
    </w:tbl>
    <w:p>
      <w:pPr>
        <w:pStyle w:val="5"/>
        <w:jc w:val="center"/>
        <w:rPr>
          <w:rFonts w:hint="eastAsia"/>
          <w:highlight w:val="yellow"/>
          <w:lang w:val="en-US" w:eastAsia="zh-CN"/>
        </w:rPr>
      </w:pPr>
      <w:r>
        <w:t>图表</w:t>
      </w:r>
      <w:r>
        <w:rPr>
          <w:rFonts w:hint="eastAsia"/>
          <w:lang w:val="en-US" w:eastAsia="zh-CN"/>
        </w:rPr>
        <w:t>2 城镇居民人均消费结构转变（数据来源：国家统计局）</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在传统的计划经济体制中，经济决策的权力被高度集中化。国家在宏观层面上负责对资源进行配置，并且甚至精细到微观的企业和个人的收入与支出都进行计划性安排，以实现资源在微观主体间的优化配置。这导致了在国家和政府体系之外，实际上并不存在真正的微观经济主体。居民消费的方式和选择受到严格的限制，消费结构和层次相对单一。</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然而，随着改革开放的深入推进，我国在改革开放战略下经历了重要的经济转型</w:t>
      </w:r>
      <w:r>
        <w:rPr>
          <w:rStyle w:val="11"/>
          <w:rFonts w:hint="eastAsia"/>
          <w:highlight w:val="none"/>
          <w:lang w:val="en-US" w:eastAsia="zh-CN"/>
        </w:rPr>
        <w:footnoteReference w:id="3"/>
      </w:r>
      <w:r>
        <w:rPr>
          <w:rFonts w:hint="eastAsia"/>
          <w:highlight w:val="none"/>
          <w:lang w:val="en-US" w:eastAsia="zh-CN"/>
        </w:rPr>
        <w:t>。无可否认的是，市场化是经济转型的核心部分，而改革的主要目标则是持续增强市场的资源分配功能，以实现由传统的计划经济模式向社会主义市场经济体系的转换。同时，这也导致了消费者消费结构的巨大变化。</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一方面，居民收入水平的提高为消费结构优化奠定了基础。经济体制改革的深入实施使国民经济持续快速增长，居民收入水平显著提升。收入水平的提高使得居民有了更多的可支配收入用于消费，推动了消费市场的繁荣。同时，随着人们收入的增长，他们对消费品的需求也从基础的物质需求转向更高级别的需求，促使消费结构向更高层次优化。</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另一方面，政策引导和市场机制的共同作用推动了消费结构的优化。在改革开放过程中，政府实施了一系列刺激消费、扩大内需的政策手段，对推动消费者市场健康进步起到了关键作用。比如，政府加强自主品牌建设，积极调整国内产品与服务的供应结构，以全面提高我国产品的质量及服务水平；政府同时也致力于创建城市乡村一体化的消费网络，加强消费物流基础建设，配合地区发展规划，建立消费核心区，改善城市的商贸设施分布；此外，政府还加速推进“智能+”型消费生态环境的形成，激励线上线下混合式消费方式发展等等</w:t>
      </w:r>
      <w:r>
        <w:rPr>
          <w:rStyle w:val="11"/>
          <w:rFonts w:hint="eastAsia"/>
          <w:highlight w:val="none"/>
          <w:lang w:val="en-US" w:eastAsia="zh-CN"/>
        </w:rPr>
        <w:footnoteReference w:id="4"/>
      </w:r>
      <w:r>
        <w:rPr>
          <w:rFonts w:hint="eastAsia"/>
          <w:highlight w:val="none"/>
          <w:lang w:val="en-US" w:eastAsia="zh-CN"/>
        </w:rPr>
        <w:t>。诸上举措，有效提升了居民消费能力，促进重点群体增收，激发消费潜力，稳定和增加了居民财产性收入。在这样的环境下，消费结构逐渐从以物质消费为主向服务消费、精神文化消费等多元化方向转变，消费层次得到提升。</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近年来，受疫情、国际环境等多方位因素影响，我国经济新常态出现消费增速放缓的现象，引发了一场围绕“消费降级”的大众热议与争议，社会对促进居民消费、进而带动经济发展的策略似乎不甚乐观。然而，孙兴杰等人的研究结果表明，我国消费市场表现出消费分层的特征，且短期内居民消费变动呈现的主要是不同群体消费升级速度的差异，并不是明显的“升级”和“降级”的区别</w:t>
      </w:r>
      <w:r>
        <w:rPr>
          <w:rStyle w:val="11"/>
          <w:rFonts w:hint="eastAsia"/>
          <w:highlight w:val="none"/>
          <w:lang w:val="en-US" w:eastAsia="zh-CN"/>
        </w:rPr>
        <w:footnoteReference w:id="5"/>
      </w:r>
      <w:r>
        <w:rPr>
          <w:rFonts w:hint="eastAsia"/>
          <w:highlight w:val="none"/>
          <w:lang w:val="en-US" w:eastAsia="zh-CN"/>
        </w:rPr>
        <w:t>。因此，改革开放视野下，居民消费结构优化既是经济稳健增长、人们生活福祉增加的一面镜子，也是促进经济增长的重要动力。</w:t>
      </w:r>
    </w:p>
    <w:p>
      <w:pPr>
        <w:pStyle w:val="3"/>
        <w:numPr>
          <w:ilvl w:val="0"/>
          <w:numId w:val="1"/>
        </w:numPr>
        <w:bidi w:val="0"/>
        <w:rPr>
          <w:rFonts w:hint="eastAsia"/>
          <w:lang w:val="en-US" w:eastAsia="zh-CN"/>
        </w:rPr>
      </w:pPr>
      <w:r>
        <w:rPr>
          <w:rFonts w:hint="eastAsia"/>
          <w:lang w:val="en-US" w:eastAsia="zh-CN"/>
        </w:rPr>
        <w:t>居民消费途径升级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根据2020年第二十次中国市场产品销售统计信息研究结果显示，近年来，中国的电子商务发展迅速且取得重大成果：线上购买金额自2015年的21.8万亿人民币增长到2020年的37.2万亿人民币；全社会的网购销售量在2020年度达到了11.8万亿人民币，我国已连续8年成为全球规模最大的网络零售市场；实体产品的互联网零售占比在2020年占据了整个社会消费品零售总量的四分之一，电子商务已经成为居民消费的主渠道之一；电子商务从业人员规模超过6000万，新兴行业与创新商业模式也催生出了大量的新型职位及工作机会，从而为社会稳定做出了巨大贡献。这些数据充分说明，电子商务已经全面融入我国生产生活各领域，并以一种积极的方式影响着人们的生活质量和社会经济的发展。</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7"/>
        <w:gridCol w:w="1942"/>
        <w:gridCol w:w="1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4" w:type="pct"/>
            <w:shd w:val="clear" w:color="auto" w:fill="F1F1F1" w:themeFill="background1" w:themeFillShade="F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highlight w:val="none"/>
                <w:vertAlign w:val="baseline"/>
                <w:lang w:val="en-US" w:eastAsia="zh-CN"/>
              </w:rPr>
            </w:pPr>
          </w:p>
        </w:tc>
        <w:tc>
          <w:tcPr>
            <w:tcW w:w="1139" w:type="pct"/>
            <w:shd w:val="clear" w:color="auto" w:fill="F1F1F1" w:themeFill="background1" w:themeFillShade="F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highlight w:val="none"/>
                <w:vertAlign w:val="baseline"/>
                <w:lang w:val="en-US" w:eastAsia="zh-CN"/>
              </w:rPr>
            </w:pPr>
            <w:r>
              <w:rPr>
                <w:rFonts w:hint="eastAsia"/>
                <w:highlight w:val="none"/>
                <w:vertAlign w:val="baseline"/>
                <w:lang w:val="en-US" w:eastAsia="zh-CN"/>
              </w:rPr>
              <w:t>2013</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第三次经济普查</w:t>
            </w:r>
          </w:p>
        </w:tc>
        <w:tc>
          <w:tcPr>
            <w:tcW w:w="1145" w:type="pct"/>
            <w:shd w:val="clear" w:color="auto" w:fill="F1F1F1" w:themeFill="background1" w:themeFillShade="F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highlight w:val="none"/>
                <w:vertAlign w:val="baseline"/>
                <w:lang w:val="en-US" w:eastAsia="zh-CN"/>
              </w:rPr>
            </w:pPr>
            <w:r>
              <w:rPr>
                <w:rFonts w:hint="eastAsia"/>
                <w:highlight w:val="none"/>
                <w:vertAlign w:val="baseline"/>
                <w:lang w:val="en-US" w:eastAsia="zh-CN"/>
              </w:rPr>
              <w:t>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第四次经济普查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4" w:type="pct"/>
            <w:shd w:val="clear" w:color="auto" w:fill="F1F1F1" w:themeFill="background1" w:themeFillShade="F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全国使用互联网在线提供产品的企业比重</w:t>
            </w:r>
          </w:p>
        </w:tc>
        <w:tc>
          <w:tcPr>
            <w:tcW w:w="1139"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12.3%</w:t>
            </w:r>
          </w:p>
        </w:tc>
        <w:tc>
          <w:tcPr>
            <w:tcW w:w="1145"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14.2%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4" w:type="pct"/>
            <w:shd w:val="clear" w:color="auto" w:fill="F1F1F1" w:themeFill="background1" w:themeFillShade="F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全国通过互联网进行宣传推广的企业比重</w:t>
            </w:r>
          </w:p>
        </w:tc>
        <w:tc>
          <w:tcPr>
            <w:tcW w:w="1139"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70.4%</w:t>
            </w:r>
          </w:p>
        </w:tc>
        <w:tc>
          <w:tcPr>
            <w:tcW w:w="1145"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83.4%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4" w:type="pct"/>
            <w:shd w:val="clear" w:color="auto" w:fill="F1F1F1" w:themeFill="background1" w:themeFillShade="F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全国提供电子商务交易平台企业数/个</w:t>
            </w:r>
          </w:p>
        </w:tc>
        <w:tc>
          <w:tcPr>
            <w:tcW w:w="1139"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15054</w:t>
            </w:r>
          </w:p>
        </w:tc>
        <w:tc>
          <w:tcPr>
            <w:tcW w:w="1145"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72441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14" w:type="pct"/>
            <w:shd w:val="clear" w:color="auto" w:fill="F1F1F1" w:themeFill="background1" w:themeFillShade="F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全国提供电子商务交易企业年交易额/亿</w:t>
            </w:r>
          </w:p>
        </w:tc>
        <w:tc>
          <w:tcPr>
            <w:tcW w:w="1139"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57566.0</w:t>
            </w:r>
          </w:p>
        </w:tc>
        <w:tc>
          <w:tcPr>
            <w:tcW w:w="1145" w:type="pc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highlight w:val="none"/>
                <w:vertAlign w:val="baseline"/>
                <w:lang w:val="en-US" w:eastAsia="zh-CN"/>
              </w:rPr>
            </w:pPr>
            <w:r>
              <w:rPr>
                <w:rFonts w:hint="eastAsia"/>
                <w:highlight w:val="none"/>
                <w:vertAlign w:val="baseline"/>
                <w:lang w:val="en-US" w:eastAsia="zh-CN"/>
              </w:rPr>
              <w:t>152424.5</w:t>
            </w:r>
          </w:p>
        </w:tc>
      </w:tr>
    </w:tbl>
    <w:p>
      <w:pPr>
        <w:pStyle w:val="5"/>
        <w:jc w:val="center"/>
        <w:rPr>
          <w:rFonts w:hint="eastAsia"/>
          <w:highlight w:val="none"/>
          <w:lang w:val="en-US" w:eastAsia="zh-CN"/>
        </w:rPr>
      </w:pPr>
      <w:r>
        <w:t>图表</w:t>
      </w:r>
      <w:r>
        <w:rPr>
          <w:rFonts w:hint="eastAsia"/>
          <w:lang w:val="en-US" w:eastAsia="zh-CN"/>
        </w:rPr>
        <w:t>3 电子商务平台相关数据比较（数据来源：国务院全国经济普查办公室）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highlight w:val="none"/>
          <w:lang w:val="en-US" w:eastAsia="zh-CN"/>
        </w:rPr>
      </w:pPr>
      <w:r>
        <w:rPr>
          <w:rFonts w:hint="default"/>
          <w:highlight w:val="none"/>
          <w:lang w:val="en-US" w:eastAsia="zh-CN"/>
        </w:rPr>
        <w:t>尽管2015年以来网购增速呈放缓趋势</w:t>
      </w:r>
      <w:r>
        <w:rPr>
          <w:rFonts w:hint="eastAsia"/>
          <w:highlight w:val="none"/>
          <w:lang w:val="en-US" w:eastAsia="zh-CN"/>
        </w:rPr>
        <w:t>，</w:t>
      </w:r>
      <w:r>
        <w:rPr>
          <w:rFonts w:hint="default"/>
          <w:highlight w:val="none"/>
          <w:lang w:val="en-US" w:eastAsia="zh-CN"/>
        </w:rPr>
        <w:t>但</w:t>
      </w:r>
      <w:r>
        <w:rPr>
          <w:rFonts w:hint="eastAsia"/>
          <w:highlight w:val="none"/>
          <w:lang w:val="en-US" w:eastAsia="zh-CN"/>
        </w:rPr>
        <w:t>电子商务</w:t>
      </w:r>
      <w:r>
        <w:rPr>
          <w:rFonts w:hint="default"/>
          <w:highlight w:val="none"/>
          <w:lang w:val="en-US" w:eastAsia="zh-CN"/>
        </w:rPr>
        <w:t>对消费品市场的推动作用愈发显著</w:t>
      </w:r>
      <w:r>
        <w:rPr>
          <w:rFonts w:hint="eastAsia"/>
          <w:highlight w:val="none"/>
          <w:lang w:val="en-US" w:eastAsia="zh-CN"/>
        </w:rPr>
        <w:t>，</w:t>
      </w:r>
      <w:r>
        <w:rPr>
          <w:rFonts w:hint="default"/>
          <w:highlight w:val="none"/>
          <w:lang w:val="en-US" w:eastAsia="zh-CN"/>
        </w:rPr>
        <w:t>网购逐渐成为居民消费的主要渠道</w:t>
      </w:r>
      <w:r>
        <w:rPr>
          <w:rStyle w:val="11"/>
          <w:rFonts w:hint="default"/>
          <w:highlight w:val="none"/>
          <w:lang w:val="en-US" w:eastAsia="zh-CN"/>
        </w:rPr>
        <w:footnoteReference w:id="6"/>
      </w:r>
      <w:r>
        <w:rPr>
          <w:rFonts w:hint="eastAsia"/>
          <w:highlight w:val="none"/>
          <w:lang w:val="en-US" w:eastAsia="zh-CN"/>
        </w:rPr>
        <w:t>，中国消费品市场也因此受到显著影响，具体表现在以下几个方面：首先，网购平台通过大数据分析，能够根据消费者的购物习惯和偏好进行个性化推荐，使消费品市场更加细分化，满足了消费者的个性化需求。其次，社交电商的崛起为消费品市场带来了新的增长动力，这种新兴电商模式通过社交网络提供购买服务，让在线购物更加社交化和个性化，吸引了越来越多的年轻消费者。此外，物流和配送服务的优化也是消费品市场发展的一个重要因素。随着网购的普及和物流技术的进步，快速、便捷的配送方式提高了消费者的满意度和忠诚度，进一步推动了消费品市场的发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ighlight w:val="none"/>
          <w:lang w:val="en-US" w:eastAsia="zh-CN"/>
        </w:rPr>
      </w:pPr>
      <w:r>
        <w:rPr>
          <w:rFonts w:hint="eastAsia"/>
          <w:highlight w:val="none"/>
          <w:lang w:val="en-US" w:eastAsia="zh-CN"/>
        </w:rPr>
        <w:t>然而，电子商务的快速发展也催生了一种新的业态——直播带货，它在促进灵活就业和拉动社会消费方面发挥了积极作用。然而，直播带货发展过程中也暴露出许多问题。诸多案例表明，网红作为沟通商家和消费者之间的桥梁，赚取消费者对其信任，到现在竟变成了敛财机器</w:t>
      </w:r>
      <w:r>
        <w:rPr>
          <w:rStyle w:val="11"/>
          <w:rFonts w:hint="eastAsia"/>
          <w:highlight w:val="none"/>
          <w:lang w:val="en-US" w:eastAsia="zh-CN"/>
        </w:rPr>
        <w:footnoteReference w:id="7"/>
      </w:r>
      <w:r>
        <w:rPr>
          <w:rFonts w:hint="eastAsia"/>
          <w:highlight w:val="none"/>
          <w:lang w:val="en-US" w:eastAsia="zh-CN"/>
        </w:rPr>
        <w:t>。直播带货中普遍存在夸大宣传、数据造假、产品质量低、售后服务差等问题，严重侵犯了消费者的权益。如果这种信任无法得到重建，将导致大量消费者流失，对直播带货行业造成毁灭性的打击，进而挫伤整个消费市场的活力。为了解决这一问题，需要各方共同努力。首先，政府部门应加强对直播带货行业的监管力度，制定更为严格的法规和标准，并严厉打击违规行为；其次，电商平台应强化管理，建立完善的审核机制和投诉渠道，确保消费者权益得到有效保障；最后，主播和商家应自觉遵守法律法规和商业道德，提高自律意识，为消费者提供更优质的服务和产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highlight w:val="none"/>
          <w:lang w:val="en-US" w:eastAsia="zh-CN"/>
        </w:rPr>
      </w:pPr>
      <w:r>
        <w:rPr>
          <w:rFonts w:hint="default"/>
          <w:highlight w:val="none"/>
          <w:lang w:val="en-US" w:eastAsia="zh-CN"/>
        </w:rPr>
        <w:t>综上所述</w:t>
      </w:r>
      <w:r>
        <w:rPr>
          <w:rFonts w:hint="eastAsia"/>
          <w:highlight w:val="none"/>
          <w:lang w:val="en-US" w:eastAsia="zh-CN"/>
        </w:rPr>
        <w:t>，电子商务</w:t>
      </w:r>
      <w:r>
        <w:rPr>
          <w:rFonts w:hint="default"/>
          <w:highlight w:val="none"/>
          <w:lang w:val="en-US" w:eastAsia="zh-CN"/>
        </w:rPr>
        <w:t>对消费品市场的发展产生了深远的影响。随着新零售的崛起，线上和线下渠道的边界正在逐步模糊。</w:t>
      </w:r>
      <w:r>
        <w:rPr>
          <w:rFonts w:hint="eastAsia"/>
          <w:highlight w:val="none"/>
          <w:lang w:val="en-US" w:eastAsia="zh-CN"/>
        </w:rPr>
        <w:t>电子商务平台</w:t>
      </w:r>
      <w:r>
        <w:rPr>
          <w:rFonts w:hint="default"/>
          <w:highlight w:val="none"/>
          <w:lang w:val="en-US" w:eastAsia="zh-CN"/>
        </w:rPr>
        <w:t>将进一步整合这两个渠道，为消费者带来更加便利和个性化的购物体验，并继续</w:t>
      </w:r>
      <w:r>
        <w:rPr>
          <w:rFonts w:hint="eastAsia"/>
          <w:highlight w:val="none"/>
          <w:lang w:val="en-US" w:eastAsia="zh-CN"/>
        </w:rPr>
        <w:t>电子商务平台在线上购物中</w:t>
      </w:r>
      <w:r>
        <w:rPr>
          <w:rFonts w:hint="default"/>
          <w:highlight w:val="none"/>
          <w:lang w:val="en-US" w:eastAsia="zh-CN"/>
        </w:rPr>
        <w:t>的关键作用，推动消费市场的持久发展。</w:t>
      </w:r>
    </w:p>
    <w:p>
      <w:pPr>
        <w:pStyle w:val="3"/>
        <w:numPr>
          <w:ilvl w:val="0"/>
          <w:numId w:val="1"/>
        </w:numPr>
        <w:bidi w:val="0"/>
        <w:ind w:left="0" w:leftChars="0" w:firstLine="0" w:firstLineChars="0"/>
        <w:rPr>
          <w:rFonts w:hint="eastAsia"/>
          <w:lang w:val="en-US" w:eastAsia="zh-CN"/>
        </w:rPr>
      </w:pPr>
      <w:r>
        <w:rPr>
          <w:rFonts w:hint="eastAsia"/>
          <w:lang w:val="en-US" w:eastAsia="zh-CN"/>
        </w:rPr>
        <w:t>结语</w:t>
      </w:r>
    </w:p>
    <w:p>
      <w:pPr>
        <w:numPr>
          <w:ilvl w:val="0"/>
          <w:numId w:val="0"/>
        </w:numPr>
        <w:ind w:leftChars="0" w:firstLine="420" w:firstLineChars="0"/>
      </w:pPr>
      <w:r>
        <w:rPr>
          <w:rFonts w:hint="eastAsia"/>
          <w:lang w:val="en-US" w:eastAsia="zh-CN"/>
        </w:rPr>
        <w:t>自改革开放以来，中国经济取得了翻天覆地的变化。消费领域发生了巨大变化，消费规模持续扩大，新兴业态不断涌现，物资匮乏、商品短缺和凭证供应的时代一去不复返。消费已成为经济增长的第一驱动力</w:t>
      </w:r>
      <w:r>
        <w:rPr>
          <w:rStyle w:val="11"/>
          <w:rFonts w:hint="eastAsia"/>
          <w:lang w:val="en-US" w:eastAsia="zh-CN"/>
        </w:rPr>
        <w:footnoteReference w:id="8"/>
      </w:r>
      <w:r>
        <w:rPr>
          <w:rFonts w:hint="eastAsia"/>
          <w:lang w:val="en-US" w:eastAsia="zh-CN"/>
        </w:rPr>
        <w:t>。从居民消费角度具体分析，就消费结构而言，居民的消费偏好正在逐步转变：他们正从传统的消费模式转至新型消费模式，更倾向于选择服务型消费，对消费的需求也在朝着多样化、独特性和复杂化的方向演进</w:t>
      </w:r>
      <w:r>
        <w:rPr>
          <w:rFonts w:hint="eastAsia"/>
          <w:highlight w:val="none"/>
          <w:lang w:val="en-US" w:eastAsia="zh-CN"/>
        </w:rPr>
        <w:t>；对消费途径而言，</w:t>
      </w:r>
      <w:r>
        <w:rPr>
          <w:rFonts w:hint="eastAsia"/>
          <w:lang w:val="en-US" w:eastAsia="zh-CN"/>
        </w:rPr>
        <w:t>线上购物的支出在居民消费中所占比例持续上升</w:t>
      </w:r>
      <w:r>
        <w:rPr>
          <w:rFonts w:hint="eastAsia"/>
          <w:highlight w:val="none"/>
          <w:lang w:val="en-US" w:eastAsia="zh-CN"/>
        </w:rPr>
        <w:t>，线上线下融合的购物方式已成时代发展之趋势。尽管当前我国居民消费领域仍存在消费降级争议与直播带货乱象等问题，但在此</w:t>
      </w:r>
      <w:r>
        <w:rPr>
          <w:rFonts w:hint="default"/>
          <w:lang w:val="en-US" w:eastAsia="zh-CN"/>
        </w:rPr>
        <w:t>战略机遇和风险挑战并存、不确定难预料因素增多的时期</w:t>
      </w:r>
      <w:r>
        <w:rPr>
          <w:rStyle w:val="11"/>
          <w:rFonts w:hint="default"/>
          <w:lang w:val="en-US" w:eastAsia="zh-CN"/>
        </w:rPr>
        <w:footnoteReference w:id="9"/>
      </w:r>
      <w:r>
        <w:rPr>
          <w:rFonts w:hint="eastAsia"/>
          <w:lang w:val="en-US" w:eastAsia="zh-CN"/>
        </w:rPr>
        <w:t>，政府、企业、个人应勠力同心，克服万难，合力促进经济发展、增进民生福祉，</w:t>
      </w:r>
      <w:bookmarkStart w:id="0" w:name="_GoBack"/>
      <w:bookmarkEnd w:id="0"/>
      <w:r>
        <w:rPr>
          <w:rFonts w:hint="eastAsia"/>
          <w:lang w:val="en-US" w:eastAsia="zh-CN"/>
        </w:rPr>
        <w:t>为实现中华民族伟大复兴而不断奋斗。</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pPr>
        <w:spacing w:line="240" w:lineRule="auto"/>
      </w:pPr>
      <w:r>
        <w:separator/>
      </w:r>
    </w:p>
  </w:footnote>
  <w:footnote w:type="continuationSeparator" w:id="21">
    <w:p>
      <w:pPr>
        <w:spacing w:line="240" w:lineRule="auto"/>
      </w:pPr>
      <w:r>
        <w:continuationSeparator/>
      </w:r>
    </w:p>
  </w:footnote>
  <w:footnote w:id="0">
    <w:p>
      <w:pPr>
        <w:pStyle w:val="6"/>
        <w:keepNext w:val="0"/>
        <w:keepLines w:val="0"/>
        <w:pageBreakBefore w:val="0"/>
        <w:widowControl w:val="0"/>
        <w:kinsoku/>
        <w:wordWrap/>
        <w:overflowPunct/>
        <w:topLinePunct w:val="0"/>
        <w:bidi w:val="0"/>
        <w:adjustRightInd/>
        <w:snapToGrid w:val="0"/>
        <w:spacing w:line="400" w:lineRule="exact"/>
        <w:textAlignment w:val="auto"/>
      </w:pPr>
      <w:r>
        <w:rPr>
          <w:rStyle w:val="11"/>
        </w:rPr>
        <w:footnoteRef/>
      </w:r>
      <w:r>
        <w:rPr>
          <w:rFonts w:hint="eastAsia"/>
          <w:lang w:val="en-US" w:eastAsia="zh-CN"/>
        </w:rPr>
        <w:t xml:space="preserve"> </w:t>
      </w:r>
      <w:r>
        <w:rPr>
          <w:rFonts w:hint="eastAsia"/>
        </w:rPr>
        <w:t>李占风,袁知英</w:t>
      </w:r>
      <w:r>
        <w:rPr>
          <w:rFonts w:hint="eastAsia"/>
          <w:lang w:val="en-US" w:eastAsia="zh-CN"/>
        </w:rPr>
        <w:t>:《</w:t>
      </w:r>
      <w:r>
        <w:rPr>
          <w:rFonts w:hint="eastAsia"/>
        </w:rPr>
        <w:t>我国消费、投资、净出口与经济增长</w:t>
      </w:r>
      <w:r>
        <w:rPr>
          <w:rFonts w:hint="eastAsia"/>
          <w:lang w:eastAsia="zh-CN"/>
        </w:rPr>
        <w:t>》，《</w:t>
      </w:r>
      <w:r>
        <w:rPr>
          <w:rFonts w:hint="eastAsia"/>
        </w:rPr>
        <w:t>统计研究</w:t>
      </w:r>
      <w:r>
        <w:rPr>
          <w:rFonts w:hint="eastAsia"/>
          <w:lang w:eastAsia="zh-CN"/>
        </w:rPr>
        <w:t>》，</w:t>
      </w:r>
      <w:r>
        <w:rPr>
          <w:rFonts w:hint="eastAsia"/>
        </w:rPr>
        <w:t>2009</w:t>
      </w:r>
      <w:r>
        <w:rPr>
          <w:rFonts w:hint="eastAsia"/>
          <w:lang w:val="en-US" w:eastAsia="zh-CN"/>
        </w:rPr>
        <w:t>年</w:t>
      </w:r>
      <w:r>
        <w:rPr>
          <w:rFonts w:hint="eastAsia"/>
        </w:rPr>
        <w:t>26</w:t>
      </w:r>
      <w:r>
        <w:rPr>
          <w:rFonts w:hint="eastAsia"/>
          <w:lang w:val="en-US" w:eastAsia="zh-CN"/>
        </w:rPr>
        <w:t>期</w:t>
      </w:r>
      <w:r>
        <w:rPr>
          <w:rFonts w:hint="eastAsia"/>
        </w:rPr>
        <w:t>:39-42.</w:t>
      </w:r>
    </w:p>
  </w:footnote>
  <w:footnote w:id="1">
    <w:p>
      <w:pPr>
        <w:pStyle w:val="6"/>
        <w:keepNext w:val="0"/>
        <w:keepLines w:val="0"/>
        <w:pageBreakBefore w:val="0"/>
        <w:widowControl w:val="0"/>
        <w:kinsoku/>
        <w:wordWrap/>
        <w:overflowPunct/>
        <w:topLinePunct w:val="0"/>
        <w:bidi w:val="0"/>
        <w:adjustRightInd/>
        <w:snapToGrid w:val="0"/>
        <w:spacing w:line="400" w:lineRule="exact"/>
        <w:textAlignment w:val="auto"/>
      </w:pPr>
      <w:r>
        <w:rPr>
          <w:rStyle w:val="11"/>
        </w:rPr>
        <w:footnoteRef/>
      </w:r>
      <w:r>
        <w:rPr>
          <w:rFonts w:hint="eastAsia"/>
          <w:lang w:val="en-US" w:eastAsia="zh-CN"/>
        </w:rPr>
        <w:t xml:space="preserve"> </w:t>
      </w:r>
      <w:r>
        <w:rPr>
          <w:rFonts w:hint="eastAsia"/>
        </w:rPr>
        <w:t>李占风,袁知英</w:t>
      </w:r>
      <w:r>
        <w:rPr>
          <w:rFonts w:hint="eastAsia"/>
          <w:lang w:val="en-US" w:eastAsia="zh-CN"/>
        </w:rPr>
        <w:t>:《</w:t>
      </w:r>
      <w:r>
        <w:rPr>
          <w:rFonts w:hint="eastAsia"/>
        </w:rPr>
        <w:t>我国消费、投资、净出口与经济增长</w:t>
      </w:r>
      <w:r>
        <w:rPr>
          <w:rFonts w:hint="eastAsia"/>
          <w:lang w:eastAsia="zh-CN"/>
        </w:rPr>
        <w:t>》，《</w:t>
      </w:r>
      <w:r>
        <w:rPr>
          <w:rFonts w:hint="eastAsia"/>
        </w:rPr>
        <w:t>统计研究</w:t>
      </w:r>
      <w:r>
        <w:rPr>
          <w:rFonts w:hint="eastAsia"/>
          <w:lang w:eastAsia="zh-CN"/>
        </w:rPr>
        <w:t>》，</w:t>
      </w:r>
      <w:r>
        <w:rPr>
          <w:rFonts w:hint="eastAsia"/>
        </w:rPr>
        <w:t>2009</w:t>
      </w:r>
      <w:r>
        <w:rPr>
          <w:rFonts w:hint="eastAsia"/>
          <w:lang w:val="en-US" w:eastAsia="zh-CN"/>
        </w:rPr>
        <w:t>年</w:t>
      </w:r>
      <w:r>
        <w:rPr>
          <w:rFonts w:hint="eastAsia"/>
        </w:rPr>
        <w:t>26</w:t>
      </w:r>
      <w:r>
        <w:rPr>
          <w:rFonts w:hint="eastAsia"/>
          <w:lang w:val="en-US" w:eastAsia="zh-CN"/>
        </w:rPr>
        <w:t>期</w:t>
      </w:r>
      <w:r>
        <w:rPr>
          <w:rFonts w:hint="eastAsia"/>
        </w:rPr>
        <w:t>:39-42.</w:t>
      </w:r>
    </w:p>
  </w:footnote>
  <w:footnote w:id="2">
    <w:p>
      <w:pPr>
        <w:numPr>
          <w:ilvl w:val="0"/>
          <w:numId w:val="0"/>
        </w:numPr>
      </w:pPr>
      <w:r>
        <w:rPr>
          <w:rFonts w:hint="eastAsia" w:ascii="Calibri" w:hAnsi="Calibri" w:eastAsia="宋体" w:cs="Arial"/>
          <w:kern w:val="2"/>
          <w:sz w:val="18"/>
          <w:szCs w:val="22"/>
          <w:lang w:val="en-US" w:eastAsia="zh-CN" w:bidi="ar-SA"/>
        </w:rPr>
        <w:footnoteRef/>
      </w:r>
      <w:r>
        <w:rPr>
          <w:rFonts w:hint="eastAsia" w:ascii="Calibri" w:hAnsi="Calibri" w:eastAsia="宋体" w:cs="Arial"/>
          <w:kern w:val="2"/>
          <w:sz w:val="18"/>
          <w:szCs w:val="22"/>
          <w:lang w:val="en-US" w:eastAsia="zh-CN" w:bidi="ar-SA"/>
        </w:rPr>
        <w:t xml:space="preserve"> 袁志刚,夏林锋,樊潇彦</w:t>
      </w:r>
      <w:r>
        <w:rPr>
          <w:rFonts w:hint="eastAsia" w:cs="Arial"/>
          <w:kern w:val="2"/>
          <w:sz w:val="18"/>
          <w:szCs w:val="22"/>
          <w:lang w:val="en-US" w:eastAsia="zh-CN" w:bidi="ar-SA"/>
        </w:rPr>
        <w:t>：《</w:t>
      </w:r>
      <w:r>
        <w:rPr>
          <w:rFonts w:hint="eastAsia" w:ascii="Calibri" w:hAnsi="Calibri" w:eastAsia="宋体" w:cs="Arial"/>
          <w:kern w:val="2"/>
          <w:sz w:val="18"/>
          <w:szCs w:val="22"/>
          <w:lang w:val="en-US" w:eastAsia="zh-CN" w:bidi="ar-SA"/>
        </w:rPr>
        <w:t>中国城镇居民消费结构变迁及其成因分析</w:t>
      </w:r>
      <w:r>
        <w:rPr>
          <w:rFonts w:hint="eastAsia" w:cs="Arial"/>
          <w:kern w:val="2"/>
          <w:sz w:val="18"/>
          <w:szCs w:val="22"/>
          <w:lang w:val="en-US" w:eastAsia="zh-CN" w:bidi="ar-SA"/>
        </w:rPr>
        <w:t>》，《</w:t>
      </w:r>
      <w:r>
        <w:rPr>
          <w:rFonts w:hint="eastAsia" w:ascii="Calibri" w:hAnsi="Calibri" w:eastAsia="宋体" w:cs="Arial"/>
          <w:kern w:val="2"/>
          <w:sz w:val="18"/>
          <w:szCs w:val="22"/>
          <w:lang w:val="en-US" w:eastAsia="zh-CN" w:bidi="ar-SA"/>
        </w:rPr>
        <w:t>世界经济文汇</w:t>
      </w:r>
      <w:r>
        <w:rPr>
          <w:rFonts w:hint="eastAsia" w:cs="Arial"/>
          <w:kern w:val="2"/>
          <w:sz w:val="18"/>
          <w:szCs w:val="22"/>
          <w:lang w:val="en-US" w:eastAsia="zh-CN" w:bidi="ar-SA"/>
        </w:rPr>
        <w:t>》</w:t>
      </w:r>
      <w:r>
        <w:rPr>
          <w:rFonts w:hint="eastAsia" w:ascii="Calibri" w:hAnsi="Calibri" w:eastAsia="宋体" w:cs="Arial"/>
          <w:kern w:val="2"/>
          <w:sz w:val="18"/>
          <w:szCs w:val="22"/>
          <w:lang w:val="en-US" w:eastAsia="zh-CN" w:bidi="ar-SA"/>
        </w:rPr>
        <w:t>,2009</w:t>
      </w:r>
      <w:r>
        <w:rPr>
          <w:rFonts w:hint="eastAsia" w:cs="Arial"/>
          <w:kern w:val="2"/>
          <w:sz w:val="18"/>
          <w:szCs w:val="22"/>
          <w:lang w:val="en-US" w:eastAsia="zh-CN" w:bidi="ar-SA"/>
        </w:rPr>
        <w:t>年4期</w:t>
      </w:r>
      <w:r>
        <w:rPr>
          <w:rFonts w:hint="eastAsia" w:ascii="Calibri" w:hAnsi="Calibri" w:eastAsia="宋体" w:cs="Arial"/>
          <w:kern w:val="2"/>
          <w:sz w:val="18"/>
          <w:szCs w:val="22"/>
          <w:lang w:val="en-US" w:eastAsia="zh-CN" w:bidi="ar-SA"/>
        </w:rPr>
        <w:t>:13-22</w:t>
      </w:r>
    </w:p>
  </w:footnote>
  <w:footnote w:id="3">
    <w:p>
      <w:pPr>
        <w:pStyle w:val="6"/>
        <w:keepNext w:val="0"/>
        <w:keepLines w:val="0"/>
        <w:pageBreakBefore w:val="0"/>
        <w:widowControl w:val="0"/>
        <w:kinsoku/>
        <w:wordWrap/>
        <w:overflowPunct/>
        <w:topLinePunct w:val="0"/>
        <w:bidi w:val="0"/>
        <w:adjustRightInd/>
        <w:snapToGrid w:val="0"/>
        <w:spacing w:line="400" w:lineRule="exact"/>
        <w:textAlignment w:val="auto"/>
        <w:rPr>
          <w:rFonts w:hint="eastAsia"/>
        </w:rPr>
      </w:pPr>
      <w:r>
        <w:rPr>
          <w:rFonts w:hint="eastAsia"/>
        </w:rPr>
        <w:footnoteRef/>
      </w:r>
      <w:r>
        <w:rPr>
          <w:rFonts w:hint="eastAsia"/>
          <w:lang w:val="en-US" w:eastAsia="zh-CN"/>
        </w:rPr>
        <w:t xml:space="preserve"> </w:t>
      </w:r>
      <w:r>
        <w:rPr>
          <w:rFonts w:hint="eastAsia"/>
        </w:rPr>
        <w:t>杨瑞龙.</w:t>
      </w:r>
      <w:r>
        <w:rPr>
          <w:rFonts w:hint="eastAsia"/>
          <w:lang w:eastAsia="zh-CN"/>
        </w:rPr>
        <w:t>《</w:t>
      </w:r>
      <w:r>
        <w:rPr>
          <w:rFonts w:hint="eastAsia"/>
        </w:rPr>
        <w:t>四十年我国市场化进程的经济学分析——兼论中国模式与中国经济学的构建</w:t>
      </w:r>
      <w:r>
        <w:rPr>
          <w:rFonts w:hint="eastAsia"/>
          <w:lang w:eastAsia="zh-CN"/>
        </w:rPr>
        <w:t>》，《</w:t>
      </w:r>
      <w:r>
        <w:rPr>
          <w:rFonts w:hint="eastAsia"/>
        </w:rPr>
        <w:t>经济理论与经济管理</w:t>
      </w:r>
      <w:r>
        <w:rPr>
          <w:rFonts w:hint="eastAsia"/>
          <w:lang w:eastAsia="zh-CN"/>
        </w:rPr>
        <w:t>》</w:t>
      </w:r>
      <w:r>
        <w:rPr>
          <w:rFonts w:hint="eastAsia"/>
        </w:rPr>
        <w:t>,2018</w:t>
      </w:r>
      <w:r>
        <w:rPr>
          <w:rFonts w:hint="eastAsia"/>
          <w:lang w:val="en-US" w:eastAsia="zh-CN"/>
        </w:rPr>
        <w:t>年11期</w:t>
      </w:r>
      <w:r>
        <w:rPr>
          <w:rFonts w:hint="eastAsia"/>
        </w:rPr>
        <w:t>:38-45</w:t>
      </w:r>
    </w:p>
  </w:footnote>
  <w:footnote w:id="4">
    <w:p>
      <w:pPr>
        <w:pStyle w:val="6"/>
        <w:keepNext w:val="0"/>
        <w:keepLines w:val="0"/>
        <w:pageBreakBefore w:val="0"/>
        <w:widowControl w:val="0"/>
        <w:kinsoku/>
        <w:wordWrap/>
        <w:overflowPunct/>
        <w:topLinePunct w:val="0"/>
        <w:bidi w:val="0"/>
        <w:adjustRightInd/>
        <w:snapToGrid w:val="0"/>
        <w:spacing w:line="400" w:lineRule="exact"/>
        <w:textAlignment w:val="auto"/>
      </w:pPr>
      <w:r>
        <w:rPr>
          <w:rStyle w:val="11"/>
        </w:rPr>
        <w:footnoteRef/>
      </w:r>
      <w:r>
        <w:rPr>
          <w:rFonts w:hint="eastAsia"/>
          <w:lang w:val="en-US" w:eastAsia="zh-CN"/>
        </w:rPr>
        <w:t xml:space="preserve"> </w:t>
      </w:r>
      <w:r>
        <w:rPr>
          <w:rFonts w:hint="eastAsia"/>
        </w:rPr>
        <w:t>财政部财政科学研究所课题组</w:t>
      </w:r>
      <w:r>
        <w:rPr>
          <w:rFonts w:hint="eastAsia"/>
          <w:lang w:val="en-US" w:eastAsia="zh-CN"/>
        </w:rPr>
        <w:t xml:space="preserve"> 《</w:t>
      </w:r>
      <w:r>
        <w:rPr>
          <w:rFonts w:hint="eastAsia"/>
        </w:rPr>
        <w:t>宏观经济形势与财政调控:从短期到中长期的分析认识</w:t>
      </w:r>
      <w:r>
        <w:rPr>
          <w:rFonts w:hint="eastAsia"/>
          <w:lang w:eastAsia="zh-CN"/>
        </w:rPr>
        <w:t>》，《</w:t>
      </w:r>
      <w:r>
        <w:rPr>
          <w:rFonts w:hint="eastAsia"/>
        </w:rPr>
        <w:t>经济研究参考</w:t>
      </w:r>
      <w:r>
        <w:rPr>
          <w:rFonts w:hint="eastAsia"/>
          <w:lang w:eastAsia="zh-CN"/>
        </w:rPr>
        <w:t>》</w:t>
      </w:r>
      <w:r>
        <w:rPr>
          <w:rFonts w:hint="eastAsia"/>
        </w:rPr>
        <w:t>,2012</w:t>
      </w:r>
      <w:r>
        <w:rPr>
          <w:rFonts w:hint="eastAsia"/>
          <w:lang w:val="en-US" w:eastAsia="zh-CN"/>
        </w:rPr>
        <w:t>年</w:t>
      </w:r>
      <w:r>
        <w:rPr>
          <w:rFonts w:hint="eastAsia"/>
        </w:rPr>
        <w:t>:3-50.</w:t>
      </w:r>
    </w:p>
  </w:footnote>
  <w:footnote w:id="5">
    <w:p>
      <w:pPr>
        <w:pStyle w:val="6"/>
        <w:keepNext w:val="0"/>
        <w:keepLines w:val="0"/>
        <w:pageBreakBefore w:val="0"/>
        <w:widowControl w:val="0"/>
        <w:kinsoku/>
        <w:wordWrap/>
        <w:overflowPunct/>
        <w:topLinePunct w:val="0"/>
        <w:bidi w:val="0"/>
        <w:adjustRightInd/>
        <w:snapToGrid w:val="0"/>
        <w:spacing w:line="400" w:lineRule="exact"/>
        <w:textAlignment w:val="auto"/>
      </w:pPr>
      <w:r>
        <w:rPr>
          <w:rStyle w:val="11"/>
        </w:rPr>
        <w:footnoteRef/>
      </w:r>
      <w:r>
        <w:t xml:space="preserve"> </w:t>
      </w:r>
      <w:r>
        <w:rPr>
          <w:rFonts w:hint="eastAsia"/>
        </w:rPr>
        <w:t xml:space="preserve">孙兴杰,鲁宸,张璇. </w:t>
      </w:r>
      <w:r>
        <w:rPr>
          <w:rFonts w:hint="eastAsia"/>
          <w:lang w:eastAsia="zh-CN"/>
        </w:rPr>
        <w:t>《</w:t>
      </w:r>
      <w:r>
        <w:rPr>
          <w:rFonts w:hint="eastAsia"/>
        </w:rPr>
        <w:t>消费降级还是消费分层?</w:t>
      </w:r>
      <w:r>
        <w:rPr>
          <w:rFonts w:hint="eastAsia"/>
          <w:lang w:val="en-US" w:eastAsia="zh-CN"/>
        </w:rPr>
        <w:t xml:space="preserve"> </w:t>
      </w:r>
      <w:r>
        <w:rPr>
          <w:rFonts w:hint="eastAsia"/>
        </w:rPr>
        <w:t>——中国居民消费变动趋势动态特征研究</w:t>
      </w:r>
      <w:r>
        <w:rPr>
          <w:rFonts w:hint="eastAsia"/>
          <w:lang w:eastAsia="zh-CN"/>
        </w:rPr>
        <w:t>》</w:t>
      </w:r>
      <w:r>
        <w:rPr>
          <w:rFonts w:hint="eastAsia"/>
        </w:rPr>
        <w:t xml:space="preserve">. </w:t>
      </w:r>
      <w:r>
        <w:rPr>
          <w:rFonts w:hint="eastAsia"/>
          <w:lang w:eastAsia="zh-CN"/>
        </w:rPr>
        <w:t>《</w:t>
      </w:r>
      <w:r>
        <w:rPr>
          <w:rFonts w:hint="eastAsia"/>
        </w:rPr>
        <w:t>商业研究</w:t>
      </w:r>
      <w:r>
        <w:rPr>
          <w:rFonts w:hint="eastAsia"/>
          <w:lang w:eastAsia="zh-CN"/>
        </w:rPr>
        <w:t>》</w:t>
      </w:r>
      <w:r>
        <w:rPr>
          <w:rFonts w:hint="eastAsia"/>
        </w:rPr>
        <w:t>,2019</w:t>
      </w:r>
      <w:r>
        <w:rPr>
          <w:rFonts w:hint="eastAsia"/>
          <w:lang w:val="en-US" w:eastAsia="zh-CN"/>
        </w:rPr>
        <w:t>年8期</w:t>
      </w:r>
      <w:r>
        <w:rPr>
          <w:rFonts w:hint="eastAsia"/>
        </w:rPr>
        <w:t>:25-35.</w:t>
      </w:r>
    </w:p>
  </w:footnote>
  <w:footnote w:id="6">
    <w:p>
      <w:pPr>
        <w:pStyle w:val="6"/>
        <w:keepNext w:val="0"/>
        <w:keepLines w:val="0"/>
        <w:pageBreakBefore w:val="0"/>
        <w:widowControl w:val="0"/>
        <w:kinsoku/>
        <w:wordWrap/>
        <w:overflowPunct/>
        <w:topLinePunct w:val="0"/>
        <w:bidi w:val="0"/>
        <w:adjustRightInd/>
        <w:snapToGrid w:val="0"/>
        <w:spacing w:line="400" w:lineRule="atLeast"/>
        <w:textAlignment w:val="auto"/>
        <w:rPr>
          <w:rFonts w:hint="default" w:eastAsia="宋体"/>
          <w:lang w:val="en-US" w:eastAsia="zh-CN"/>
        </w:rPr>
      </w:pPr>
      <w:r>
        <w:rPr>
          <w:rStyle w:val="11"/>
        </w:rPr>
        <w:footnoteRef/>
      </w:r>
      <w:r>
        <w:t xml:space="preserve"> </w:t>
      </w:r>
      <w:r>
        <w:rPr>
          <w:rFonts w:hint="eastAsia"/>
          <w:lang w:val="en-US" w:eastAsia="zh-CN"/>
        </w:rPr>
        <w:t>乔雪峰：《消费品市场总量稳步增长 网购逐渐成居民消费主要渠道》, 人民网电报, 2020年</w:t>
      </w:r>
    </w:p>
  </w:footnote>
  <w:footnote w:id="7">
    <w:p>
      <w:pPr>
        <w:pStyle w:val="6"/>
        <w:keepNext w:val="0"/>
        <w:keepLines w:val="0"/>
        <w:pageBreakBefore w:val="0"/>
        <w:widowControl w:val="0"/>
        <w:kinsoku/>
        <w:wordWrap/>
        <w:overflowPunct/>
        <w:topLinePunct w:val="0"/>
        <w:bidi w:val="0"/>
        <w:adjustRightInd/>
        <w:snapToGrid w:val="0"/>
        <w:spacing w:line="400" w:lineRule="atLeast"/>
        <w:textAlignment w:val="auto"/>
      </w:pPr>
      <w:r>
        <w:rPr>
          <w:rStyle w:val="11"/>
        </w:rPr>
        <w:footnoteRef/>
      </w:r>
      <w:r>
        <w:t xml:space="preserve"> </w:t>
      </w:r>
      <w:r>
        <w:rPr>
          <w:rFonts w:hint="eastAsia"/>
        </w:rPr>
        <w:t xml:space="preserve">朱芸浩,池晨宇. </w:t>
      </w:r>
      <w:r>
        <w:rPr>
          <w:rFonts w:hint="eastAsia"/>
          <w:lang w:eastAsia="zh-CN"/>
        </w:rPr>
        <w:t>《</w:t>
      </w:r>
      <w:r>
        <w:rPr>
          <w:rFonts w:hint="eastAsia"/>
        </w:rPr>
        <w:t>直播带货发展浅析</w:t>
      </w:r>
      <w:r>
        <w:rPr>
          <w:rFonts w:hint="eastAsia"/>
          <w:lang w:eastAsia="zh-CN"/>
        </w:rPr>
        <w:t>》，《</w:t>
      </w:r>
      <w:r>
        <w:rPr>
          <w:rFonts w:hint="eastAsia"/>
        </w:rPr>
        <w:t>合作经济与科技</w:t>
      </w:r>
      <w:r>
        <w:rPr>
          <w:rFonts w:hint="eastAsia"/>
          <w:lang w:eastAsia="zh-CN"/>
        </w:rPr>
        <w:t>》</w:t>
      </w:r>
      <w:r>
        <w:rPr>
          <w:rFonts w:hint="eastAsia"/>
        </w:rPr>
        <w:t>,2022</w:t>
      </w:r>
      <w:r>
        <w:rPr>
          <w:rFonts w:hint="eastAsia"/>
          <w:lang w:val="en-US" w:eastAsia="zh-CN"/>
        </w:rPr>
        <w:t>年14期</w:t>
      </w:r>
      <w:r>
        <w:rPr>
          <w:rFonts w:hint="eastAsia"/>
        </w:rPr>
        <w:t>:72-74</w:t>
      </w:r>
    </w:p>
  </w:footnote>
  <w:footnote w:id="8">
    <w:p>
      <w:pPr>
        <w:pStyle w:val="6"/>
        <w:snapToGrid w:val="0"/>
      </w:pPr>
      <w:r>
        <w:rPr>
          <w:rStyle w:val="11"/>
        </w:rPr>
        <w:footnoteRef/>
      </w:r>
      <w:r>
        <w:t xml:space="preserve"> </w:t>
      </w:r>
      <w:r>
        <w:rPr>
          <w:rFonts w:hint="eastAsia"/>
          <w:lang w:val="en-US" w:eastAsia="zh-CN"/>
        </w:rPr>
        <w:t>张翼：《消费成为我国经济增长第一驱动力》，光明日报，2018年9月6日</w:t>
      </w:r>
    </w:p>
  </w:footnote>
  <w:footnote w:id="9">
    <w:p>
      <w:pPr>
        <w:pStyle w:val="6"/>
        <w:keepNext w:val="0"/>
        <w:keepLines w:val="0"/>
        <w:pageBreakBefore w:val="0"/>
        <w:widowControl w:val="0"/>
        <w:kinsoku/>
        <w:wordWrap/>
        <w:overflowPunct/>
        <w:topLinePunct w:val="0"/>
        <w:bidi w:val="0"/>
        <w:adjustRightInd/>
        <w:snapToGrid w:val="0"/>
        <w:spacing w:line="400" w:lineRule="exact"/>
        <w:textAlignment w:val="auto"/>
        <w:rPr>
          <w:rFonts w:hint="default" w:eastAsia="宋体"/>
          <w:lang w:val="en-US" w:eastAsia="zh-CN"/>
        </w:rPr>
      </w:pPr>
      <w:r>
        <w:rPr>
          <w:rStyle w:val="11"/>
        </w:rPr>
        <w:footnoteRef/>
      </w:r>
      <w:r>
        <w:t xml:space="preserve"> </w:t>
      </w:r>
      <w:r>
        <w:rPr>
          <w:rFonts w:hint="eastAsia"/>
          <w:lang w:val="en-US" w:eastAsia="zh-CN"/>
        </w:rPr>
        <w:t>习近平：《在中国共产党第二十次全国代表大会上的报告》，求是杂志出版社，2022年</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E20BC4"/>
    <w:multiLevelType w:val="singleLevel"/>
    <w:tmpl w:val="41E20BC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0"/>
    <w:footnote w:id="2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mOWZkYmEwNzdiMjQ2NDMyZGU3M2E5ZTBmZGE3NjcifQ=="/>
  </w:docVars>
  <w:rsids>
    <w:rsidRoot w:val="04E91577"/>
    <w:rsid w:val="009D3880"/>
    <w:rsid w:val="04E91577"/>
    <w:rsid w:val="19A83370"/>
    <w:rsid w:val="214F1885"/>
    <w:rsid w:val="321109A1"/>
    <w:rsid w:val="331537EB"/>
    <w:rsid w:val="380641FF"/>
    <w:rsid w:val="4A45442E"/>
    <w:rsid w:val="4E0C137B"/>
    <w:rsid w:val="4F996B85"/>
    <w:rsid w:val="54E364A2"/>
    <w:rsid w:val="6DA3749B"/>
    <w:rsid w:val="70E175E6"/>
    <w:rsid w:val="7F097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jc w:val="both"/>
    </w:pPr>
    <w:rPr>
      <w:rFonts w:ascii="Calibri" w:hAnsi="Calibri" w:eastAsia="宋体" w:cs="Arial"/>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400" w:lineRule="exact"/>
      <w:ind w:firstLine="0" w:firstLineChars="0"/>
      <w:jc w:val="center"/>
      <w:outlineLvl w:val="0"/>
    </w:pPr>
    <w:rPr>
      <w:b/>
      <w:kern w:val="44"/>
      <w:sz w:val="30"/>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00" w:lineRule="exact"/>
      <w:ind w:firstLine="0" w:firstLineChars="0"/>
      <w:jc w:val="left"/>
      <w:outlineLvl w:val="1"/>
    </w:pPr>
    <w:rPr>
      <w:rFonts w:ascii="Arial" w:hAnsi="Arial" w:eastAsia="黑体"/>
      <w:b/>
      <w:sz w:val="28"/>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00" w:lineRule="exact"/>
      <w:ind w:firstLine="0" w:firstLineChars="0"/>
      <w:jc w:val="left"/>
      <w:outlineLvl w:val="2"/>
    </w:pPr>
    <w:rPr>
      <w:rFonts w:eastAsia="黑体"/>
      <w:b/>
      <w:sz w:val="24"/>
    </w:rPr>
  </w:style>
  <w:style w:type="character" w:default="1" w:styleId="9">
    <w:name w:val="Default Paragraph Font"/>
    <w:semiHidden/>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autoRedefine/>
    <w:semiHidden/>
    <w:unhideWhenUsed/>
    <w:qFormat/>
    <w:uiPriority w:val="0"/>
    <w:rPr>
      <w:rFonts w:ascii="Arial" w:hAnsi="Arial" w:eastAsia="黑体"/>
      <w:sz w:val="20"/>
    </w:rPr>
  </w:style>
  <w:style w:type="paragraph" w:styleId="6">
    <w:name w:val="footnote text"/>
    <w:basedOn w:val="1"/>
    <w:autoRedefine/>
    <w:qFormat/>
    <w:uiPriority w:val="0"/>
    <w:pPr>
      <w:snapToGrid w:val="0"/>
      <w:jc w:val="left"/>
    </w:pPr>
    <w:rPr>
      <w:sz w:val="18"/>
    </w:rPr>
  </w:style>
  <w:style w:type="table" w:styleId="8">
    <w:name w:val="Table Grid"/>
    <w:basedOn w:val="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autoRedefine/>
    <w:qFormat/>
    <w:uiPriority w:val="0"/>
    <w:rPr>
      <w:i/>
    </w:rPr>
  </w:style>
  <w:style w:type="character" w:styleId="11">
    <w:name w:val="footnote reference"/>
    <w:basedOn w:val="9"/>
    <w:autoRedefine/>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2023-12-23T12:46:00Z</dcterms:created>
  <dc:creator>符泠</dc:creator>
  <cp:lastModifiedBy>符泠</cp:lastModifiedBy>
  <dcterms:modified xsi:type="dcterms:W3CDTF">2023-12-23T14:31:21Z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CE8F5F247B614B578B052276C133D465_11</vt:lpwstr>
  </property>
</Properties>
</file>