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rtl w:val="0"/>
        </w:rPr>
        <w:t xml:space="preserve">Utilizzo di Wireshark per Esaminare il Traffico HTTP e HTTPS 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In questo laboratorio, completa i seguenti obiettivi: 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● Catturare e visualizzare il traffico HTTP 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● Catturare e visualizzare il traffico HTTPS</w:t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Per svolgere l’esercizio ho usato la VM Cyberops. Una volta loggato ho aperto il terminale e inserito il comando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ip address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per visualizzare l’elenco delle interfacce di rete e i relativi IP.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In questo caso a noi interessa la quarta interfaccia: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enp0s3 con 10.0.2.15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Per registrare il traffico di rete HTTP inseriamo il seguente comando: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i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sudo tcpdump –i enp0s3 –s 0 –w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httpdump.pcap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Questo comando avvia tcpdump e registra il traffico di rete sull'interfaccia enp0s3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505575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-i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opzione command: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consente di specificare l'interfaccia. Se non specificata, tcpdump catturerà tutto il traffico su tutte le interfacce.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-s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opzione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 command: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specifica la lunghezza dello snapshot per ogni pacchetto. Dovresti limitare snaplen al numero più piccolo che catturerà le informazioni di protocollo a cui sei interessato.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-w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opzione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 command: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viene utilizzata per scrivere il risultato del comando tcpdump in un file. Aggiungendo l'estensione .pcap si garantisce che i sistemi operativi e le applicazioni saranno in grado di leggere il file. Tutto il traffico registrato verrà stampato nel file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httpdump.pcap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nella directory home dell'analista utente.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Dopo aver lanciato il comando ho aperto il browser e sono andato su un link a cui ho fatto l’accesso e ho chiuso subito. Sono tornato sul terminale e col comando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CRTL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+ C ho interrotto la cattura dei pacchetti.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Dopodichè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ho aperto il file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httpdump.pcap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dalla cartella home dell’analista utente. A questo punto si apre wireshark e subito gli faccio filtrare il traffico per HTTP, selezionando il messaggio POST.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Nella finestra inferiore viene visualizzato il messaggio. Espando la sezione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HTML Form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394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Come si vede, si può visualizzare sia il nome utente che la password dell’utente.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Traffico HTTP catturato correttamente!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Per il traffico HTTPS la procedura è identica. Una volta aperto wireshark bisogna solo cambiare l’istruzione del filtro e inserire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tcp.port==443.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Dai risultati cerchiamo e selezioniamo il messaggio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Application Data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Estendo completamente la sezione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Secure Sockets Layer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605232" cy="36390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232" cy="363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Come si nota,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Il payload dei dati è crittografato tramite TLS 1.2 e non può essere visualizzato.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