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77A3B" w14:textId="77777777" w:rsidR="00D92025" w:rsidRDefault="0069195B" w:rsidP="00A053F1">
      <w:pPr>
        <w:pStyle w:val="1TITLE"/>
        <w:rPr>
          <w:noProof/>
        </w:rPr>
      </w:pPr>
      <w:r>
        <w:rPr>
          <w:noProof/>
        </w:rPr>
        <w:t>Inter-annotator agreement and the uppe</w:t>
      </w:r>
      <w:r w:rsidR="00920FEE">
        <w:rPr>
          <w:noProof/>
        </w:rPr>
        <w:t xml:space="preserve">r limit on machine performance: </w:t>
      </w:r>
    </w:p>
    <w:p w14:paraId="2B2E0ECE" w14:textId="463900A6" w:rsidR="00BA2E57" w:rsidRPr="00FB07AC" w:rsidRDefault="0069195B" w:rsidP="00D92025">
      <w:pPr>
        <w:pStyle w:val="1TITLE"/>
        <w:spacing w:before="100" w:beforeAutospacing="1"/>
        <w:rPr>
          <w:noProof/>
        </w:rPr>
      </w:pPr>
      <w:r>
        <w:rPr>
          <w:noProof/>
        </w:rPr>
        <w:t>Evidence from biomedical natural language processing</w:t>
      </w:r>
    </w:p>
    <w:p w14:paraId="20FABB6C" w14:textId="1C750A5A" w:rsidR="00FF7BDC" w:rsidRPr="00C03464" w:rsidRDefault="00892F71" w:rsidP="00892F71">
      <w:pPr>
        <w:pStyle w:val="2Authors"/>
      </w:pPr>
      <w:r>
        <w:t>Mayla Boguslav</w:t>
      </w:r>
      <w:r w:rsidR="001F49F3">
        <w:rPr>
          <w:vertAlign w:val="superscript"/>
        </w:rPr>
        <w:t>a</w:t>
      </w:r>
      <w:r w:rsidR="00BB2665">
        <w:t xml:space="preserve">, </w:t>
      </w:r>
      <w:r>
        <w:t>Kevin Bretonnel Cohen</w:t>
      </w:r>
      <w:r>
        <w:rPr>
          <w:vertAlign w:val="superscript"/>
        </w:rPr>
        <w:t>a</w:t>
      </w:r>
    </w:p>
    <w:p w14:paraId="1184E8DF" w14:textId="18B57C37" w:rsidR="00FF7BDC" w:rsidRPr="00FB07AC" w:rsidRDefault="00FF7BDC" w:rsidP="00892F71">
      <w:pPr>
        <w:pStyle w:val="3Affiliations"/>
      </w:pPr>
      <w:r w:rsidRPr="00FB07AC">
        <w:rPr>
          <w:b/>
          <w:bCs/>
          <w:iCs/>
          <w:noProof/>
          <w:vertAlign w:val="superscript"/>
        </w:rPr>
        <w:t>a</w:t>
      </w:r>
      <w:r w:rsidR="002E3E86" w:rsidRPr="00FB07AC">
        <w:rPr>
          <w:b/>
          <w:bCs/>
          <w:iCs/>
          <w:noProof/>
          <w:vertAlign w:val="superscript"/>
        </w:rPr>
        <w:t xml:space="preserve"> </w:t>
      </w:r>
      <w:r w:rsidR="00892F71">
        <w:t>Computational Bioscience Program, University Colorado School of Medicine, Aurora</w:t>
      </w:r>
      <w:r w:rsidR="00BB2665">
        <w:t>,</w:t>
      </w:r>
      <w:r w:rsidR="00892F71">
        <w:t xml:space="preserve"> CO</w:t>
      </w:r>
      <w:r w:rsidR="0031795D">
        <w:t>,</w:t>
      </w:r>
      <w:r w:rsidR="00892F71">
        <w:t xml:space="preserve"> USA</w:t>
      </w:r>
      <w:r w:rsidR="00BB2665">
        <w:t xml:space="preserve"> </w:t>
      </w:r>
    </w:p>
    <w:p w14:paraId="32E66F1B" w14:textId="77777777" w:rsidR="00392AFA" w:rsidRPr="00FB07AC" w:rsidRDefault="00392AFA" w:rsidP="005D5684">
      <w:pPr>
        <w:pStyle w:val="4HeaderSpacer"/>
      </w:pPr>
    </w:p>
    <w:p w14:paraId="4D412C36" w14:textId="77777777" w:rsidR="00392AFA" w:rsidRPr="00FB07AC" w:rsidRDefault="00392AFA">
      <w:pPr>
        <w:jc w:val="center"/>
        <w:rPr>
          <w:noProof/>
          <w:sz w:val="22"/>
        </w:rPr>
        <w:sectPr w:rsidR="00392AFA" w:rsidRPr="00FB07AC" w:rsidSect="007F64F2">
          <w:type w:val="continuous"/>
          <w:pgSz w:w="11907" w:h="16840" w:code="9"/>
          <w:pgMar w:top="562" w:right="567" w:bottom="562" w:left="567" w:header="0" w:footer="1440" w:gutter="0"/>
          <w:cols w:space="1152"/>
          <w:noEndnote/>
        </w:sectPr>
      </w:pPr>
    </w:p>
    <w:p w14:paraId="5849DF72" w14:textId="77777777" w:rsidR="00392AFA" w:rsidRPr="00C449B0" w:rsidRDefault="003C3DD9" w:rsidP="00C449B0">
      <w:pPr>
        <w:pStyle w:val="5AbstractHeader"/>
      </w:pPr>
      <w:r w:rsidRPr="00C449B0">
        <w:lastRenderedPageBreak/>
        <w:t>Abstract</w:t>
      </w:r>
    </w:p>
    <w:p w14:paraId="10843ED2" w14:textId="69C848AE" w:rsidR="00400651" w:rsidRDefault="00FC673C" w:rsidP="00453665">
      <w:pPr>
        <w:pStyle w:val="7KeywordHeader"/>
        <w:jc w:val="both"/>
        <w:rPr>
          <w:b w:val="0"/>
        </w:rPr>
      </w:pPr>
      <w:r>
        <w:rPr>
          <w:b w:val="0"/>
        </w:rPr>
        <w:t xml:space="preserve">Human-annotated data is a fundamental part of natural language processing system development and evaluation.  The quality of that data is typically assessed by calculating the agreement between the annotators.  It </w:t>
      </w:r>
      <w:r w:rsidR="008F4A76">
        <w:rPr>
          <w:b w:val="0"/>
        </w:rPr>
        <w:t>is widely assumed</w:t>
      </w:r>
      <w:r w:rsidR="00283D7B">
        <w:rPr>
          <w:b w:val="0"/>
        </w:rPr>
        <w:t xml:space="preserve"> that</w:t>
      </w:r>
      <w:r w:rsidR="006B4CF2" w:rsidRPr="006B4CF2">
        <w:rPr>
          <w:b w:val="0"/>
        </w:rPr>
        <w:t xml:space="preserve"> </w:t>
      </w:r>
      <w:r>
        <w:rPr>
          <w:b w:val="0"/>
        </w:rPr>
        <w:t>this</w:t>
      </w:r>
      <w:r w:rsidR="006B4CF2" w:rsidRPr="006B4CF2">
        <w:rPr>
          <w:b w:val="0"/>
        </w:rPr>
        <w:t xml:space="preserve"> agreement between annotators </w:t>
      </w:r>
      <w:r w:rsidR="009F2CFA">
        <w:rPr>
          <w:b w:val="0"/>
        </w:rPr>
        <w:t xml:space="preserve">is the upper limit on system </w:t>
      </w:r>
      <w:r w:rsidR="006B4CF2" w:rsidRPr="006B4CF2">
        <w:rPr>
          <w:b w:val="0"/>
        </w:rPr>
        <w:t>perform</w:t>
      </w:r>
      <w:r w:rsidR="009F2CFA">
        <w:rPr>
          <w:b w:val="0"/>
        </w:rPr>
        <w:t>ance</w:t>
      </w:r>
      <w:r w:rsidR="008F4A76">
        <w:rPr>
          <w:b w:val="0"/>
        </w:rPr>
        <w:t xml:space="preserve"> in natural language processing</w:t>
      </w:r>
      <w:r w:rsidR="006B4CF2" w:rsidRPr="006B4CF2">
        <w:rPr>
          <w:b w:val="0"/>
        </w:rPr>
        <w:t>: if humans can’t agree with each other about the classification more than some percentage of the t</w:t>
      </w:r>
      <w:r w:rsidR="00D868F5">
        <w:rPr>
          <w:b w:val="0"/>
        </w:rPr>
        <w:t>ime, then we don’t</w:t>
      </w:r>
      <w:r w:rsidR="006B4CF2" w:rsidRPr="006B4CF2">
        <w:rPr>
          <w:b w:val="0"/>
        </w:rPr>
        <w:t xml:space="preserve"> expect a computer to do any better. We trace the logical positivist roots of the motivation for measuring inter-annotator agreement, </w:t>
      </w:r>
      <w:r w:rsidR="00BE11FF">
        <w:rPr>
          <w:b w:val="0"/>
        </w:rPr>
        <w:t>demonstrate the prevalence of</w:t>
      </w:r>
      <w:r w:rsidR="006B4CF2" w:rsidRPr="006B4CF2">
        <w:rPr>
          <w:b w:val="0"/>
        </w:rPr>
        <w:t xml:space="preserve"> the widely-held </w:t>
      </w:r>
      <w:r w:rsidR="007F1D3B">
        <w:rPr>
          <w:b w:val="0"/>
        </w:rPr>
        <w:t>assumption</w:t>
      </w:r>
      <w:r w:rsidR="006B4CF2" w:rsidRPr="006B4CF2">
        <w:rPr>
          <w:b w:val="0"/>
        </w:rPr>
        <w:t xml:space="preserve"> about the relationship between inter-annotator agreement and system performanc</w:t>
      </w:r>
      <w:r w:rsidR="00B328DD">
        <w:rPr>
          <w:b w:val="0"/>
        </w:rPr>
        <w:t>e</w:t>
      </w:r>
      <w:r w:rsidR="0071145A">
        <w:rPr>
          <w:b w:val="0"/>
        </w:rPr>
        <w:t xml:space="preserve">, and present data </w:t>
      </w:r>
      <w:r w:rsidR="003758B1">
        <w:rPr>
          <w:b w:val="0"/>
        </w:rPr>
        <w:t>that suggest</w:t>
      </w:r>
      <w:r w:rsidR="006B4CF2" w:rsidRPr="006B4CF2">
        <w:rPr>
          <w:b w:val="0"/>
        </w:rPr>
        <w:t xml:space="preserve"> that inter-annotator agreement is not</w:t>
      </w:r>
      <w:r w:rsidR="00D22E2F">
        <w:rPr>
          <w:b w:val="0"/>
        </w:rPr>
        <w:t>,</w:t>
      </w:r>
      <w:r w:rsidR="006B4CF2" w:rsidRPr="006B4CF2">
        <w:rPr>
          <w:b w:val="0"/>
        </w:rPr>
        <w:t xml:space="preserve"> in fact</w:t>
      </w:r>
      <w:r w:rsidR="00D22E2F">
        <w:rPr>
          <w:b w:val="0"/>
        </w:rPr>
        <w:t>,</w:t>
      </w:r>
      <w:r w:rsidR="006B4CF2" w:rsidRPr="006B4CF2">
        <w:rPr>
          <w:b w:val="0"/>
        </w:rPr>
        <w:t xml:space="preserve"> an upper</w:t>
      </w:r>
      <w:r w:rsidR="004B1962">
        <w:rPr>
          <w:b w:val="0"/>
        </w:rPr>
        <w:t xml:space="preserve"> bound</w:t>
      </w:r>
      <w:r w:rsidR="000161B1">
        <w:rPr>
          <w:b w:val="0"/>
        </w:rPr>
        <w:t xml:space="preserve"> on language processing </w:t>
      </w:r>
      <w:r w:rsidR="00D22E2F">
        <w:rPr>
          <w:b w:val="0"/>
        </w:rPr>
        <w:t xml:space="preserve">system </w:t>
      </w:r>
      <w:r w:rsidR="000161B1">
        <w:rPr>
          <w:b w:val="0"/>
        </w:rPr>
        <w:t>performance</w:t>
      </w:r>
      <w:r w:rsidR="006B4CF2" w:rsidRPr="006B4CF2">
        <w:rPr>
          <w:b w:val="0"/>
        </w:rPr>
        <w:t>.</w:t>
      </w:r>
      <w:r w:rsidR="00403470">
        <w:rPr>
          <w:b w:val="0"/>
        </w:rPr>
        <w:t xml:space="preserve"> </w:t>
      </w:r>
    </w:p>
    <w:p w14:paraId="220B052F" w14:textId="23EEB77C" w:rsidR="00E25618" w:rsidRPr="00F57A32" w:rsidRDefault="00392AFA" w:rsidP="00792EB1">
      <w:pPr>
        <w:pStyle w:val="7KeywordHeader"/>
        <w:rPr>
          <w:b w:val="0"/>
          <w:highlight w:val="red"/>
        </w:rPr>
      </w:pPr>
      <w:r w:rsidRPr="00682FD0">
        <w:t>Keywords</w:t>
      </w:r>
      <w:r w:rsidR="00B25DA6" w:rsidRPr="00682FD0">
        <w:t>:</w:t>
      </w:r>
      <w:r w:rsidR="00675429" w:rsidRPr="00675429">
        <w:t xml:space="preserve"> Natural language proces</w:t>
      </w:r>
      <w:r w:rsidR="00192D30">
        <w:t>sing L01.224.050.375.580; Super</w:t>
      </w:r>
      <w:r w:rsidR="00675429" w:rsidRPr="00675429">
        <w:t>vised machine l</w:t>
      </w:r>
      <w:r w:rsidR="00675429">
        <w:t>earning G17.035.250.500.500; Evaluation Studies N05.715.360.335</w:t>
      </w:r>
    </w:p>
    <w:p w14:paraId="7CDBEC36" w14:textId="77777777" w:rsidR="00392AFA" w:rsidRPr="00FB07AC" w:rsidRDefault="008F30A7" w:rsidP="0061081C">
      <w:pPr>
        <w:pStyle w:val="ALevelOneHeader"/>
      </w:pPr>
      <w:r>
        <w:t>Introduction</w:t>
      </w:r>
    </w:p>
    <w:p w14:paraId="4EA6B880" w14:textId="41B81707" w:rsidR="00A053F1" w:rsidRDefault="00C77F9C" w:rsidP="00FE2D38">
      <w:pPr>
        <w:pStyle w:val="DBodyText"/>
      </w:pPr>
      <w:r w:rsidRPr="00AE3FBF">
        <w:t xml:space="preserve">The Code of Ethics and Professional Conduct of the Association for Computing Machinery includes the imperative to share knowledge of the </w:t>
      </w:r>
      <w:r w:rsidRPr="003809CE">
        <w:rPr>
          <w:i/>
          <w:iCs/>
        </w:rPr>
        <w:t>limitations</w:t>
      </w:r>
      <w:r>
        <w:t xml:space="preserve"> of computer systems (ACM Code of Ethics and Professional Conduct 2.7) </w:t>
      </w:r>
      <w:r>
        <w:fldChar w:fldCharType="begin"/>
      </w:r>
      <w:r>
        <w:instrText xml:space="preserve"> ADDIN EN.CITE &lt;EndNote&gt;&lt;Cite&gt;&lt;Author&gt;Anderson&lt;/Author&gt;&lt;Year&gt;1992&lt;/Year&gt;&lt;RecNum&gt;23&lt;/RecNum&gt;&lt;DisplayText&gt;[1]&lt;/DisplayText&gt;&lt;record&gt;&lt;rec-number&gt;23&lt;/rec-number&gt;&lt;foreign-keys&gt;&lt;key app="EN" db-id="0zprsadv8f2wpbe5v0r5wa0j59xspaf5z5s9" timestamp="1480473991"&gt;23&lt;/key&gt;&lt;/foreign-keys&gt;&lt;ref-type name="Web Page"&gt;12&lt;/ref-type&gt;&lt;contributors&gt;&lt;authors&gt;&lt;author&gt;Ronald E. Anderson&lt;/author&gt;&lt;author&gt;Gerald Engel&lt;/author&gt;&lt;author&gt;Donald Gotterbarn&lt;/author&gt;&lt;author&gt;Grace C. Hertlein&lt;/author&gt;&lt;author&gt;Alex Hoffman&lt;/author&gt;&lt;author&gt;Bruce Jawer&lt;/author&gt;&lt;author&gt;Deborah G. Johnson&lt;/author&gt;&lt;author&gt;Doris K. Lidtke&lt;/author&gt;&lt;author&gt;Joyce Currie Little&lt;/author&gt;&lt;author&gt;Dianne Martin&lt;/author&gt;&lt;author&gt;Donn B. Parker&lt;/author&gt;&lt;author&gt;Judith A. Perrolle&lt;/author&gt;&lt;author&gt;Richard S. Rosenberg&lt;/author&gt;&lt;/authors&gt;&lt;/contributors&gt;&lt;titles&gt;&lt;title&gt;ACM Code of Ethics and Professional Conduct&lt;/title&gt;&lt;/titles&gt;&lt;volume&gt;2016&lt;/volume&gt;&lt;number&gt;11/29/2016&lt;/number&gt;&lt;dates&gt;&lt;year&gt;1992&lt;/year&gt;&lt;/dates&gt;&lt;pub-location&gt;ACM&lt;/pub-location&gt;&lt;urls&gt;&lt;related-urls&gt;&lt;url&gt;https://www.acm.org/about-acm/acm-code-of-ethics-and-professional-conduct&lt;/url&gt;&lt;/related-urls&gt;&lt;/urls&gt;&lt;/record&gt;&lt;/Cite&gt;&lt;/EndNote&gt;</w:instrText>
      </w:r>
      <w:r>
        <w:fldChar w:fldCharType="separate"/>
      </w:r>
      <w:r>
        <w:t>[1]</w:t>
      </w:r>
      <w:r>
        <w:fldChar w:fldCharType="end"/>
      </w:r>
      <w:r>
        <w:t xml:space="preserve">. </w:t>
      </w:r>
      <w:r w:rsidR="009F2D4B">
        <w:t xml:space="preserve">In natural language processing, </w:t>
      </w:r>
      <w:r w:rsidR="007F191E">
        <w:t>h</w:t>
      </w:r>
      <w:r w:rsidR="00FE2D38">
        <w:t xml:space="preserve">uman-annotated data is </w:t>
      </w:r>
      <w:r w:rsidR="00915FB2">
        <w:t xml:space="preserve">the </w:t>
      </w:r>
      <w:r w:rsidR="00FE2D38">
        <w:t>gold standard for</w:t>
      </w:r>
      <w:r w:rsidR="00915FB2">
        <w:t xml:space="preserve"> most evaluation studie</w:t>
      </w:r>
      <w:r w:rsidR="00E71A70">
        <w:t>s</w:t>
      </w:r>
      <w:r w:rsidR="00C858CD">
        <w:t xml:space="preserve"> </w:t>
      </w:r>
      <w:r w:rsidR="00C858CD">
        <w:fldChar w:fldCharType="begin"/>
      </w:r>
      <w:r w:rsidR="00D541DD">
        <w:instrText xml:space="preserve"> ADDIN EN.CITE &lt;EndNote&gt;&lt;Cite&gt;&lt;Author&gt;Jackson&lt;/Author&gt;&lt;Year&gt;2007&lt;/Year&gt;&lt;RecNum&gt;6&lt;/RecNum&gt;&lt;DisplayText&gt;[9]&lt;/DisplayText&gt;&lt;record&gt;&lt;rec-number&gt;6&lt;/rec-number&gt;&lt;foreign-keys&gt;&lt;key app="EN" db-id="0zprsadv8f2wpbe5v0r5wa0j59xspaf5z5s9" timestamp="1480470170"&gt;6&lt;/key&gt;&lt;/foreign-keys&gt;&lt;ref-type name="Book"&gt;6&lt;/ref-type&gt;&lt;contributors&gt;&lt;authors&gt;&lt;author&gt;Peter Jackson&lt;/author&gt;&lt;author&gt;Isabelle Moulinier&lt;/author&gt;&lt;/authors&gt;&lt;secondary-authors&gt;&lt;author&gt;Ruslan Mitkov&lt;/author&gt;&lt;/secondary-authors&gt;&lt;/contributors&gt;&lt;titles&gt;&lt;title&gt;Natural language processing for online applications: text retrieval, extraction, and categorization&lt;/title&gt;&lt;secondary-title&gt;Natural Language Processing &lt;/secondary-title&gt;&lt;/titles&gt;&lt;volume&gt;5&lt;/volume&gt;&lt;num-vols&gt;12&lt;/num-vols&gt;&lt;section&gt;45-52&lt;/section&gt;&lt;reprint-edition&gt;2nd&lt;/reprint-edition&gt;&lt;dates&gt;&lt;year&gt;2007&lt;/year&gt;&lt;pub-dates&gt;&lt;date&gt;2007&lt;/date&gt;&lt;/pub-dates&gt;&lt;/dates&gt;&lt;pub-location&gt;Amsterdam&lt;/pub-location&gt;&lt;publisher&gt;John Benjamins Publishing Company&lt;/publisher&gt;&lt;urls&gt;&lt;/urls&gt;&lt;/record&gt;&lt;/Cite&gt;&lt;/EndNote&gt;</w:instrText>
      </w:r>
      <w:r w:rsidR="00C858CD">
        <w:fldChar w:fldCharType="separate"/>
      </w:r>
      <w:r w:rsidR="00D541DD">
        <w:t>[9]</w:t>
      </w:r>
      <w:r w:rsidR="00C858CD">
        <w:fldChar w:fldCharType="end"/>
      </w:r>
      <w:r w:rsidR="007F191E">
        <w:t xml:space="preserve">, and therefore </w:t>
      </w:r>
      <w:r w:rsidR="00E71A70">
        <w:t>it is crucial for</w:t>
      </w:r>
      <w:r w:rsidR="007F191E">
        <w:t xml:space="preserve"> understanding the limits of our work</w:t>
      </w:r>
      <w:r w:rsidR="00A053F1" w:rsidRPr="00A053F1">
        <w:t xml:space="preserve">. </w:t>
      </w:r>
      <w:r w:rsidR="00915FB2">
        <w:t>It is</w:t>
      </w:r>
      <w:r w:rsidR="00A053F1" w:rsidRPr="00A053F1">
        <w:t xml:space="preserve"> </w:t>
      </w:r>
      <w:r w:rsidR="00915FB2">
        <w:t>standard practice to measure the</w:t>
      </w:r>
      <w:r w:rsidR="00A053F1" w:rsidRPr="00A053F1">
        <w:t xml:space="preserve"> quality </w:t>
      </w:r>
      <w:r w:rsidR="00915FB2">
        <w:t xml:space="preserve">of that data </w:t>
      </w:r>
      <w:r w:rsidR="00A053F1" w:rsidRPr="00A053F1">
        <w:t>by assessing the extent to which humans agreed with each other in the task of producing it</w:t>
      </w:r>
      <w:r w:rsidR="00C858CD">
        <w:t xml:space="preserve"> </w:t>
      </w:r>
      <w:r w:rsidR="00C858CD">
        <w:fldChar w:fldCharType="begin"/>
      </w:r>
      <w:r w:rsidR="00D541DD">
        <w:instrText xml:space="preserve"> ADDIN EN.CITE &lt;EndNote&gt;&lt;Cite&gt;&lt;Author&gt;Pustejovsky&lt;/Author&gt;&lt;Year&gt;2013&lt;/Year&gt;&lt;RecNum&gt;2&lt;/RecNum&gt;&lt;DisplayText&gt;[17]&lt;/DisplayText&gt;&lt;record&gt;&lt;rec-number&gt;2&lt;/rec-number&gt;&lt;foreign-keys&gt;&lt;key app="EN" db-id="0zprsadv8f2wpbe5v0r5wa0j59xspaf5z5s9" timestamp="1480465186"&gt;2&lt;/key&gt;&lt;/foreign-keys&gt;&lt;ref-type name="Book"&gt;6&lt;/ref-type&gt;&lt;contributors&gt;&lt;authors&gt;&lt;author&gt;Pustejovsky, J.&lt;/author&gt;&lt;author&gt;Stubbs, Amber&lt;/author&gt;&lt;/authors&gt;&lt;/contributors&gt;&lt;titles&gt;&lt;title&gt;Natural language annotation for machine learning&lt;/title&gt;&lt;/titles&gt;&lt;pages&gt;xiv, 326 p.&lt;/pages&gt;&lt;keywords&gt;&lt;keyword&gt;Natural language processing (Computer science)&lt;/keyword&gt;&lt;keyword&gt;Corpora (Linguistics) Data processing.&lt;/keyword&gt;&lt;keyword&gt;Machine learning.&lt;/keyword&gt;&lt;/keywords&gt;&lt;dates&gt;&lt;year&gt;2013&lt;/year&gt;&lt;/dates&gt;&lt;pub-location&gt;Sebastopol, CA&lt;/pub-location&gt;&lt;publisher&gt;O&amp;apos;Reilly Media ;&lt;/publisher&gt;&lt;isbn&gt;9781449306663 (pbk.)&amp;#xD;1449306667 (pbk.)&lt;/isbn&gt;&lt;accession-num&gt;17613211&lt;/accession-num&gt;&lt;call-num&gt;QA76.9.N38 P87 2013&lt;/call-num&gt;&lt;urls&gt;&lt;/urls&gt;&lt;/record&gt;&lt;/Cite&gt;&lt;/EndNote&gt;</w:instrText>
      </w:r>
      <w:r w:rsidR="00C858CD">
        <w:fldChar w:fldCharType="separate"/>
      </w:r>
      <w:r w:rsidR="00D541DD">
        <w:t>[17]</w:t>
      </w:r>
      <w:r w:rsidR="00C858CD">
        <w:fldChar w:fldCharType="end"/>
      </w:r>
      <w:r w:rsidR="00A053F1" w:rsidRPr="00A053F1">
        <w:t>. This is called inter-annotator agreement</w:t>
      </w:r>
      <w:r w:rsidR="00BC132E">
        <w:t xml:space="preserve"> (IAA)</w:t>
      </w:r>
      <w:r w:rsidR="00D541DD">
        <w:t xml:space="preserve"> </w:t>
      </w:r>
      <w:r w:rsidR="00D541DD">
        <w:fldChar w:fldCharType="begin"/>
      </w:r>
      <w:r w:rsidR="00D541DD">
        <w:instrText xml:space="preserve"> ADDIN EN.CITE &lt;EndNote&gt;&lt;Cite&gt;&lt;Author&gt;Artstein&lt;/Author&gt;&lt;Year&gt;2008&lt;/Year&gt;&lt;RecNum&gt;25&lt;/RecNum&gt;&lt;DisplayText&gt;[2]&lt;/DisplayText&gt;&lt;record&gt;&lt;rec-number&gt;25&lt;/rec-number&gt;&lt;foreign-keys&gt;&lt;key app="EN" db-id="0zprsadv8f2wpbe5v0r5wa0j59xspaf5z5s9" timestamp="1481486026"&gt;25&lt;/key&gt;&lt;/foreign-keys&gt;&lt;ref-type name="Journal Article"&gt;17&lt;/ref-type&gt;&lt;contributors&gt;&lt;authors&gt;&lt;author&gt;Ron Artstein&lt;/author&gt;&lt;author&gt;Massimo Poesio&lt;/author&gt;&lt;/authors&gt;&lt;/contributors&gt;&lt;titles&gt;&lt;title&gt;Inter-Coder Agreement for Computational Linguistics&lt;/title&gt;&lt;secondary-title&gt;Association for Computational Linguistics&lt;/secondary-title&gt;&lt;/titles&gt;&lt;periodical&gt;&lt;full-title&gt;Association for Computational Linguistics&lt;/full-title&gt;&lt;/periodical&gt;&lt;pages&gt;555-596&lt;/pages&gt;&lt;volume&gt;34&lt;/volume&gt;&lt;number&gt;4&lt;/number&gt;&lt;section&gt;555&lt;/section&gt;&lt;dates&gt;&lt;year&gt;2008&lt;/year&gt;&lt;pub-dates&gt;&lt;date&gt;1/28/2008&lt;/date&gt;&lt;/pub-dates&gt;&lt;/dates&gt;&lt;work-type&gt;Survey&lt;/work-type&gt;&lt;urls&gt;&lt;/urls&gt;&lt;/record&gt;&lt;/Cite&gt;&lt;/EndNote&gt;</w:instrText>
      </w:r>
      <w:r w:rsidR="00D541DD">
        <w:fldChar w:fldCharType="separate"/>
      </w:r>
      <w:r w:rsidR="00D541DD">
        <w:t>[2]</w:t>
      </w:r>
      <w:r w:rsidR="00D541DD">
        <w:fldChar w:fldCharType="end"/>
      </w:r>
      <w:r w:rsidR="00915FB2">
        <w:t>.</w:t>
      </w:r>
      <w:r w:rsidR="00A053F1" w:rsidRPr="00A053F1">
        <w:t xml:space="preserve"> A standard assumption in the field is that the inter-annotator agreement establishes an upper bound on system performance</w:t>
      </w:r>
      <w:r w:rsidR="00541000">
        <w:t xml:space="preserve"> </w:t>
      </w:r>
      <w:r w:rsidR="00D541DD">
        <w:t>[7,11,13-15,19</w:t>
      </w:r>
      <w:r w:rsidR="00247940">
        <w:t>]</w:t>
      </w:r>
      <w:r w:rsidR="00A053F1" w:rsidRPr="00A053F1">
        <w:t xml:space="preserve">. In fact, the assumption that </w:t>
      </w:r>
      <w:r w:rsidR="00847E32">
        <w:t>it</w:t>
      </w:r>
      <w:r w:rsidR="00A053F1" w:rsidRPr="00A053F1">
        <w:t xml:space="preserve"> is an upper bound on system performance turns out to be just that—a heretofore-untested assumption. The goal of the work reported here is to test that assumption. We do so by </w:t>
      </w:r>
      <w:r w:rsidR="00D5102B">
        <w:t>searching for the basis of that assumption; demonstrating that it is, in fact, a widely held assumption; and then collecting published findings in which system performance exceeded inter-annotator agreement and</w:t>
      </w:r>
      <w:r w:rsidR="00A053F1" w:rsidRPr="00A053F1">
        <w:t xml:space="preserve"> building simple statistical</w:t>
      </w:r>
      <w:r w:rsidR="00847E32">
        <w:t xml:space="preserve"> models of their relationships. </w:t>
      </w:r>
      <w:r w:rsidR="00F731E3">
        <w:t xml:space="preserve">This is important </w:t>
      </w:r>
      <w:r w:rsidR="00A053F1" w:rsidRPr="00A053F1">
        <w:t xml:space="preserve">because if the assumption turns out not to be supported, then as a community, we may be mis-estimating the actual performance of our systems. In particular, we may be over-estimating the quality of their performance by under-estimating how good it could </w:t>
      </w:r>
      <w:r w:rsidR="000B4F14">
        <w:t xml:space="preserve">potentially </w:t>
      </w:r>
      <w:r w:rsidR="00A053F1" w:rsidRPr="00A053F1">
        <w:t xml:space="preserve">be.  </w:t>
      </w:r>
    </w:p>
    <w:p w14:paraId="08214D15" w14:textId="79307E58" w:rsidR="009E651D" w:rsidRDefault="009E651D" w:rsidP="009E651D">
      <w:pPr>
        <w:pStyle w:val="BLevelTwoHeader"/>
      </w:pPr>
      <w:r>
        <w:t>Background</w:t>
      </w:r>
    </w:p>
    <w:p w14:paraId="2370BEEF" w14:textId="731D5229" w:rsidR="00ED6026" w:rsidRPr="00ED6026" w:rsidRDefault="00ED6026" w:rsidP="00160CA4">
      <w:pPr>
        <w:pStyle w:val="DBodyText"/>
      </w:pPr>
      <w:r>
        <w:t xml:space="preserve">The calculation of inter-annotator agreement (often known outside of corpus linguistics as </w:t>
      </w:r>
      <w:r>
        <w:rPr>
          <w:i/>
          <w:iCs/>
        </w:rPr>
        <w:t>inter-rater agreement</w:t>
      </w:r>
      <w:r>
        <w:t xml:space="preserve">) is </w:t>
      </w:r>
      <w:r>
        <w:lastRenderedPageBreak/>
        <w:t xml:space="preserve">motivated by the need </w:t>
      </w:r>
      <w:r w:rsidR="00C81DF0">
        <w:t xml:space="preserve">to </w:t>
      </w:r>
      <w:r>
        <w:t>deal with the problem of subjectivity in judgments about things that are not observable with the senses, a classic case of</w:t>
      </w:r>
      <w:r w:rsidR="00915FB2">
        <w:t xml:space="preserve"> this being semantics. Lenaars </w:t>
      </w:r>
      <w:r w:rsidR="00915FB2" w:rsidRPr="004F63FE">
        <w:fldChar w:fldCharType="begin"/>
      </w:r>
      <w:r w:rsidR="00915FB2">
        <w:instrText xml:space="preserve"> ADDIN EN.CITE &lt;EndNote&gt;&lt;Cite&gt;&lt;Author&gt;Leenaars&lt;/Author&gt;&lt;Year&gt;1988&lt;/Year&gt;&lt;RecNum&gt;3&lt;/RecNum&gt;&lt;DisplayText&gt;[10]&lt;/DisplayText&gt;&lt;record&gt;&lt;rec-number&gt;3&lt;/rec-number&gt;&lt;foreign-keys&gt;&lt;key app="EN" db-id="0zprsadv8f2wpbe5v0r5wa0j59xspaf5z5s9" timestamp="1480468600"&gt;3&lt;/key&gt;&lt;/foreign-keys&gt;&lt;ref-type name="Book"&gt;6&lt;/ref-type&gt;&lt;contributors&gt;&lt;authors&gt;&lt;author&gt;Antoon A. Leenaars&lt;/author&gt;&lt;/authors&gt;&lt;/contributors&gt;&lt;titles&gt;&lt;title&gt;Sucide Notes: Predictive Clues and Patterns&lt;/title&gt;&lt;/titles&gt;&lt;section&gt;52-61&lt;/section&gt;&lt;dates&gt;&lt;year&gt;1988&lt;/year&gt;&lt;/dates&gt;&lt;pub-location&gt;New York&lt;/pub-location&gt;&lt;publisher&gt;&lt;style face="normal" font="default" size="10"&gt;Human Sciences Press, Inc.&lt;/style&gt;&lt;/publisher&gt;&lt;isbn&gt;0-89885-399-0&lt;/isbn&gt;&lt;urls&gt;&lt;/urls&gt;&lt;/record&gt;&lt;/Cite&gt;&lt;/EndNote&gt;</w:instrText>
      </w:r>
      <w:r w:rsidR="00915FB2" w:rsidRPr="004F63FE">
        <w:fldChar w:fldCharType="separate"/>
      </w:r>
      <w:r w:rsidR="00915FB2">
        <w:t>[10]</w:t>
      </w:r>
      <w:r w:rsidR="00915FB2" w:rsidRPr="004F63FE">
        <w:fldChar w:fldCharType="end"/>
      </w:r>
      <w:r w:rsidR="00915FB2">
        <w:t xml:space="preserve"> </w:t>
      </w:r>
      <w:r>
        <w:t xml:space="preserve">traces its roots back to logical positivism, and Krippendorff brought it to linguistic data in particular </w:t>
      </w:r>
      <w:r w:rsidR="00EF2B70">
        <w:t>in the context of content analysis [XXcite].</w:t>
      </w:r>
      <w:r w:rsidR="00561679">
        <w:t xml:space="preserve"> Exactly how inter-annotator agreement should be calculated remains an open topic of discussion. </w:t>
      </w:r>
    </w:p>
    <w:p w14:paraId="07A5A42C" w14:textId="274D98FD" w:rsidR="009D4DDC" w:rsidRDefault="009D4DDC" w:rsidP="00B21DFB">
      <w:pPr>
        <w:pStyle w:val="DBodyText"/>
      </w:pPr>
      <w:r w:rsidRPr="009D4DDC">
        <w:t>Cohen</w:t>
      </w:r>
      <w:r w:rsidR="00561679">
        <w:t xml:space="preserve"> [XXcite], focusing on research in </w:t>
      </w:r>
      <w:r w:rsidRPr="009D4DDC">
        <w:t xml:space="preserve">psychology, </w:t>
      </w:r>
      <w:r w:rsidR="00B21DFB">
        <w:t>proposed quantifying</w:t>
      </w:r>
      <w:r w:rsidRPr="009D4DDC">
        <w:t xml:space="preserve"> the reproducibility and reliability of categorization </w:t>
      </w:r>
      <w:r w:rsidR="00B21DFB">
        <w:t>by calculating the agreement between two annotators and correcting it for the probability of agreement by chance.</w:t>
      </w:r>
      <w:r w:rsidR="00BC132E">
        <w:t xml:space="preserve"> </w:t>
      </w:r>
      <w:r w:rsidRPr="009D4DDC">
        <w:t>This measure is known as Cohen's Kappa</w:t>
      </w:r>
      <w:r w:rsidR="00B21DFB">
        <w:t>:</w:t>
      </w:r>
    </w:p>
    <w:p w14:paraId="353F4C3F" w14:textId="2B8A5DF9" w:rsidR="009D4DDC" w:rsidRPr="009D4DDC" w:rsidRDefault="009D4DDC" w:rsidP="009D4DDC">
      <w:pPr>
        <w:pStyle w:val="DBodyText"/>
      </w:pPr>
      <m:oMathPara>
        <m:oMath>
          <m:r>
            <w:rPr>
              <w:rFonts w:ascii="Cambria Math" w:hAnsi="Cambria Math"/>
            </w:rPr>
            <m:t xml:space="preserve">κ=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(e)</m:t>
              </m:r>
            </m:num>
            <m:den>
              <m:r>
                <w:rPr>
                  <w:rFonts w:ascii="Cambria Math" w:hAnsi="Cambria Math"/>
                </w:rPr>
                <m:t>1-</m:t>
              </m:r>
              <m:r>
                <m:rPr>
                  <m:sty m:val="p"/>
                </m:rPr>
                <w:rPr>
                  <w:rFonts w:ascii="Cambria Math" w:hAnsi="Cambria Math"/>
                </w:rPr>
                <m:t>Pr⁡</m:t>
              </m:r>
              <m:r>
                <w:rPr>
                  <w:rFonts w:ascii="Cambria Math" w:hAnsi="Cambria Math"/>
                </w:rPr>
                <m:t>(e)</m:t>
              </m:r>
            </m:den>
          </m:f>
        </m:oMath>
      </m:oMathPara>
    </w:p>
    <w:p w14:paraId="2742527C" w14:textId="6B32D06E" w:rsidR="00372017" w:rsidRDefault="00B21DFB" w:rsidP="00071C57">
      <w:pPr>
        <w:pStyle w:val="DBodyText"/>
      </w:pPr>
      <w:r>
        <w:t>…where</w:t>
      </w:r>
      <w:r w:rsidR="00372017">
        <w:t xml:space="preserve"> </w:t>
      </w:r>
      <w:r w:rsidR="00372017" w:rsidRPr="00372017">
        <w:rPr>
          <w:i/>
          <w:iCs/>
        </w:rPr>
        <w:t>Pr(a)</w:t>
      </w:r>
      <w:r w:rsidR="00372017">
        <w:t xml:space="preserve"> </w:t>
      </w:r>
      <w:r>
        <w:t>is</w:t>
      </w:r>
      <w:r w:rsidR="00372017" w:rsidRPr="00372017">
        <w:t xml:space="preserve"> the</w:t>
      </w:r>
      <w:r w:rsidR="00372017">
        <w:t xml:space="preserve"> observed agreement be</w:t>
      </w:r>
      <w:r w:rsidR="00372017" w:rsidRPr="00372017">
        <w:t>tween two annotators and</w:t>
      </w:r>
      <w:r w:rsidR="00372017">
        <w:t xml:space="preserve"> </w:t>
      </w:r>
      <w:r w:rsidR="00372017" w:rsidRPr="00372017">
        <w:rPr>
          <w:i/>
          <w:iCs/>
        </w:rPr>
        <w:t>Pr(e)</w:t>
      </w:r>
      <w:r w:rsidR="00372017">
        <w:t xml:space="preserve"> </w:t>
      </w:r>
      <w:r w:rsidR="00372017" w:rsidRPr="00372017">
        <w:t>as the expected</w:t>
      </w:r>
      <w:r w:rsidR="00372017">
        <w:t xml:space="preserve"> </w:t>
      </w:r>
      <w:r w:rsidR="00372017" w:rsidRPr="00372017">
        <w:t xml:space="preserve">agreement  between  </w:t>
      </w:r>
      <w:r w:rsidR="00372017">
        <w:t>the  annotators  if  each  anno</w:t>
      </w:r>
      <w:r w:rsidR="00372017" w:rsidRPr="00372017">
        <w:t>tator randomly picked a category for each ann</w:t>
      </w:r>
      <w:r w:rsidR="00372017">
        <w:t>o</w:t>
      </w:r>
      <w:r w:rsidR="00BC132E">
        <w:t xml:space="preserve">tation. </w:t>
      </w:r>
      <w:r w:rsidR="00372017" w:rsidRPr="00372017">
        <w:t>Thus</w:t>
      </w:r>
      <w:r w:rsidR="00071C57">
        <w:t>,</w:t>
      </w:r>
      <w:r w:rsidR="00372017" w:rsidRPr="00372017">
        <w:t xml:space="preserve">  Cohen’s  Kappa  adjusts  for  chance</w:t>
      </w:r>
      <w:r w:rsidR="00372017">
        <w:t xml:space="preserve"> </w:t>
      </w:r>
      <w:r w:rsidR="00372017" w:rsidRPr="00372017">
        <w:t>to determine how much better the annotators did</w:t>
      </w:r>
      <w:r w:rsidR="00372017">
        <w:t xml:space="preserve"> </w:t>
      </w:r>
      <w:r w:rsidR="00071C57">
        <w:t>than</w:t>
      </w:r>
      <w:r w:rsidR="00372017" w:rsidRPr="00372017">
        <w:t xml:space="preserve">  chance</w:t>
      </w:r>
      <w:r w:rsidR="00C34F3A">
        <w:t xml:space="preserve"> </w:t>
      </w:r>
      <w:r w:rsidR="00AD0AC2" w:rsidRPr="00AD0AC2">
        <w:fldChar w:fldCharType="begin"/>
      </w:r>
      <w:r w:rsidR="00D541DD">
        <w:instrText xml:space="preserve"> ADDIN EN.CITE &lt;EndNote&gt;&lt;Cite&gt;&lt;Author&gt;Cohen&lt;/Author&gt;&lt;Year&gt;1960&lt;/Year&gt;&lt;RecNum&gt;1&lt;/RecNum&gt;&lt;DisplayText&gt;[4]&lt;/DisplayText&gt;&lt;record&gt;&lt;rec-number&gt;1&lt;/rec-number&gt;&lt;foreign-keys&gt;&lt;key app="EN" db-id="0zprsadv8f2wpbe5v0r5wa0j59xspaf5z5s9" timestamp="1480465030"&gt;1&lt;/key&gt;&lt;/foreign-keys&gt;&lt;ref-type name="Journal Article"&gt;17&lt;/ref-type&gt;&lt;contributors&gt;&lt;authors&gt;&lt;author&gt;Jacob Cohen&lt;/author&gt;&lt;/authors&gt;&lt;/contributors&gt;&lt;titles&gt;&lt;title&gt;A Coefficient of Agreement for Nominal Scales&lt;/title&gt;&lt;secondary-title&gt;Educational and Psychological Measurement&lt;/secondary-title&gt;&lt;/titles&gt;&lt;periodical&gt;&lt;full-title&gt;Educational and Psychological Measurement&lt;/full-title&gt;&lt;/periodical&gt;&lt;pages&gt;37-46&lt;/pages&gt;&lt;volume&gt;20&lt;/volume&gt;&lt;number&gt;1&lt;/number&gt;&lt;dates&gt;&lt;year&gt;1960&lt;/year&gt;&lt;/dates&gt;&lt;urls&gt;&lt;/urls&gt;&lt;/record&gt;&lt;/Cite&gt;&lt;/EndNote&gt;</w:instrText>
      </w:r>
      <w:r w:rsidR="00AD0AC2" w:rsidRPr="00AD0AC2">
        <w:fldChar w:fldCharType="separate"/>
      </w:r>
      <w:r w:rsidR="00D541DD">
        <w:t>[4]</w:t>
      </w:r>
      <w:r w:rsidR="00AD0AC2" w:rsidRPr="00AD0AC2">
        <w:fldChar w:fldCharType="end"/>
      </w:r>
      <w:r w:rsidR="00BC132E">
        <w:t xml:space="preserve">. </w:t>
      </w:r>
      <w:r w:rsidR="008412BE">
        <w:t>Typically</w:t>
      </w:r>
      <w:r w:rsidR="00594931">
        <w:t>, language processing researchers</w:t>
      </w:r>
      <w:r w:rsidR="00103559">
        <w:t xml:space="preserve"> </w:t>
      </w:r>
      <w:r w:rsidR="00E413F6" w:rsidRPr="00E413F6">
        <w:t xml:space="preserve">compare the IAA score </w:t>
      </w:r>
      <w:r w:rsidR="00BC132E">
        <w:t xml:space="preserve">to the </w:t>
      </w:r>
      <w:r w:rsidR="001138E8">
        <w:t>F</w:t>
      </w:r>
      <w:r w:rsidR="001138E8">
        <w:rPr>
          <w:vertAlign w:val="subscript"/>
        </w:rPr>
        <w:t>1</w:t>
      </w:r>
      <w:r w:rsidR="00BC132E">
        <w:t xml:space="preserve"> </w:t>
      </w:r>
      <w:r w:rsidR="00E413F6" w:rsidRPr="00E413F6">
        <w:t>measure</w:t>
      </w:r>
      <w:r w:rsidR="00103559">
        <w:t xml:space="preserve"> obtained by the system</w:t>
      </w:r>
      <w:r w:rsidR="0058161D">
        <w:t xml:space="preserve">, including all of the papers discussed here except for </w:t>
      </w:r>
      <w:r w:rsidR="0058161D">
        <w:fldChar w:fldCharType="begin"/>
      </w:r>
      <w:r w:rsidR="0058161D">
        <w:instrText xml:space="preserve"> ADDIN EN.CITE &lt;EndNote&gt;&lt;Cite&gt;&lt;Author&gt;Grabar&lt;/Author&gt;&lt;Year&gt;2016&lt;/Year&gt;&lt;RecNum&gt;17&lt;/RecNum&gt;&lt;DisplayText&gt;[8]&lt;/DisplayText&gt;&lt;record&gt;&lt;rec-number&gt;17&lt;/rec-number&gt;&lt;foreign-keys&gt;&lt;key app="EN" db-id="0zprsadv8f2wpbe5v0r5wa0j59xspaf5z5s9" timestamp="1480472780"&gt;17&lt;/key&gt;&lt;/foreign-keys&gt;&lt;ref-type name="Journal Article"&gt;17&lt;/ref-type&gt;&lt;contributors&gt;&lt;authors&gt;&lt;author&gt;Natalia Grabar &lt;/author&gt;&lt;author&gt;Iris Eshkol-Taravela&lt;/author&gt;&lt;/authors&gt;&lt;/contributors&gt;&lt;titles&gt;&lt;title&gt;Disambiguation of occurrences of reformulation markers c’est-à-dire, disons, ça veut dire&lt;/title&gt;&lt;secondary-title&gt;JADT 2016&lt;/secondary-title&gt;&lt;/titles&gt;&lt;periodical&gt;&lt;full-title&gt;JADT 2016&lt;/full-title&gt;&lt;/periodical&gt;&lt;volume&gt;7&lt;/volume&gt;&lt;dates&gt;&lt;year&gt;2016&lt;/year&gt;&lt;pub-dates&gt;&lt;date&gt;June 10, 2016&lt;/date&gt;&lt;/pub-dates&gt;&lt;/dates&gt;&lt;urls&gt;&lt;/urls&gt;&lt;/record&gt;&lt;/Cite&gt;&lt;/EndNote&gt;</w:instrText>
      </w:r>
      <w:r w:rsidR="0058161D">
        <w:fldChar w:fldCharType="separate"/>
      </w:r>
      <w:r w:rsidR="0058161D">
        <w:t>[8]</w:t>
      </w:r>
      <w:r w:rsidR="0058161D">
        <w:fldChar w:fldCharType="end"/>
      </w:r>
      <w:r w:rsidR="0058161D">
        <w:t>, which uses precision</w:t>
      </w:r>
      <w:r w:rsidR="00DB6677">
        <w:t xml:space="preserve"> (positive predictive value)</w:t>
      </w:r>
      <w:r w:rsidR="0058161D">
        <w:t>.</w:t>
      </w:r>
    </w:p>
    <w:p w14:paraId="5D968711" w14:textId="6CA92FA5" w:rsidR="00CA6E91" w:rsidRPr="00CA6E91" w:rsidRDefault="00594931" w:rsidP="007E12B9">
      <w:pPr>
        <w:pStyle w:val="DBodyText"/>
      </w:pPr>
      <w:r>
        <w:t>The F</w:t>
      </w:r>
      <w:r>
        <w:rPr>
          <w:vertAlign w:val="subscript"/>
        </w:rPr>
        <w:t xml:space="preserve">1 </w:t>
      </w:r>
      <w:r>
        <w:t>is the</w:t>
      </w:r>
      <w:r w:rsidR="00DB6677">
        <w:t xml:space="preserve"> harmonic mean of precision</w:t>
      </w:r>
      <w:r>
        <w:t xml:space="preserve"> </w:t>
      </w:r>
      <w:r w:rsidR="001A3602" w:rsidRPr="001A3602">
        <w:t xml:space="preserve">and recall </w:t>
      </w:r>
      <w:r>
        <w:t xml:space="preserve"> (sensitivity)</w:t>
      </w:r>
      <w:r w:rsidR="00DB6677">
        <w:t>. It i</w:t>
      </w:r>
      <w:r>
        <w:t xml:space="preserve">s calculated </w:t>
      </w:r>
      <w:r w:rsidR="007E12B9">
        <w:t xml:space="preserve">on the basis of </w:t>
      </w:r>
      <w:r>
        <w:t>the numbers of true positives, false positives, and false negatives in a system’s output:</w:t>
      </w:r>
    </w:p>
    <w:p w14:paraId="6AF224E4" w14:textId="7D8DC9BA" w:rsidR="00CA6E91" w:rsidRPr="00CA6E91" w:rsidRDefault="008443A7" w:rsidP="00CA6E91">
      <w:pPr>
        <w:pStyle w:val="DBodyText"/>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2PR</m:t>
              </m:r>
            </m:num>
            <m:den>
              <m:r>
                <w:rPr>
                  <w:rFonts w:ascii="Cambria Math" w:hAnsi="Cambria Math"/>
                </w:rPr>
                <m:t>P+R</m:t>
              </m:r>
            </m:den>
          </m:f>
          <m:r>
            <w:rPr>
              <w:rFonts w:ascii="Cambria Math" w:hAnsi="Cambria Math"/>
            </w:rPr>
            <m:t>, F</m:t>
          </m:r>
          <m:r>
            <m:rPr>
              <m:sty m:val="p"/>
            </m:rPr>
            <w:rPr>
              <w:rFonts w:ascii="Cambria Math" w:hAnsi="Cambria Math"/>
            </w:rPr>
            <m:t xml:space="preserve">α= </m:t>
          </m:r>
          <m:f>
            <m:fPr>
              <m:ctrlPr>
                <w:rPr>
                  <w:rFonts w:ascii="Cambria Math" w:hAnsi="Cambria Math"/>
                </w:rPr>
              </m:ctrlPr>
            </m:fPr>
            <m:num>
              <m:r>
                <m:rPr>
                  <m:sty m:val="p"/>
                </m:rPr>
                <w:rPr>
                  <w:rFonts w:ascii="Cambria Math" w:hAnsi="Cambria Math"/>
                </w:rPr>
                <m:t>(α+1)PR</m:t>
              </m:r>
            </m:num>
            <m:den>
              <m:r>
                <m:rPr>
                  <m:sty m:val="p"/>
                </m:rPr>
                <w:rPr>
                  <w:rFonts w:ascii="Cambria Math" w:hAnsi="Cambria Math"/>
                </w:rPr>
                <m:t>αP+R</m:t>
              </m:r>
            </m:den>
          </m:f>
        </m:oMath>
      </m:oMathPara>
    </w:p>
    <w:p w14:paraId="06F707AB" w14:textId="11405365" w:rsidR="00BA2F94" w:rsidRDefault="00BA2F94" w:rsidP="00161C0D">
      <w:pPr>
        <w:pStyle w:val="DBodyText"/>
      </w:pPr>
      <w:r>
        <w:t>In the case of annotating linguistic data, it is often the case that the expected chance agreement (</w:t>
      </w:r>
      <w:r w:rsidRPr="00372017">
        <w:rPr>
          <w:i/>
          <w:iCs/>
        </w:rPr>
        <w:t>Pr(e</w:t>
      </w:r>
      <w:r>
        <w:rPr>
          <w:i/>
          <w:iCs/>
        </w:rPr>
        <w:t>)</w:t>
      </w:r>
      <w:r>
        <w:t xml:space="preserve"> in the formula for kappa) is effectively zero, since there is no clear definition of what would count as a false positive, e.g. in the case of any task that requires the labelling of boundaries, such as in named entity recognition or any task involving scope (e.g. syntactic analysis).</w:t>
      </w:r>
      <w:r w:rsidR="00164A63">
        <w:t xml:space="preserve"> When this is the case, kappa is equivalent to F-measure, and this </w:t>
      </w:r>
      <w:r w:rsidR="006064A0">
        <w:t>observation is the justification</w:t>
      </w:r>
      <w:r w:rsidR="00164A63">
        <w:t xml:space="preserve"> for their comparison</w:t>
      </w:r>
      <w:r w:rsidR="00D624F1">
        <w:t xml:space="preserve"> here</w:t>
      </w:r>
      <w:r w:rsidR="00164A63">
        <w:t xml:space="preserve"> [XXcite</w:t>
      </w:r>
      <w:r w:rsidR="006064A0">
        <w:t xml:space="preserve"> Hripcsak</w:t>
      </w:r>
      <w:r w:rsidR="00164A63">
        <w:t>].</w:t>
      </w:r>
    </w:p>
    <w:p w14:paraId="76968620" w14:textId="2092A11E" w:rsidR="00161C0D" w:rsidRPr="00FB07AC" w:rsidRDefault="00161C0D" w:rsidP="00161C0D">
      <w:pPr>
        <w:pStyle w:val="ALevelOneHeader"/>
      </w:pPr>
      <w:r>
        <w:t>Method</w:t>
      </w:r>
      <w:r w:rsidR="00B15784">
        <w:t>s</w:t>
      </w:r>
    </w:p>
    <w:p w14:paraId="23F03837" w14:textId="544093B4" w:rsidR="006E286D" w:rsidRDefault="006E286D" w:rsidP="00FC3C76">
      <w:pPr>
        <w:pStyle w:val="DBodyText"/>
      </w:pPr>
      <w:r>
        <w:t xml:space="preserve">This paper approaches the topic of the assumption of inter-annotator agreement as the upper limit on system performance in three steps.  First, we seek to answer the question of whether it is, indeed, a widely held assumption in the natural language processing community.  Then, we try to find the source for this assumption—the definitive citation.  </w:t>
      </w:r>
      <w:r w:rsidR="00FC3C76">
        <w:t>Finally</w:t>
      </w:r>
      <w:r>
        <w:t xml:space="preserve">, we look for counter-examples to the assumption; having found some, we do a statistical analysis of the papers that report results that </w:t>
      </w:r>
      <w:r>
        <w:lastRenderedPageBreak/>
        <w:t xml:space="preserve">contradict the assumption, on the rationale that if those results are just “noise,” then that should show up in the descriptive statistics.  </w:t>
      </w:r>
    </w:p>
    <w:p w14:paraId="05367076" w14:textId="4234AB24" w:rsidR="00CA6E91" w:rsidRDefault="006E286D" w:rsidP="004F69EA">
      <w:pPr>
        <w:pStyle w:val="DBodyText"/>
      </w:pPr>
      <w:r>
        <w:t>Since we are trying to characterize the community’s shared assumptions and to find the source of those assumptions, we took the literature as a proxy for those assumptions.  We did a search for papers that explicitly assert that inter-annotator agreement is an upper bound on machine performance, and we looked for the sources that are cited in support of that claim.  We carried out two separate searches. One was done by a natural language processing researcher. The other was done by a literatu</w:t>
      </w:r>
      <w:r w:rsidR="004F69EA">
        <w:t>re search service</w:t>
      </w:r>
      <w:r>
        <w:t>.  We had worked with them in the past, and knew them to be quite competent in researching questions related to natural language processing.  The full instructions given to the literature search service are available on this project’s GitHub site</w:t>
      </w:r>
      <w:r w:rsidR="004F63FE">
        <w:t xml:space="preserve"> </w:t>
      </w:r>
      <w:r w:rsidR="004F63FE">
        <w:fldChar w:fldCharType="begin"/>
      </w:r>
      <w:r w:rsidR="00D541DD">
        <w:instrText xml:space="preserve"> ADDIN EN.CITE &lt;EndNote&gt;&lt;Cite&gt;&lt;Author&gt;Cohen&lt;/Author&gt;&lt;Year&gt;2016&lt;/Year&gt;&lt;RecNum&gt;7&lt;/RecNum&gt;&lt;DisplayText&gt;[5]&lt;/DisplayText&gt;&lt;record&gt;&lt;rec-number&gt;7&lt;/rec-number&gt;&lt;foreign-keys&gt;&lt;key app="EN" db-id="0zprsadv8f2wpbe5v0r5wa0j59xspaf5z5s9" timestamp="1480470341"&gt;7&lt;/key&gt;&lt;/foreign-keys&gt;&lt;ref-type name="Web Page"&gt;12&lt;/ref-type&gt;&lt;contributors&gt;&lt;authors&gt;&lt;author&gt;Kevin Bretonnel Cohen&lt;/author&gt;&lt;author&gt;Mayla Boguslav&lt;/author&gt;&lt;/authors&gt;&lt;/contributors&gt;&lt;titles&gt;&lt;title&gt;KevinBretonnelCohen/InterAnnotatorAgreement &lt;/title&gt;&lt;/titles&gt;&lt;volume&gt;2016&lt;/volume&gt;&lt;number&gt;12/1/2016&lt;/number&gt;&lt;dates&gt;&lt;year&gt;2016&lt;/year&gt;&lt;/dates&gt;&lt;pub-location&gt;GitHub&lt;/pub-location&gt;&lt;publisher&gt;GitHub Inc.&lt;/publisher&gt;&lt;urls&gt;&lt;related-urls&gt;&lt;url&gt;https://github.com/KevinBretonnelCohen/InterAnnotatorAgreement&lt;/url&gt;&lt;/related-urls&gt;&lt;/urls&gt;&lt;/record&gt;&lt;/Cite&gt;&lt;/EndNote&gt;</w:instrText>
      </w:r>
      <w:r w:rsidR="004F63FE">
        <w:fldChar w:fldCharType="separate"/>
      </w:r>
      <w:r w:rsidR="00D541DD">
        <w:t>[5]</w:t>
      </w:r>
      <w:r w:rsidR="004F63FE">
        <w:fldChar w:fldCharType="end"/>
      </w:r>
      <w:r w:rsidR="00CA6E91">
        <w:t>.  Briefly, they were as follows:</w:t>
      </w:r>
    </w:p>
    <w:p w14:paraId="4A6FE6E3" w14:textId="020CE79F" w:rsidR="00CA6E91" w:rsidRDefault="006E286D" w:rsidP="006E286D">
      <w:pPr>
        <w:pStyle w:val="DEnumeratedList"/>
        <w:jc w:val="both"/>
      </w:pPr>
      <w:r>
        <w:t>Find papers that assert explicitly that inter-annotator agreement is an upper bound on system performance.</w:t>
      </w:r>
    </w:p>
    <w:p w14:paraId="47C5046A" w14:textId="147058C6" w:rsidR="006E286D" w:rsidRDefault="006E286D" w:rsidP="005F1B73">
      <w:pPr>
        <w:pStyle w:val="DEnumeratedList"/>
        <w:jc w:val="both"/>
      </w:pPr>
      <w:r>
        <w:t>Identify the source citation for that assertion.</w:t>
      </w:r>
    </w:p>
    <w:p w14:paraId="4052EABA" w14:textId="77777777" w:rsidR="005F1B73" w:rsidRDefault="006E286D" w:rsidP="005F1B73">
      <w:pPr>
        <w:pStyle w:val="DEnumeratedList"/>
        <w:numPr>
          <w:ilvl w:val="0"/>
          <w:numId w:val="0"/>
        </w:numPr>
        <w:jc w:val="both"/>
      </w:pPr>
      <w:r>
        <w:t xml:space="preserve">We then asked the literature search service to find examples of papers that reported inter-annotator agreement </w:t>
      </w:r>
      <w:r>
        <w:rPr>
          <w:i/>
          <w:iCs/>
        </w:rPr>
        <w:t xml:space="preserve">and </w:t>
      </w:r>
      <w:r>
        <w:t xml:space="preserve">results from a natural language processing system, such that the system performed higher than the inter-annotator agreement. </w:t>
      </w:r>
    </w:p>
    <w:p w14:paraId="450200CB" w14:textId="5735A871" w:rsidR="003509E1" w:rsidRPr="00A608EB" w:rsidRDefault="00921908" w:rsidP="00921908">
      <w:pPr>
        <w:pStyle w:val="DEnumeratedList"/>
        <w:numPr>
          <w:ilvl w:val="0"/>
          <w:numId w:val="0"/>
        </w:numPr>
        <w:jc w:val="both"/>
      </w:pPr>
      <w:r>
        <w:t>T</w:t>
      </w:r>
      <w:r w:rsidR="003509E1">
        <w:t xml:space="preserve">o search the full text of publications, the service used </w:t>
      </w:r>
      <w:r w:rsidR="00F84EDA">
        <w:t>Google Scholar</w:t>
      </w:r>
      <w:r w:rsidR="00DF7626">
        <w:t xml:space="preserve">. </w:t>
      </w:r>
      <w:r w:rsidR="00A608EB">
        <w:t xml:space="preserve">Phrasal search for </w:t>
      </w:r>
      <w:r w:rsidR="00A608EB">
        <w:rPr>
          <w:i/>
          <w:iCs/>
        </w:rPr>
        <w:t xml:space="preserve">inter-annotator agreement </w:t>
      </w:r>
      <w:r w:rsidR="00A608EB">
        <w:t xml:space="preserve">and </w:t>
      </w:r>
      <w:r w:rsidR="00A608EB">
        <w:rPr>
          <w:i/>
          <w:iCs/>
        </w:rPr>
        <w:t xml:space="preserve">F-measure </w:t>
      </w:r>
      <w:r w:rsidR="00A608EB">
        <w:t>and proximity operators to find cases where they occur near each other were used to retrieve an initial set of around 100 papers.  Those</w:t>
      </w:r>
      <w:r>
        <w:t xml:space="preserve"> papers</w:t>
      </w:r>
      <w:r w:rsidR="00A608EB">
        <w:t xml:space="preserve"> were then examined manually, and any papers in which the inter-annotator agreement was higher than system performance </w:t>
      </w:r>
      <w:r w:rsidR="00A608EB">
        <w:rPr>
          <w:i/>
          <w:iCs/>
        </w:rPr>
        <w:t xml:space="preserve">or </w:t>
      </w:r>
      <w:r w:rsidR="00A608EB">
        <w:t xml:space="preserve">there was no explicit discussion of the relationship between them were excluded.  This </w:t>
      </w:r>
      <w:r w:rsidR="00223FF0">
        <w:t>resulted in a set of 6 papers that included data on 20 systems that out-performed the inter-annotator agreement.</w:t>
      </w:r>
    </w:p>
    <w:p w14:paraId="17A1F979" w14:textId="0672295A" w:rsidR="00C02905" w:rsidRDefault="00AF7F36" w:rsidP="001F281F">
      <w:pPr>
        <w:pStyle w:val="DEnumeratedList"/>
        <w:numPr>
          <w:ilvl w:val="0"/>
          <w:numId w:val="0"/>
        </w:numPr>
        <w:jc w:val="both"/>
      </w:pPr>
      <w:r>
        <w:t xml:space="preserve">We next </w:t>
      </w:r>
      <w:r w:rsidR="00921908">
        <w:t>extracted</w:t>
      </w:r>
      <w:r>
        <w:t xml:space="preserve"> the IAA and system performance measure for all </w:t>
      </w:r>
      <w:r w:rsidR="001F281F">
        <w:t xml:space="preserve">20 </w:t>
      </w:r>
      <w:r>
        <w:t>sys</w:t>
      </w:r>
      <w:r w:rsidR="00772ED4">
        <w:t xml:space="preserve">tems </w:t>
      </w:r>
      <w:r w:rsidR="001F281F">
        <w:t xml:space="preserve">described </w:t>
      </w:r>
      <w:r w:rsidR="00772ED4">
        <w:t xml:space="preserve">within </w:t>
      </w:r>
      <w:r w:rsidR="001F281F">
        <w:t xml:space="preserve">those articles. </w:t>
      </w:r>
      <w:r w:rsidR="00BC32AC">
        <w:t xml:space="preserve">To evaluate the possibility that these values were noise, rather than an actual finding, we used simple statistical models to test for structure in the relation between IAA and system performance </w:t>
      </w:r>
      <w:r w:rsidR="0037068B">
        <w:t xml:space="preserve">in three data sets: </w:t>
      </w:r>
      <w:r w:rsidR="001D3ABE">
        <w:t xml:space="preserve">the </w:t>
      </w:r>
      <w:r w:rsidR="0037068B">
        <w:t>system</w:t>
      </w:r>
      <w:r>
        <w:t>s that</w:t>
      </w:r>
      <w:r w:rsidR="0037068B">
        <w:t xml:space="preserve"> outperformed the IAA, </w:t>
      </w:r>
      <w:r w:rsidR="001D3ABE">
        <w:t xml:space="preserve">other </w:t>
      </w:r>
      <w:r>
        <w:t>systems that did not</w:t>
      </w:r>
      <w:r w:rsidR="0037068B">
        <w:t>, and both combined.</w:t>
      </w:r>
      <w:r w:rsidR="00B152D9">
        <w:t xml:space="preserve"> </w:t>
      </w:r>
      <w:r w:rsidR="00BC32AC">
        <w:t xml:space="preserve">The </w:t>
      </w:r>
      <w:r w:rsidR="004253AF">
        <w:t>reasoning</w:t>
      </w:r>
      <w:r w:rsidR="00BC32AC">
        <w:t xml:space="preserve"> here is that if the findings are noise, </w:t>
      </w:r>
      <w:r w:rsidR="0063743D">
        <w:t>that should be reflected as random variation in the F-measure, the IAA, or both</w:t>
      </w:r>
      <w:r w:rsidR="006218AE">
        <w:t>;</w:t>
      </w:r>
      <w:r w:rsidR="00BC32AC">
        <w:t xml:space="preserve"> </w:t>
      </w:r>
      <w:r w:rsidR="0063743D">
        <w:t xml:space="preserve">on the other hand, </w:t>
      </w:r>
      <w:r w:rsidR="00BC32AC">
        <w:t xml:space="preserve">if it is not just noise, then that would be reflected </w:t>
      </w:r>
      <w:r w:rsidR="001D3ABE">
        <w:t>by structured relation</w:t>
      </w:r>
      <w:r w:rsidR="00BC32AC">
        <w:t>.</w:t>
      </w:r>
    </w:p>
    <w:p w14:paraId="10EFD8F4" w14:textId="2E43436D" w:rsidR="002F24A5" w:rsidRPr="00CA6E91" w:rsidRDefault="00C02905" w:rsidP="00615AE2">
      <w:pPr>
        <w:pStyle w:val="DEnumeratedList"/>
        <w:numPr>
          <w:ilvl w:val="0"/>
          <w:numId w:val="0"/>
        </w:numPr>
        <w:jc w:val="both"/>
      </w:pPr>
      <w:r>
        <w:t xml:space="preserve">For all three datasets, </w:t>
      </w:r>
      <w:r w:rsidR="00615AE2">
        <w:t>we used</w:t>
      </w:r>
      <w:r w:rsidR="00B152D9">
        <w:t xml:space="preserve"> the Shapiro-Wilk test</w:t>
      </w:r>
      <w:r w:rsidR="004F63FE">
        <w:t xml:space="preserve"> </w:t>
      </w:r>
      <w:r w:rsidR="004F63FE">
        <w:fldChar w:fldCharType="begin"/>
      </w:r>
      <w:r w:rsidR="00D541DD">
        <w:instrText xml:space="preserve"> ADDIN EN.CITE &lt;EndNote&gt;&lt;Cite&gt;&lt;Author&gt;Shapiro&lt;/Author&gt;&lt;Year&gt;1965&lt;/Year&gt;&lt;RecNum&gt;8&lt;/RecNum&gt;&lt;DisplayText&gt;[21]&lt;/DisplayText&gt;&lt;record&gt;&lt;rec-number&gt;8&lt;/rec-number&gt;&lt;foreign-keys&gt;&lt;key app="EN" db-id="0zprsadv8f2wpbe5v0r5wa0j59xspaf5z5s9" timestamp="1480470536"&gt;8&lt;/key&gt;&lt;/foreign-keys&gt;&lt;ref-type name="Journal Article"&gt;17&lt;/ref-type&gt;&lt;contributors&gt;&lt;authors&gt;&lt;author&gt;S. S. Shapiro&lt;/author&gt;&lt;author&gt;M. B. Wilk&lt;/author&gt;&lt;/authors&gt;&lt;/contributors&gt;&lt;titles&gt;&lt;title&gt;An Analysis of Variance Test for Normality (complete Samples)&lt;/title&gt;&lt;secondary-title&gt;Biometrika&lt;/secondary-title&gt;&lt;/titles&gt;&lt;periodical&gt;&lt;full-title&gt;Biometrika&lt;/full-title&gt;&lt;/periodical&gt;&lt;pages&gt;591-611&lt;/pages&gt;&lt;volume&gt;52&lt;/volume&gt;&lt;number&gt;3/4&lt;/number&gt;&lt;dates&gt;&lt;year&gt;1965&lt;/year&gt;&lt;/dates&gt;&lt;urls&gt;&lt;/urls&gt;&lt;/record&gt;&lt;/Cite&gt;&lt;/EndNote&gt;</w:instrText>
      </w:r>
      <w:r w:rsidR="004F63FE">
        <w:fldChar w:fldCharType="separate"/>
      </w:r>
      <w:r w:rsidR="00D541DD">
        <w:t>[21]</w:t>
      </w:r>
      <w:r w:rsidR="004F63FE">
        <w:fldChar w:fldCharType="end"/>
      </w:r>
      <w:r w:rsidR="00B152D9">
        <w:t xml:space="preserve"> to dete</w:t>
      </w:r>
      <w:r w:rsidR="0037068B">
        <w:t xml:space="preserve">rmine if they were </w:t>
      </w:r>
      <w:r w:rsidR="003B7D3C">
        <w:t>normall</w:t>
      </w:r>
      <w:r w:rsidR="00E776BC">
        <w:t xml:space="preserve">y distributed. We calculated the correlation between IAA and F-measure, reasoning that if the papers that report out-performing IAA are just observing noise, then there should be no relationship between them. </w:t>
      </w:r>
      <w:r w:rsidR="00615AE2">
        <w:t xml:space="preserve">Because most of the distributions were not normal, </w:t>
      </w:r>
      <w:r w:rsidR="0037068B">
        <w:t>Spearman’s correlation</w:t>
      </w:r>
      <w:r w:rsidR="00E776BC">
        <w:t>, a non-parametric test</w:t>
      </w:r>
      <w:r>
        <w:t xml:space="preserve"> </w:t>
      </w:r>
      <w:r>
        <w:fldChar w:fldCharType="begin"/>
      </w:r>
      <w:r w:rsidR="00D541DD">
        <w:instrText xml:space="preserve"> ADDIN EN.CITE &lt;EndNote&gt;&lt;Cite&gt;&lt;Author&gt;Mukaka&lt;/Author&gt;&lt;Year&gt;2012&lt;/Year&gt;&lt;RecNum&gt;9&lt;/RecNum&gt;&lt;DisplayText&gt;[12]&lt;/DisplayText&gt;&lt;record&gt;&lt;rec-number&gt;9&lt;/rec-number&gt;&lt;foreign-keys&gt;&lt;key app="EN" db-id="0zprsadv8f2wpbe5v0r5wa0j59xspaf5z5s9" timestamp="1480470737"&gt;9&lt;/key&gt;&lt;/foreign-keys&gt;&lt;ref-type name="Journal Article"&gt;17&lt;/ref-type&gt;&lt;contributors&gt;&lt;authors&gt;&lt;author&gt;M. Mukaka&lt;/author&gt;&lt;/authors&gt;&lt;/contributors&gt;&lt;titles&gt;&lt;title&gt;A guide to appropriate use of Correlation co-efficient in medical research&lt;/title&gt;&lt;secondary-title&gt;Malawi Medical Journal: The Journal of Medical Association of Malawi&lt;/secondary-title&gt;&lt;/titles&gt;&lt;periodical&gt;&lt;full-title&gt;Malawi Medical Journal: The Journal of Medical Association of Malawi&lt;/full-title&gt;&lt;/periodical&gt;&lt;pages&gt;69-71&lt;/pages&gt;&lt;volume&gt;24&lt;/volume&gt;&lt;number&gt;3&lt;/number&gt;&lt;dates&gt;&lt;year&gt;2012&lt;/year&gt;&lt;/dates&gt;&lt;urls&gt;&lt;/urls&gt;&lt;/record&gt;&lt;/Cite&gt;&lt;/EndNote&gt;</w:instrText>
      </w:r>
      <w:r>
        <w:fldChar w:fldCharType="separate"/>
      </w:r>
      <w:r w:rsidR="00D541DD">
        <w:t>[12]</w:t>
      </w:r>
      <w:r>
        <w:fldChar w:fldCharType="end"/>
      </w:r>
      <w:r w:rsidR="00E776BC">
        <w:t xml:space="preserve">, was used </w:t>
      </w:r>
      <w:r w:rsidR="00615AE2">
        <w:t>to calculation the correlations.</w:t>
      </w:r>
      <w:r w:rsidR="00E776BC">
        <w:t xml:space="preserve"> The details are available on the GitHub site.</w:t>
      </w:r>
    </w:p>
    <w:p w14:paraId="7F780C3E" w14:textId="77777777" w:rsidR="00161C0D" w:rsidRPr="00FB07AC" w:rsidRDefault="00161C0D" w:rsidP="00161C0D">
      <w:pPr>
        <w:pStyle w:val="ALevelOneHeader"/>
      </w:pPr>
      <w:r>
        <w:lastRenderedPageBreak/>
        <w:t>Results</w:t>
      </w:r>
    </w:p>
    <w:p w14:paraId="65DE9CB4" w14:textId="51F6AD41" w:rsidR="005F1B73" w:rsidRDefault="005F1B73" w:rsidP="00764DFC">
      <w:pPr>
        <w:pStyle w:val="DBodyText"/>
      </w:pPr>
      <w:r>
        <w:rPr>
          <w:b/>
          <w:bCs/>
        </w:rPr>
        <w:t xml:space="preserve">There is no citation that establishes that inter-annotator agreement is an upper bound on system performance. </w:t>
      </w:r>
      <w:r w:rsidR="009F5427">
        <w:t>Neither we nor a professional</w:t>
      </w:r>
      <w:r w:rsidR="00161C0D">
        <w:t xml:space="preserve"> literature search service found an authoritative citation </w:t>
      </w:r>
      <w:r w:rsidR="00331C6D">
        <w:t>for</w:t>
      </w:r>
      <w:r w:rsidR="00161C0D">
        <w:t xml:space="preserve"> the </w:t>
      </w:r>
      <w:r w:rsidR="00331C6D">
        <w:t>idea</w:t>
      </w:r>
      <w:r w:rsidR="00161C0D">
        <w:t xml:space="preserve"> that inter-annotator </w:t>
      </w:r>
      <w:r w:rsidR="00CC2386">
        <w:t>agreement</w:t>
      </w:r>
      <w:r w:rsidR="00983FB5">
        <w:t xml:space="preserve"> </w:t>
      </w:r>
      <w:r w:rsidR="00CC2386">
        <w:t>is the up</w:t>
      </w:r>
      <w:r w:rsidR="00983FB5">
        <w:t xml:space="preserve">per bound on language processing </w:t>
      </w:r>
      <w:r w:rsidR="00CC2386">
        <w:t xml:space="preserve"> </w:t>
      </w:r>
      <w:r w:rsidR="00983FB5">
        <w:t xml:space="preserve">system </w:t>
      </w:r>
      <w:r w:rsidR="00CC2386">
        <w:t>performance</w:t>
      </w:r>
      <w:r w:rsidR="005B66AD">
        <w:t xml:space="preserve">. </w:t>
      </w:r>
      <w:r>
        <w:t xml:space="preserve">It is often asserted, but we have not found a cited source that establishes it to be the case. </w:t>
      </w:r>
      <w:r w:rsidR="008A6E90">
        <w:t xml:space="preserve"> </w:t>
      </w:r>
      <w:r w:rsidR="004725FE">
        <w:t>None of the papers that explicitly asserted the assumption cited a source for the assertion.</w:t>
      </w:r>
    </w:p>
    <w:p w14:paraId="2F56862F" w14:textId="68476A7C" w:rsidR="00A05AF3" w:rsidRPr="005F1B73" w:rsidRDefault="00DF0B6F" w:rsidP="005F61CA">
      <w:pPr>
        <w:pStyle w:val="DBodyText"/>
        <w:rPr>
          <w:b/>
          <w:bCs/>
        </w:rPr>
      </w:pPr>
      <w:r>
        <w:t xml:space="preserve">Nonetheless, </w:t>
      </w:r>
      <w:r w:rsidRPr="00C73C9C">
        <w:rPr>
          <w:b/>
          <w:bCs/>
        </w:rPr>
        <w:t xml:space="preserve">explicit statements of the assumption in </w:t>
      </w:r>
      <w:r w:rsidR="004E7CCB" w:rsidRPr="00C73C9C">
        <w:rPr>
          <w:b/>
          <w:bCs/>
        </w:rPr>
        <w:t xml:space="preserve">multiple </w:t>
      </w:r>
      <w:r w:rsidR="00C73C9C">
        <w:rPr>
          <w:b/>
          <w:bCs/>
        </w:rPr>
        <w:t>papers</w:t>
      </w:r>
      <w:r w:rsidRPr="00C73C9C">
        <w:rPr>
          <w:b/>
          <w:bCs/>
        </w:rPr>
        <w:t xml:space="preserve"> demonstrate that this assumption is widespread</w:t>
      </w:r>
      <w:r w:rsidR="005F61CA">
        <w:t>.</w:t>
      </w:r>
      <w:r w:rsidR="0080791A">
        <w:t xml:space="preserve"> We </w:t>
      </w:r>
      <w:r w:rsidR="005F61CA">
        <w:t>give</w:t>
      </w:r>
      <w:r w:rsidR="0080791A">
        <w:t xml:space="preserve"> six explicit statements of the assumption, including in papers by some of the most prominent researchers in the field—s</w:t>
      </w:r>
      <w:r w:rsidR="00ED1233">
        <w:t>ee</w:t>
      </w:r>
      <w:r w:rsidR="00EF7A57">
        <w:t xml:space="preserve"> </w:t>
      </w:r>
      <w:r w:rsidR="00545108">
        <w:t xml:space="preserve">the quotes in </w:t>
      </w:r>
      <w:r w:rsidR="00EF7A57">
        <w:t>T</w:t>
      </w:r>
      <w:r w:rsidR="00ED1233">
        <w:t>able 1</w:t>
      </w:r>
      <w:r w:rsidR="00CC2386">
        <w:t>.</w:t>
      </w:r>
    </w:p>
    <w:p w14:paraId="375D72F0" w14:textId="060CC578" w:rsidR="00CC2386" w:rsidRPr="005C35B6" w:rsidRDefault="00CC2386" w:rsidP="003648DD">
      <w:pPr>
        <w:pStyle w:val="DTableTitle"/>
        <w:jc w:val="both"/>
      </w:pPr>
      <w:r w:rsidRPr="005C35B6">
        <w:t xml:space="preserve">Table </w:t>
      </w:r>
      <w:r w:rsidR="00ED1233">
        <w:t xml:space="preserve">1 </w:t>
      </w:r>
      <w:r w:rsidR="00FA3B47">
        <w:t>– Explicit statements of the as</w:t>
      </w:r>
      <w:r>
        <w:t xml:space="preserve">ssumption of IAA as </w:t>
      </w:r>
      <w:r w:rsidR="003648DD">
        <w:t xml:space="preserve">an </w:t>
      </w:r>
      <w:r>
        <w:t xml:space="preserve">upper bound in the </w:t>
      </w:r>
      <w:r w:rsidR="003648DD">
        <w:t xml:space="preserve">natural language processing </w:t>
      </w:r>
      <w:r>
        <w:t>literature</w:t>
      </w:r>
    </w:p>
    <w:tbl>
      <w:tblPr>
        <w:tblW w:w="5022" w:type="dxa"/>
        <w:tblInd w:w="18" w:type="dxa"/>
        <w:tblLayout w:type="fixed"/>
        <w:tblLook w:val="0000" w:firstRow="0" w:lastRow="0" w:firstColumn="0" w:lastColumn="0" w:noHBand="0" w:noVBand="0"/>
      </w:tblPr>
      <w:tblGrid>
        <w:gridCol w:w="1512"/>
        <w:gridCol w:w="3510"/>
      </w:tblGrid>
      <w:tr w:rsidR="00CC2386" w:rsidRPr="00FB07AC" w14:paraId="21393E67" w14:textId="77777777" w:rsidTr="00142576">
        <w:tc>
          <w:tcPr>
            <w:tcW w:w="1512" w:type="dxa"/>
            <w:tcBorders>
              <w:top w:val="single" w:sz="4" w:space="0" w:color="auto"/>
              <w:bottom w:val="single" w:sz="4" w:space="0" w:color="auto"/>
            </w:tcBorders>
            <w:vAlign w:val="bottom"/>
          </w:tcPr>
          <w:p w14:paraId="170F3616" w14:textId="37A31444" w:rsidR="00CC2386" w:rsidRPr="00677D7A" w:rsidRDefault="00CC2386" w:rsidP="005E20B0">
            <w:pPr>
              <w:rPr>
                <w:b/>
                <w:noProof/>
              </w:rPr>
            </w:pPr>
            <w:r>
              <w:rPr>
                <w:b/>
                <w:noProof/>
              </w:rPr>
              <w:t>Paper</w:t>
            </w:r>
          </w:p>
        </w:tc>
        <w:tc>
          <w:tcPr>
            <w:tcW w:w="3510" w:type="dxa"/>
            <w:tcBorders>
              <w:top w:val="single" w:sz="4" w:space="0" w:color="auto"/>
              <w:bottom w:val="single" w:sz="4" w:space="0" w:color="auto"/>
            </w:tcBorders>
            <w:vAlign w:val="bottom"/>
          </w:tcPr>
          <w:p w14:paraId="3D9A95C0" w14:textId="31665786" w:rsidR="00CC2386" w:rsidRPr="00677D7A" w:rsidRDefault="00CC2386" w:rsidP="005E20B0">
            <w:pPr>
              <w:rPr>
                <w:b/>
                <w:noProof/>
              </w:rPr>
            </w:pPr>
            <w:r>
              <w:rPr>
                <w:b/>
                <w:noProof/>
              </w:rPr>
              <w:t>Quote</w:t>
            </w:r>
          </w:p>
        </w:tc>
      </w:tr>
      <w:tr w:rsidR="00CC2386" w:rsidRPr="00FB07AC" w14:paraId="0D09D916" w14:textId="77777777" w:rsidTr="00142576">
        <w:tc>
          <w:tcPr>
            <w:tcW w:w="1512" w:type="dxa"/>
            <w:tcBorders>
              <w:top w:val="single" w:sz="4" w:space="0" w:color="auto"/>
            </w:tcBorders>
          </w:tcPr>
          <w:p w14:paraId="2C1BC5AB" w14:textId="771FA509" w:rsidR="00CC2386" w:rsidRPr="00677D7A" w:rsidRDefault="00CC2386" w:rsidP="00D541DD">
            <w:pPr>
              <w:rPr>
                <w:noProof/>
              </w:rPr>
            </w:pPr>
            <w:r>
              <w:rPr>
                <w:noProof/>
              </w:rPr>
              <w:t>Resnik and Lin</w:t>
            </w:r>
            <w:r w:rsidR="00320E5D">
              <w:rPr>
                <w:noProof/>
              </w:rPr>
              <w:t xml:space="preserve"> </w:t>
            </w:r>
            <w:r w:rsidR="00320E5D">
              <w:rPr>
                <w:noProof/>
              </w:rPr>
              <w:fldChar w:fldCharType="begin"/>
            </w:r>
            <w:r w:rsidR="00D541DD">
              <w:rPr>
                <w:noProof/>
              </w:rPr>
              <w:instrText xml:space="preserve"> ADDIN EN.CITE &lt;EndNote&gt;&lt;Cite&gt;&lt;Author&gt;Resnik&lt;/Author&gt;&lt;Year&gt;2010&lt;/Year&gt;&lt;RecNum&gt;10&lt;/RecNum&gt;&lt;DisplayText&gt;[19]&lt;/DisplayText&gt;&lt;record&gt;&lt;rec-number&gt;10&lt;/rec-number&gt;&lt;foreign-keys&gt;&lt;key app="EN" db-id="0zprsadv8f2wpbe5v0r5wa0j59xspaf5z5s9" timestamp="1480470974"&gt;10&lt;/key&gt;&lt;/foreign-keys&gt;&lt;ref-type name="Journal Article"&gt;17&lt;/ref-type&gt;&lt;contributors&gt;&lt;authors&gt;&lt;author&gt;Philip Resnik&lt;/author&gt;&lt;author&gt;Jimmy Lin&lt;/author&gt;&lt;/authors&gt;&lt;/contributors&gt;&lt;titles&gt;&lt;title&gt;Evaluation of NLP Sys-tems&lt;/title&gt;&lt;secondary-title&gt;The handbook of computational linguistics and natural language processing&lt;/secondary-title&gt;&lt;/titles&gt;&lt;periodical&gt;&lt;full-title&gt;The handbook of computational linguistics and natural language processing&lt;/full-title&gt;&lt;/periodical&gt;&lt;volume&gt;57&lt;/volume&gt;&lt;section&gt;271-295&lt;/section&gt;&lt;dates&gt;&lt;year&gt;2010&lt;/year&gt;&lt;/dates&gt;&lt;urls&gt;&lt;/urls&gt;&lt;/record&gt;&lt;/Cite&gt;&lt;/EndNote&gt;</w:instrText>
            </w:r>
            <w:r w:rsidR="00320E5D">
              <w:rPr>
                <w:noProof/>
              </w:rPr>
              <w:fldChar w:fldCharType="separate"/>
            </w:r>
            <w:r w:rsidR="00D541DD">
              <w:rPr>
                <w:noProof/>
              </w:rPr>
              <w:t>[19]</w:t>
            </w:r>
            <w:r w:rsidR="00320E5D">
              <w:rPr>
                <w:noProof/>
              </w:rPr>
              <w:fldChar w:fldCharType="end"/>
            </w:r>
          </w:p>
        </w:tc>
        <w:tc>
          <w:tcPr>
            <w:tcW w:w="3510" w:type="dxa"/>
            <w:tcBorders>
              <w:top w:val="single" w:sz="4" w:space="0" w:color="auto"/>
            </w:tcBorders>
          </w:tcPr>
          <w:p w14:paraId="407AF934" w14:textId="141D33B0" w:rsidR="00CC2386" w:rsidRPr="00677D7A" w:rsidRDefault="00CC2386" w:rsidP="005E20B0">
            <w:pPr>
              <w:rPr>
                <w:noProof/>
              </w:rPr>
            </w:pPr>
            <w:r>
              <w:rPr>
                <w:noProof/>
              </w:rPr>
              <w:t>“It is generally agreed that human inter-annotator agreement defines the upper limit on our ability to measure automated performance”</w:t>
            </w:r>
          </w:p>
        </w:tc>
      </w:tr>
      <w:tr w:rsidR="00CC2386" w:rsidRPr="00FB07AC" w14:paraId="2C0EA506" w14:textId="77777777" w:rsidTr="00142576">
        <w:tc>
          <w:tcPr>
            <w:tcW w:w="1512" w:type="dxa"/>
          </w:tcPr>
          <w:p w14:paraId="4DD9D1EB" w14:textId="3DF0052C" w:rsidR="00CC2386" w:rsidRPr="00677D7A" w:rsidRDefault="00CE2E5F" w:rsidP="00D541DD">
            <w:pPr>
              <w:rPr>
                <w:noProof/>
              </w:rPr>
            </w:pPr>
            <w:r>
              <w:rPr>
                <w:noProof/>
              </w:rPr>
              <w:t>Gale, Church, and Yarowsky</w:t>
            </w:r>
            <w:r w:rsidR="00E41C4C">
              <w:rPr>
                <w:noProof/>
              </w:rPr>
              <w:t xml:space="preserve"> </w:t>
            </w:r>
            <w:r w:rsidR="00E41C4C">
              <w:rPr>
                <w:noProof/>
              </w:rPr>
              <w:fldChar w:fldCharType="begin"/>
            </w:r>
            <w:r w:rsidR="00D541DD">
              <w:rPr>
                <w:noProof/>
              </w:rPr>
              <w:instrText xml:space="preserve"> ADDIN EN.CITE &lt;EndNote&gt;&lt;Cite&gt;&lt;Author&gt;Gale&lt;/Author&gt;&lt;Year&gt;1992&lt;/Year&gt;&lt;RecNum&gt;11&lt;/RecNum&gt;&lt;DisplayText&gt;[7]&lt;/DisplayText&gt;&lt;record&gt;&lt;rec-number&gt;11&lt;/rec-number&gt;&lt;foreign-keys&gt;&lt;key app="EN" db-id="0zprsadv8f2wpbe5v0r5wa0j59xspaf5z5s9" timestamp="1480471422"&gt;11&lt;/key&gt;&lt;/foreign-keys&gt;&lt;ref-type name="Conference Proceedings"&gt;10&lt;/ref-type&gt;&lt;contributors&gt;&lt;authors&gt;&lt;author&gt;William Gale&lt;/author&gt;&lt;author&gt;Kenneth Ward Church&lt;/author&gt;&lt;author&gt;David Yarowsky&lt;/author&gt;&lt;/authors&gt;&lt;/contributors&gt;&lt;titles&gt;&lt;title&gt;Estimating upper and lower bounds on the performance of word-sense disambiguation programs&lt;/title&gt;&lt;secondary-title&gt;annual meeting on Association for Computational Linguistics&lt;/secondary-title&gt;&lt;/titles&gt;&lt;dates&gt;&lt;year&gt;1992&lt;/year&gt;&lt;/dates&gt;&lt;urls&gt;&lt;/urls&gt;&lt;custom3&gt;Proceedings of the 30th annual meeting on Association for Computational Linguistics&lt;/custom3&gt;&lt;/record&gt;&lt;/Cite&gt;&lt;/EndNote&gt;</w:instrText>
            </w:r>
            <w:r w:rsidR="00E41C4C">
              <w:rPr>
                <w:noProof/>
              </w:rPr>
              <w:fldChar w:fldCharType="separate"/>
            </w:r>
            <w:r w:rsidR="00D541DD">
              <w:rPr>
                <w:noProof/>
              </w:rPr>
              <w:t>[7]</w:t>
            </w:r>
            <w:r w:rsidR="00E41C4C">
              <w:rPr>
                <w:noProof/>
              </w:rPr>
              <w:fldChar w:fldCharType="end"/>
            </w:r>
          </w:p>
        </w:tc>
        <w:tc>
          <w:tcPr>
            <w:tcW w:w="3510" w:type="dxa"/>
          </w:tcPr>
          <w:p w14:paraId="385715AA" w14:textId="269EB413" w:rsidR="00CC2386" w:rsidRPr="00677D7A" w:rsidRDefault="00CE2E5F" w:rsidP="005E20B0">
            <w:pPr>
              <w:rPr>
                <w:noProof/>
              </w:rPr>
            </w:pPr>
            <w:r>
              <w:rPr>
                <w:noProof/>
              </w:rPr>
              <w:t>“An estimate of the upper bound is obtained by assuming that our ability to measure performance is largly limited by our ability to obtain reliable judgements from human informants”</w:t>
            </w:r>
          </w:p>
        </w:tc>
      </w:tr>
      <w:tr w:rsidR="00CC2386" w:rsidRPr="00FB07AC" w14:paraId="18A8ED76" w14:textId="77777777" w:rsidTr="00142576">
        <w:tc>
          <w:tcPr>
            <w:tcW w:w="1512" w:type="dxa"/>
          </w:tcPr>
          <w:p w14:paraId="48DD96A5" w14:textId="207F8A9A" w:rsidR="00CC2386" w:rsidRPr="00677D7A" w:rsidRDefault="00142576" w:rsidP="00D541DD">
            <w:pPr>
              <w:rPr>
                <w:noProof/>
              </w:rPr>
            </w:pPr>
            <w:r>
              <w:rPr>
                <w:noProof/>
              </w:rPr>
              <w:t xml:space="preserve">Ormandjieva, </w:t>
            </w:r>
            <w:r w:rsidR="001D523D" w:rsidRPr="001D523D">
              <w:rPr>
                <w:noProof/>
              </w:rPr>
              <w:t>Hussain, and Kosseim</w:t>
            </w:r>
            <w:r w:rsidR="00E41C4C">
              <w:rPr>
                <w:noProof/>
              </w:rPr>
              <w:t xml:space="preserve"> </w:t>
            </w:r>
            <w:r w:rsidR="00E41C4C">
              <w:rPr>
                <w:noProof/>
              </w:rPr>
              <w:fldChar w:fldCharType="begin"/>
            </w:r>
            <w:r w:rsidR="00D541DD">
              <w:rPr>
                <w:noProof/>
              </w:rPr>
              <w:instrText xml:space="preserve"> ADDIN EN.CITE &lt;EndNote&gt;&lt;Cite&gt;&lt;Author&gt;Ormandjieva&lt;/Author&gt;&lt;Year&gt;2007&lt;/Year&gt;&lt;RecNum&gt;12&lt;/RecNum&gt;&lt;DisplayText&gt;[14]&lt;/DisplayText&gt;&lt;record&gt;&lt;rec-number&gt;12&lt;/rec-number&gt;&lt;foreign-keys&gt;&lt;key app="EN" db-id="0zprsadv8f2wpbe5v0r5wa0j59xspaf5z5s9" timestamp="1480471593"&gt;12&lt;/key&gt;&lt;/foreign-keys&gt;&lt;ref-type name="Conference Paper"&gt;47&lt;/ref-type&gt;&lt;contributors&gt;&lt;authors&gt;&lt;author&gt;Olga Ormandjieva&lt;/author&gt;&lt;author&gt;Ishrar Hussain&lt;/author&gt;&lt;author&gt;Leila Kosseim&lt;/author&gt;&lt;/authors&gt;&lt;/contributors&gt;&lt;titles&gt;&lt;title&gt;Toward a text classification system for the quality as-sessment of software requirements written in natural language&lt;/title&gt;&lt;secondary-title&gt;Fourth international workshop on Software quality assurance: in conjunction with the 6th ESEC/FSE joint meeting&lt;/secondary-title&gt;&lt;/titles&gt;&lt;dates&gt;&lt;year&gt;2007&lt;/year&gt;&lt;/dates&gt;&lt;pub-location&gt;ACM&lt;/pub-location&gt;&lt;urls&gt;&lt;/urls&gt;&lt;/record&gt;&lt;/Cite&gt;&lt;/EndNote&gt;</w:instrText>
            </w:r>
            <w:r w:rsidR="00E41C4C">
              <w:rPr>
                <w:noProof/>
              </w:rPr>
              <w:fldChar w:fldCharType="separate"/>
            </w:r>
            <w:r w:rsidR="00D541DD">
              <w:rPr>
                <w:noProof/>
              </w:rPr>
              <w:t>[14]</w:t>
            </w:r>
            <w:r w:rsidR="00E41C4C">
              <w:rPr>
                <w:noProof/>
              </w:rPr>
              <w:fldChar w:fldCharType="end"/>
            </w:r>
            <w:r w:rsidR="001369EC">
              <w:rPr>
                <w:noProof/>
              </w:rPr>
              <w:t xml:space="preserve"> </w:t>
            </w:r>
          </w:p>
        </w:tc>
        <w:tc>
          <w:tcPr>
            <w:tcW w:w="3510" w:type="dxa"/>
          </w:tcPr>
          <w:p w14:paraId="77E90C02" w14:textId="0FDA6BB6" w:rsidR="00CC2386" w:rsidRPr="00677D7A" w:rsidRDefault="00142576" w:rsidP="00F61390">
            <w:pPr>
              <w:rPr>
                <w:noProof/>
              </w:rPr>
            </w:pPr>
            <w:r>
              <w:rPr>
                <w:noProof/>
              </w:rPr>
              <w:t>“</w:t>
            </w:r>
            <w:r w:rsidR="00F61390">
              <w:rPr>
                <w:noProof/>
              </w:rPr>
              <w:t>…</w:t>
            </w:r>
            <w:r>
              <w:rPr>
                <w:noProof/>
              </w:rPr>
              <w:t>the average inter-annotator agreement</w:t>
            </w:r>
            <w:r w:rsidR="00F61390">
              <w:rPr>
                <w:noProof/>
              </w:rPr>
              <w:t>…</w:t>
            </w:r>
            <w:r>
              <w:rPr>
                <w:noProof/>
              </w:rPr>
              <w:t>should be seen as upper bounds on the accuracy of any classifier”</w:t>
            </w:r>
          </w:p>
        </w:tc>
      </w:tr>
      <w:tr w:rsidR="00CC2386" w:rsidRPr="00FB07AC" w14:paraId="1BC78E32" w14:textId="77777777" w:rsidTr="00142576">
        <w:tc>
          <w:tcPr>
            <w:tcW w:w="1512" w:type="dxa"/>
          </w:tcPr>
          <w:p w14:paraId="23AA7B92" w14:textId="27B22221" w:rsidR="00CC2386" w:rsidRPr="00677D7A" w:rsidRDefault="009729F9" w:rsidP="00D541DD">
            <w:pPr>
              <w:rPr>
                <w:noProof/>
              </w:rPr>
            </w:pPr>
            <w:r>
              <w:rPr>
                <w:noProof/>
              </w:rPr>
              <w:t>Navigli</w:t>
            </w:r>
            <w:r w:rsidR="00E41C4C">
              <w:rPr>
                <w:noProof/>
              </w:rPr>
              <w:t xml:space="preserve"> </w:t>
            </w:r>
            <w:r w:rsidR="00E41C4C">
              <w:rPr>
                <w:noProof/>
              </w:rPr>
              <w:fldChar w:fldCharType="begin"/>
            </w:r>
            <w:r w:rsidR="00D541DD">
              <w:rPr>
                <w:noProof/>
              </w:rPr>
              <w:instrText xml:space="preserve"> ADDIN EN.CITE &lt;EndNote&gt;&lt;Cite&gt;&lt;Author&gt;Navigli&lt;/Author&gt;&lt;Year&gt;2006&lt;/Year&gt;&lt;RecNum&gt;13&lt;/RecNum&gt;&lt;DisplayText&gt;[13]&lt;/DisplayText&gt;&lt;record&gt;&lt;rec-number&gt;13&lt;/rec-number&gt;&lt;foreign-keys&gt;&lt;key app="EN" db-id="0zprsadv8f2wpbe5v0r5wa0j59xspaf5z5s9" timestamp="1480471799"&gt;13&lt;/key&gt;&lt;/foreign-keys&gt;&lt;ref-type name="Conference Proceedings"&gt;10&lt;/ref-type&gt;&lt;contributors&gt;&lt;authors&gt;&lt;author&gt;Roberto Navigli&lt;/author&gt;&lt;/authors&gt;&lt;/contributors&gt;&lt;titles&gt;&lt;title&gt;Meaningful clustering of senses helps boost word sense disambiguation performance&lt;/title&gt;&lt;secondary-title&gt;International Conference on Computational Linguistics and the annual meeting of the Association for Computational Linguistics&lt;/secondary-title&gt;&lt;/titles&gt;&lt;dates&gt;&lt;year&gt;2006&lt;/year&gt;&lt;/dates&gt;&lt;urls&gt;&lt;/urls&gt;&lt;custom3&gt;Proceedings of the 21st International Conference on Computational Linguistics and the 44th annual meeting of the Association for Computational Linguistics&lt;/custom3&gt;&lt;/record&gt;&lt;/Cite&gt;&lt;/EndNote&gt;</w:instrText>
            </w:r>
            <w:r w:rsidR="00E41C4C">
              <w:rPr>
                <w:noProof/>
              </w:rPr>
              <w:fldChar w:fldCharType="separate"/>
            </w:r>
            <w:r w:rsidR="00D541DD">
              <w:rPr>
                <w:noProof/>
              </w:rPr>
              <w:t>[13]</w:t>
            </w:r>
            <w:r w:rsidR="00E41C4C">
              <w:rPr>
                <w:noProof/>
              </w:rPr>
              <w:fldChar w:fldCharType="end"/>
            </w:r>
            <w:r w:rsidR="001369EC">
              <w:rPr>
                <w:noProof/>
              </w:rPr>
              <w:t xml:space="preserve"> </w:t>
            </w:r>
          </w:p>
        </w:tc>
        <w:tc>
          <w:tcPr>
            <w:tcW w:w="3510" w:type="dxa"/>
          </w:tcPr>
          <w:p w14:paraId="5E535040" w14:textId="5E36255C" w:rsidR="00CC2386" w:rsidRPr="00677D7A" w:rsidRDefault="009729F9" w:rsidP="005A254D">
            <w:pPr>
              <w:rPr>
                <w:noProof/>
              </w:rPr>
            </w:pPr>
            <w:r>
              <w:rPr>
                <w:noProof/>
              </w:rPr>
              <w:t>“[</w:t>
            </w:r>
            <w:r w:rsidR="00314FD1">
              <w:rPr>
                <w:noProof/>
              </w:rPr>
              <w:t>I</w:t>
            </w:r>
            <w:r>
              <w:rPr>
                <w:noProof/>
              </w:rPr>
              <w:t xml:space="preserve">nter-annotator agreement] numbers lead us to believe that a credible upper bound for unrestricted find-grained word sense disambiguation  </w:t>
            </w:r>
            <w:r w:rsidR="005A254D">
              <w:rPr>
                <w:noProof/>
              </w:rPr>
              <w:t>is…</w:t>
            </w:r>
            <w:r>
              <w:rPr>
                <w:noProof/>
              </w:rPr>
              <w:t>”</w:t>
            </w:r>
          </w:p>
        </w:tc>
      </w:tr>
      <w:tr w:rsidR="00CC2386" w:rsidRPr="00FB07AC" w14:paraId="10596306" w14:textId="77777777" w:rsidTr="00142576">
        <w:tc>
          <w:tcPr>
            <w:tcW w:w="1512" w:type="dxa"/>
          </w:tcPr>
          <w:p w14:paraId="51A6D44D" w14:textId="7A05D15C" w:rsidR="00CC2386" w:rsidRPr="00677D7A" w:rsidRDefault="009729F9" w:rsidP="00D541DD">
            <w:pPr>
              <w:rPr>
                <w:noProof/>
              </w:rPr>
            </w:pPr>
            <w:r>
              <w:rPr>
                <w:noProof/>
              </w:rPr>
              <w:t>Meyer and Gurevych</w:t>
            </w:r>
            <w:r w:rsidR="00E41C4C">
              <w:rPr>
                <w:noProof/>
              </w:rPr>
              <w:t xml:space="preserve"> </w:t>
            </w:r>
            <w:r w:rsidR="00E41C4C">
              <w:rPr>
                <w:noProof/>
              </w:rPr>
              <w:fldChar w:fldCharType="begin"/>
            </w:r>
            <w:r w:rsidR="00D541DD">
              <w:rPr>
                <w:noProof/>
              </w:rPr>
              <w:instrText xml:space="preserve"> ADDIN EN.CITE &lt;EndNote&gt;&lt;Cite&gt;&lt;Author&gt;Meyer&lt;/Author&gt;&lt;Year&gt;2010&lt;/Year&gt;&lt;RecNum&gt;14&lt;/RecNum&gt;&lt;DisplayText&gt;[11]&lt;/DisplayText&gt;&lt;record&gt;&lt;rec-number&gt;14&lt;/rec-number&gt;&lt;foreign-keys&gt;&lt;key app="EN" db-id="0zprsadv8f2wpbe5v0r5wa0j59xspaf5z5s9" timestamp="1480472213"&gt;14&lt;/key&gt;&lt;/foreign-keys&gt;&lt;ref-type name="Book Section"&gt;5&lt;/ref-type&gt;&lt;contributors&gt;&lt;authors&gt;&lt;author&gt;Christian M. Meyer&lt;/author&gt;&lt;author&gt;Iryna Gurevych&lt;/author&gt;&lt;/authors&gt;&lt;/contributors&gt;&lt;titles&gt;&lt;title&gt;Worth its weight in gold or yet another resource—A comparative study of Wiktionary, OpenThesaurus and GermaNet&lt;/title&gt;&lt;secondary-title&gt;Computational linguistics and intelligent text processing&lt;/secondary-title&gt;&lt;tertiary-title&gt;Lecture Notes in Computer Science&lt;/tertiary-title&gt;&lt;/titles&gt;&lt;pages&gt;38-49&lt;/pages&gt;&lt;number&gt;6008&lt;/number&gt;&lt;dates&gt;&lt;year&gt;2010&lt;/year&gt;&lt;/dates&gt;&lt;publisher&gt;Springer Berlin Heidelberg&lt;/publisher&gt;&lt;isbn&gt;978-3-642-12116-6&lt;/isbn&gt;&lt;urls&gt;&lt;/urls&gt;&lt;/record&gt;&lt;/Cite&gt;&lt;/EndNote&gt;</w:instrText>
            </w:r>
            <w:r w:rsidR="00E41C4C">
              <w:rPr>
                <w:noProof/>
              </w:rPr>
              <w:fldChar w:fldCharType="separate"/>
            </w:r>
            <w:r w:rsidR="00D541DD">
              <w:rPr>
                <w:noProof/>
              </w:rPr>
              <w:t>[11]</w:t>
            </w:r>
            <w:r w:rsidR="00E41C4C">
              <w:rPr>
                <w:noProof/>
              </w:rPr>
              <w:fldChar w:fldCharType="end"/>
            </w:r>
            <w:r w:rsidR="001369EC">
              <w:rPr>
                <w:noProof/>
              </w:rPr>
              <w:t xml:space="preserve"> </w:t>
            </w:r>
          </w:p>
        </w:tc>
        <w:tc>
          <w:tcPr>
            <w:tcW w:w="3510" w:type="dxa"/>
          </w:tcPr>
          <w:p w14:paraId="082B7A66" w14:textId="7992ABCE" w:rsidR="00CC2386" w:rsidRPr="00677D7A" w:rsidRDefault="009729F9" w:rsidP="00314FD1">
            <w:pPr>
              <w:rPr>
                <w:noProof/>
              </w:rPr>
            </w:pPr>
            <w:r w:rsidRPr="009729F9">
              <w:rPr>
                <w:noProof/>
              </w:rPr>
              <w:t>"Besides the inter-annotator agreement A–B, which serves as an upper bound</w:t>
            </w:r>
            <w:r w:rsidR="00314FD1">
              <w:rPr>
                <w:noProof/>
              </w:rPr>
              <w:t>…</w:t>
            </w:r>
            <w:r w:rsidRPr="009729F9">
              <w:rPr>
                <w:noProof/>
              </w:rPr>
              <w:t>"</w:t>
            </w:r>
          </w:p>
        </w:tc>
      </w:tr>
      <w:tr w:rsidR="00CC2386" w:rsidRPr="00FB07AC" w14:paraId="373988AC" w14:textId="77777777" w:rsidTr="00142576">
        <w:tc>
          <w:tcPr>
            <w:tcW w:w="1512" w:type="dxa"/>
          </w:tcPr>
          <w:p w14:paraId="5038A15D" w14:textId="1DBCCF60" w:rsidR="00CC2386" w:rsidRPr="00677D7A" w:rsidRDefault="00DC149E" w:rsidP="00D541DD">
            <w:pPr>
              <w:rPr>
                <w:noProof/>
              </w:rPr>
            </w:pPr>
            <w:r>
              <w:rPr>
                <w:noProof/>
              </w:rPr>
              <w:t>Padó and Lapata</w:t>
            </w:r>
            <w:r w:rsidR="00E41C4C">
              <w:rPr>
                <w:noProof/>
              </w:rPr>
              <w:t xml:space="preserve"> </w:t>
            </w:r>
            <w:r w:rsidR="00E41C4C">
              <w:rPr>
                <w:noProof/>
              </w:rPr>
              <w:fldChar w:fldCharType="begin"/>
            </w:r>
            <w:r w:rsidR="00D541DD">
              <w:rPr>
                <w:noProof/>
              </w:rPr>
              <w:instrText xml:space="preserve"> ADDIN EN.CITE &lt;EndNote&gt;&lt;Cite&gt;&lt;Author&gt;Padó&lt;/Author&gt;&lt;Year&gt;2005&lt;/Year&gt;&lt;RecNum&gt;15&lt;/RecNum&gt;&lt;DisplayText&gt;[15]&lt;/DisplayText&gt;&lt;record&gt;&lt;rec-number&gt;15&lt;/rec-number&gt;&lt;foreign-keys&gt;&lt;key app="EN" db-id="0zprsadv8f2wpbe5v0r5wa0j59xspaf5z5s9" timestamp="1480472380"&gt;15&lt;/key&gt;&lt;/foreign-keys&gt;&lt;ref-type name="Conference Proceedings"&gt;10&lt;/ref-type&gt;&lt;contributors&gt;&lt;authors&gt;&lt;author&gt;Sebastian Padó&lt;/author&gt;&lt;author&gt;Mirella Lapata &lt;/author&gt;&lt;/authors&gt;&lt;/contributors&gt;&lt;titles&gt;&lt;title&gt;Cross-linguistic projection of role-semantic information&lt;/title&gt;&lt;secondary-title&gt;Proceedings of the conference on Human Language Technology and Empirical Methods in Natural Language Processing - HLT &amp;apos;05&lt;/secondary-title&gt;&lt;/titles&gt;&lt;pages&gt;859-866&lt;/pages&gt;&lt;dates&gt;&lt;year&gt;2005&lt;/year&gt;&lt;pub-dates&gt;&lt;date&gt;October&lt;/date&gt;&lt;/pub-dates&gt;&lt;/dates&gt;&lt;urls&gt;&lt;/urls&gt;&lt;/record&gt;&lt;/Cite&gt;&lt;/EndNote&gt;</w:instrText>
            </w:r>
            <w:r w:rsidR="00E41C4C">
              <w:rPr>
                <w:noProof/>
              </w:rPr>
              <w:fldChar w:fldCharType="separate"/>
            </w:r>
            <w:r w:rsidR="00D541DD">
              <w:rPr>
                <w:noProof/>
              </w:rPr>
              <w:t>[15]</w:t>
            </w:r>
            <w:r w:rsidR="00E41C4C">
              <w:rPr>
                <w:noProof/>
              </w:rPr>
              <w:fldChar w:fldCharType="end"/>
            </w:r>
            <w:r w:rsidR="001369EC">
              <w:rPr>
                <w:noProof/>
              </w:rPr>
              <w:t xml:space="preserve"> </w:t>
            </w:r>
          </w:p>
        </w:tc>
        <w:tc>
          <w:tcPr>
            <w:tcW w:w="3510" w:type="dxa"/>
          </w:tcPr>
          <w:p w14:paraId="279351DE" w14:textId="4D886280" w:rsidR="00CC2386" w:rsidRPr="00677D7A" w:rsidRDefault="00DC149E" w:rsidP="00314FD1">
            <w:pPr>
              <w:rPr>
                <w:noProof/>
              </w:rPr>
            </w:pPr>
            <w:r>
              <w:rPr>
                <w:noProof/>
              </w:rPr>
              <w:t>“</w:t>
            </w:r>
            <w:r w:rsidR="00314FD1">
              <w:rPr>
                <w:noProof/>
              </w:rPr>
              <w:t>..</w:t>
            </w:r>
            <w:r>
              <w:rPr>
                <w:noProof/>
              </w:rPr>
              <w:t>the upper bound given by the inter-annotator agreement on the calibration data set”</w:t>
            </w:r>
          </w:p>
        </w:tc>
      </w:tr>
    </w:tbl>
    <w:p w14:paraId="54C9CB23" w14:textId="56768E8E" w:rsidR="001D3E98" w:rsidRDefault="00300121" w:rsidP="004471C9">
      <w:pPr>
        <w:pStyle w:val="DEnumeratedList"/>
        <w:numPr>
          <w:ilvl w:val="0"/>
          <w:numId w:val="0"/>
        </w:numPr>
        <w:jc w:val="both"/>
      </w:pPr>
      <w:r>
        <w:t>Six</w:t>
      </w:r>
      <w:r w:rsidR="00DD5E29">
        <w:t xml:space="preserve"> papers (four from the biomedical</w:t>
      </w:r>
      <w:r w:rsidR="0096795D">
        <w:t xml:space="preserve"> domain and two from the general</w:t>
      </w:r>
      <w:r w:rsidR="00DD5E29">
        <w:t xml:space="preserve"> domain) </w:t>
      </w:r>
      <w:r w:rsidR="004F7207">
        <w:t>reported</w:t>
      </w:r>
      <w:r w:rsidR="00DD5E29">
        <w:t xml:space="preserve"> at least o</w:t>
      </w:r>
      <w:r w:rsidR="00DB2AD8">
        <w:t xml:space="preserve">ne system </w:t>
      </w:r>
      <w:r w:rsidR="004F7207">
        <w:t xml:space="preserve">that </w:t>
      </w:r>
      <w:r w:rsidR="00DB2AD8">
        <w:t>outperformed the IAA</w:t>
      </w:r>
      <w:r w:rsidR="00273D48">
        <w:t xml:space="preserve"> (see T</w:t>
      </w:r>
      <w:r w:rsidR="00ED1233">
        <w:t>able 2</w:t>
      </w:r>
      <w:r w:rsidR="002B0D21">
        <w:t>)</w:t>
      </w:r>
      <w:r w:rsidR="004F7207">
        <w:t>, for a total of 20 systems</w:t>
      </w:r>
      <w:r w:rsidR="00DB2AD8">
        <w:t xml:space="preserve">. </w:t>
      </w:r>
      <w:r w:rsidR="006334C4">
        <w:t>Note that generally</w:t>
      </w:r>
      <w:r w:rsidR="003B56EF">
        <w:t xml:space="preserve"> system performance was measured using </w:t>
      </w:r>
      <w:r w:rsidR="001138E8">
        <w:t>F</w:t>
      </w:r>
      <w:r w:rsidR="001138E8">
        <w:rPr>
          <w:vertAlign w:val="subscript"/>
        </w:rPr>
        <w:t xml:space="preserve">1 </w:t>
      </w:r>
      <w:r w:rsidR="003B56EF">
        <w:t>measure</w:t>
      </w:r>
      <w:r w:rsidR="00E31B30">
        <w:t>,</w:t>
      </w:r>
      <w:r w:rsidR="003B56EF">
        <w:t xml:space="preserve"> so we will use those te</w:t>
      </w:r>
      <w:r w:rsidR="004F7207">
        <w:t>rms interchangeably</w:t>
      </w:r>
      <w:r w:rsidR="00EF0E0D">
        <w:t>.</w:t>
      </w:r>
      <w:r w:rsidR="009854CF">
        <w:t xml:space="preserve"> </w:t>
      </w:r>
      <w:r w:rsidR="00611A93">
        <w:t>The small number</w:t>
      </w:r>
      <w:r w:rsidR="004F7207">
        <w:t xml:space="preserve"> of papers</w:t>
      </w:r>
      <w:r w:rsidR="00611A93">
        <w:t xml:space="preserve"> reflects the fact that this is not a commonly reported phenomenon.  But, neither is it unattested—this was not just a single counter-example</w:t>
      </w:r>
      <w:r w:rsidR="004F7207">
        <w:t xml:space="preserve">, and </w:t>
      </w:r>
      <w:r w:rsidR="004471C9">
        <w:t>those</w:t>
      </w:r>
      <w:r w:rsidR="004F7207">
        <w:t xml:space="preserve"> six papers reported on 20 systems that out-performed the inter-annotator agreement</w:t>
      </w:r>
      <w:r w:rsidR="00611A93">
        <w:t>.</w:t>
      </w:r>
    </w:p>
    <w:p w14:paraId="7B1DF7EB" w14:textId="52BFD2B8" w:rsidR="001D3E98" w:rsidRDefault="001D3E98" w:rsidP="00236B35">
      <w:pPr>
        <w:pStyle w:val="DBodyText"/>
      </w:pPr>
      <w:r>
        <w:t xml:space="preserve">*Note that all articles use </w:t>
      </w:r>
      <w:r w:rsidR="001138E8">
        <w:t>F</w:t>
      </w:r>
      <w:r w:rsidR="001138E8">
        <w:rPr>
          <w:vertAlign w:val="subscript"/>
        </w:rPr>
        <w:t xml:space="preserve">1 </w:t>
      </w:r>
      <w:r>
        <w:t>for system performance except for</w:t>
      </w:r>
      <w:r w:rsidR="00236B35">
        <w:t xml:space="preserve"> </w:t>
      </w:r>
      <w:r w:rsidR="00236B35">
        <w:fldChar w:fldCharType="begin"/>
      </w:r>
      <w:r w:rsidR="00236B35">
        <w:instrText xml:space="preserve"> ADDIN EN.CITE &lt;EndNote&gt;&lt;Cite&gt;&lt;Author&gt;Grabar&lt;/Author&gt;&lt;Year&gt;2016&lt;/Year&gt;&lt;RecNum&gt;17&lt;/RecNum&gt;&lt;DisplayText&gt;[8]&lt;/DisplayText&gt;&lt;record&gt;&lt;rec-number&gt;17&lt;/rec-number&gt;&lt;foreign-keys&gt;&lt;key app="EN" db-id="0zprsadv8f2wpbe5v0r5wa0j59xspaf5z5s9" timestamp="1480472780"&gt;17&lt;/key&gt;&lt;/foreign-keys&gt;&lt;ref-type name="Journal Article"&gt;17&lt;/ref-type&gt;&lt;contributors&gt;&lt;authors&gt;&lt;author&gt;Natalia Grabar &lt;/author&gt;&lt;author&gt;Iris Eshkol-Taravela&lt;/author&gt;&lt;/authors&gt;&lt;/contributors&gt;&lt;titles&gt;&lt;title&gt;Disambiguation of occurrences of reformulation markers c’est-à-dire, disons, ça veut dire&lt;/title&gt;&lt;secondary-title&gt;JADT 2016&lt;/secondary-title&gt;&lt;/titles&gt;&lt;periodical&gt;&lt;full-title&gt;JADT 2016&lt;/full-title&gt;&lt;/periodical&gt;&lt;volume&gt;7&lt;/volume&gt;&lt;dates&gt;&lt;year&gt;2016&lt;/year&gt;&lt;pub-dates&gt;&lt;date&gt;June 10, 2016&lt;/date&gt;&lt;/pub-dates&gt;&lt;/dates&gt;&lt;urls&gt;&lt;/urls&gt;&lt;/record&gt;&lt;/Cite&gt;&lt;/EndNote&gt;</w:instrText>
      </w:r>
      <w:r w:rsidR="00236B35">
        <w:fldChar w:fldCharType="separate"/>
      </w:r>
      <w:r w:rsidR="00236B35">
        <w:t>[8]</w:t>
      </w:r>
      <w:r w:rsidR="00236B35">
        <w:fldChar w:fldCharType="end"/>
      </w:r>
      <w:r w:rsidR="00236B35">
        <w:t xml:space="preserve"> (XXcite I think I messed this up),</w:t>
      </w:r>
      <w:r>
        <w:t xml:space="preserve"> which </w:t>
      </w:r>
      <w:r w:rsidR="00236B35">
        <w:t>uses precision.</w:t>
      </w:r>
    </w:p>
    <w:p w14:paraId="464B915F" w14:textId="24FF8F02" w:rsidR="002B0D21" w:rsidRPr="00EF0E0D" w:rsidRDefault="002B0D21" w:rsidP="00EF0E0D">
      <w:pPr>
        <w:pStyle w:val="DBodyText"/>
        <w:sectPr w:rsidR="002B0D21" w:rsidRPr="00EF0E0D" w:rsidSect="00646C05">
          <w:type w:val="continuous"/>
          <w:pgSz w:w="11907" w:h="16840" w:code="9"/>
          <w:pgMar w:top="562" w:right="567" w:bottom="562" w:left="567" w:header="0" w:footer="1440" w:gutter="0"/>
          <w:cols w:num="2" w:space="706"/>
          <w:noEndnote/>
        </w:sectPr>
      </w:pPr>
    </w:p>
    <w:p w14:paraId="0EC9DDCD" w14:textId="1C6BF97D" w:rsidR="002F24A5" w:rsidRDefault="002F24A5">
      <w:pPr>
        <w:overflowPunct/>
        <w:autoSpaceDE/>
        <w:autoSpaceDN/>
        <w:adjustRightInd/>
        <w:textAlignment w:val="auto"/>
        <w:rPr>
          <w:i/>
          <w:noProof/>
        </w:rPr>
      </w:pPr>
    </w:p>
    <w:p w14:paraId="1FA71B45" w14:textId="632F9EC0" w:rsidR="00646C05" w:rsidRDefault="00ED1233" w:rsidP="00ED1233">
      <w:pPr>
        <w:pStyle w:val="DTableTitle"/>
        <w:ind w:left="720"/>
      </w:pPr>
      <w:r>
        <w:t xml:space="preserve">Table 2 </w:t>
      </w:r>
      <w:r w:rsidR="00646C05">
        <w:t>– Systems that outperform the IAA</w:t>
      </w:r>
    </w:p>
    <w:tbl>
      <w:tblPr>
        <w:tblW w:w="10687" w:type="dxa"/>
        <w:tblInd w:w="18" w:type="dxa"/>
        <w:tblLayout w:type="fixed"/>
        <w:tblLook w:val="0000" w:firstRow="0" w:lastRow="0" w:firstColumn="0" w:lastColumn="0" w:noHBand="0" w:noVBand="0"/>
      </w:tblPr>
      <w:tblGrid>
        <w:gridCol w:w="3582"/>
        <w:gridCol w:w="7105"/>
      </w:tblGrid>
      <w:tr w:rsidR="00646C05" w:rsidRPr="00FB07AC" w14:paraId="456A5CD3" w14:textId="77777777" w:rsidTr="003E1E4B">
        <w:trPr>
          <w:trHeight w:val="310"/>
        </w:trPr>
        <w:tc>
          <w:tcPr>
            <w:tcW w:w="3582" w:type="dxa"/>
            <w:tcBorders>
              <w:top w:val="single" w:sz="4" w:space="0" w:color="auto"/>
              <w:bottom w:val="single" w:sz="4" w:space="0" w:color="auto"/>
            </w:tcBorders>
            <w:vAlign w:val="bottom"/>
          </w:tcPr>
          <w:p w14:paraId="68CDF723" w14:textId="77777777" w:rsidR="00646C05" w:rsidRPr="00677D7A" w:rsidRDefault="00646C05" w:rsidP="005E20B0">
            <w:pPr>
              <w:rPr>
                <w:b/>
                <w:noProof/>
              </w:rPr>
            </w:pPr>
            <w:r>
              <w:rPr>
                <w:b/>
                <w:noProof/>
              </w:rPr>
              <w:t>Paper</w:t>
            </w:r>
          </w:p>
        </w:tc>
        <w:tc>
          <w:tcPr>
            <w:tcW w:w="7105" w:type="dxa"/>
            <w:tcBorders>
              <w:top w:val="single" w:sz="4" w:space="0" w:color="auto"/>
              <w:bottom w:val="single" w:sz="4" w:space="0" w:color="auto"/>
            </w:tcBorders>
            <w:vAlign w:val="bottom"/>
          </w:tcPr>
          <w:p w14:paraId="408EE816" w14:textId="711AEDB3" w:rsidR="00646C05" w:rsidRPr="00677D7A" w:rsidRDefault="00F23D53" w:rsidP="005E20B0">
            <w:pPr>
              <w:rPr>
                <w:b/>
                <w:noProof/>
              </w:rPr>
            </w:pPr>
            <w:r>
              <w:rPr>
                <w:b/>
                <w:noProof/>
              </w:rPr>
              <w:t>Systems that outperformed the IAA</w:t>
            </w:r>
          </w:p>
        </w:tc>
      </w:tr>
      <w:tr w:rsidR="00646C05" w:rsidRPr="00FB07AC" w14:paraId="6CF3AABB" w14:textId="77777777" w:rsidTr="003E1E4B">
        <w:trPr>
          <w:trHeight w:val="464"/>
        </w:trPr>
        <w:tc>
          <w:tcPr>
            <w:tcW w:w="3582" w:type="dxa"/>
            <w:tcBorders>
              <w:top w:val="single" w:sz="4" w:space="0" w:color="auto"/>
            </w:tcBorders>
          </w:tcPr>
          <w:p w14:paraId="1C77D369" w14:textId="4237CC23" w:rsidR="00646C05" w:rsidRPr="00F23D53" w:rsidRDefault="00646C05" w:rsidP="00D541DD">
            <w:pPr>
              <w:pStyle w:val="DBulletlevel2"/>
              <w:numPr>
                <w:ilvl w:val="0"/>
                <w:numId w:val="0"/>
              </w:numPr>
              <w:rPr>
                <w:i/>
                <w:iCs/>
              </w:rPr>
            </w:pPr>
            <w:r w:rsidRPr="00F23D53">
              <w:rPr>
                <w:i/>
                <w:iCs/>
              </w:rPr>
              <w:t>Combining Terminology Resources and Statistical Methods for Entity</w:t>
            </w:r>
            <w:r w:rsidR="009B6AB6">
              <w:rPr>
                <w:i/>
                <w:iCs/>
              </w:rPr>
              <w:t xml:space="preserve"> Recognition: an Evaluation </w:t>
            </w:r>
            <w:r w:rsidR="009B6AB6">
              <w:rPr>
                <w:i/>
                <w:iCs/>
              </w:rPr>
              <w:fldChar w:fldCharType="begin"/>
            </w:r>
            <w:r w:rsidR="00D541DD">
              <w:rPr>
                <w:i/>
                <w:iCs/>
              </w:rPr>
              <w:instrText xml:space="preserve"> ADDIN EN.CITE &lt;EndNote&gt;&lt;Cite&gt;&lt;Author&gt;Roberts&lt;/Author&gt;&lt;Year&gt;2008&lt;/Year&gt;&lt;RecNum&gt;16&lt;/RecNum&gt;&lt;DisplayText&gt;[20]&lt;/DisplayText&gt;&lt;record&gt;&lt;rec-number&gt;16&lt;/rec-number&gt;&lt;foreign-keys&gt;&lt;key app="EN" db-id="0zprsadv8f2wpbe5v0r5wa0j59xspaf5z5s9" timestamp="1480472550"&gt;16&lt;/key&gt;&lt;/foreign-keys&gt;&lt;ref-type name="Journal Article"&gt;17&lt;/ref-type&gt;&lt;contributors&gt;&lt;authors&gt;&lt;author&gt;Angus Roberts&lt;/author&gt;&lt;author&gt;Robert Gaizauskas&lt;/author&gt;&lt;author&gt;Mark Hepple&lt;/author&gt;&lt;author&gt;Yikun Guo &lt;/author&gt;&lt;/authors&gt;&lt;/contributors&gt;&lt;titles&gt;&lt;title&gt;Combining Terminology Resources and Statistical Methods for Entity Recognition: An Evaluation. &lt;/title&gt;&lt;secondary-title&gt;LREC: European Language Resources Association.&lt;/secondary-title&gt;&lt;/titles&gt;&lt;periodical&gt;&lt;full-title&gt;LREC: European Language Resources Association.&lt;/full-title&gt;&lt;/periodical&gt;&lt;pages&gt;2974-2980&lt;/pages&gt;&lt;dates&gt;&lt;year&gt;2008&lt;/year&gt;&lt;/dates&gt;&lt;urls&gt;&lt;/urls&gt;&lt;/record&gt;&lt;/Cite&gt;&lt;/EndNote&gt;</w:instrText>
            </w:r>
            <w:r w:rsidR="009B6AB6">
              <w:rPr>
                <w:i/>
                <w:iCs/>
              </w:rPr>
              <w:fldChar w:fldCharType="separate"/>
            </w:r>
            <w:r w:rsidR="00D541DD">
              <w:rPr>
                <w:i/>
                <w:iCs/>
              </w:rPr>
              <w:t>[20]</w:t>
            </w:r>
            <w:r w:rsidR="009B6AB6">
              <w:rPr>
                <w:i/>
                <w:iCs/>
              </w:rPr>
              <w:fldChar w:fldCharType="end"/>
            </w:r>
          </w:p>
        </w:tc>
        <w:tc>
          <w:tcPr>
            <w:tcW w:w="7105" w:type="dxa"/>
            <w:tcBorders>
              <w:top w:val="single" w:sz="4" w:space="0" w:color="auto"/>
            </w:tcBorders>
          </w:tcPr>
          <w:p w14:paraId="471D2F4A" w14:textId="77777777" w:rsidR="00646C05" w:rsidRDefault="00646C05" w:rsidP="00646C05">
            <w:pPr>
              <w:pStyle w:val="DBulletlevel2"/>
              <w:numPr>
                <w:ilvl w:val="0"/>
                <w:numId w:val="17"/>
              </w:numPr>
            </w:pPr>
            <w:r w:rsidRPr="00DD5E29">
              <w:t>Machine learning to recognize specific entities within clinical notes</w:t>
            </w:r>
          </w:p>
          <w:p w14:paraId="3BF624EF" w14:textId="7CD32882" w:rsidR="00646C05" w:rsidRPr="00677D7A" w:rsidRDefault="002B0D21" w:rsidP="00646C05">
            <w:pPr>
              <w:pStyle w:val="DBulletlevel2"/>
              <w:numPr>
                <w:ilvl w:val="0"/>
                <w:numId w:val="17"/>
              </w:numPr>
            </w:pPr>
            <w:r>
              <w:t>C</w:t>
            </w:r>
            <w:r w:rsidR="00646C05" w:rsidRPr="00F12980">
              <w:t xml:space="preserve">lassifying intervention had lowest IAA and </w:t>
            </w:r>
            <w:r w:rsidR="001138E8">
              <w:t>F</w:t>
            </w:r>
            <w:r w:rsidR="001138E8">
              <w:rPr>
                <w:vertAlign w:val="subscript"/>
              </w:rPr>
              <w:t xml:space="preserve">1 </w:t>
            </w:r>
            <w:r w:rsidR="00646C05" w:rsidRPr="00F12980">
              <w:t>≥ IAA with multiple methods</w:t>
            </w:r>
          </w:p>
        </w:tc>
      </w:tr>
      <w:tr w:rsidR="00646C05" w:rsidRPr="00FE2D38" w14:paraId="14B76EFD" w14:textId="77777777" w:rsidTr="003E1E4B">
        <w:trPr>
          <w:trHeight w:val="464"/>
        </w:trPr>
        <w:tc>
          <w:tcPr>
            <w:tcW w:w="3582" w:type="dxa"/>
          </w:tcPr>
          <w:p w14:paraId="5AE9B3D4" w14:textId="44B2795B" w:rsidR="00646C05" w:rsidRPr="00F23D53" w:rsidRDefault="00646C05" w:rsidP="008A0C6E">
            <w:pPr>
              <w:rPr>
                <w:i/>
                <w:iCs/>
                <w:noProof/>
              </w:rPr>
            </w:pPr>
            <w:r w:rsidRPr="00F23D53">
              <w:rPr>
                <w:i/>
                <w:iCs/>
                <w:noProof/>
              </w:rPr>
              <w:t xml:space="preserve">Disambiguation of Occurrences of Reformulation Markers </w:t>
            </w:r>
            <w:r w:rsidR="008A0C6E">
              <w:rPr>
                <w:i/>
                <w:iCs/>
                <w:noProof/>
              </w:rPr>
              <w:fldChar w:fldCharType="begin"/>
            </w:r>
            <w:r w:rsidR="008A0C6E">
              <w:rPr>
                <w:i/>
                <w:iCs/>
                <w:noProof/>
              </w:rPr>
              <w:instrText xml:space="preserve"> ADDIN EN.CITE &lt;EndNote&gt;&lt;Cite&gt;&lt;Author&gt;Grabar&lt;/Author&gt;&lt;Year&gt;2016&lt;/Year&gt;&lt;RecNum&gt;17&lt;/RecNum&gt;&lt;DisplayText&gt;[8]&lt;/DisplayText&gt;&lt;record&gt;&lt;rec-number&gt;17&lt;/rec-number&gt;&lt;foreign-keys&gt;&lt;key app="EN" db-id="0zprsadv8f2wpbe5v0r5wa0j59xspaf5z5s9" timestamp="1480472780"&gt;17&lt;/key&gt;&lt;/foreign-keys&gt;&lt;ref-type name="Journal Article"&gt;17&lt;/ref-type&gt;&lt;contributors&gt;&lt;authors&gt;&lt;author&gt;Natalia Grabar &lt;/author&gt;&lt;author&gt;Iris Eshkol-Taravela&lt;/author&gt;&lt;/authors&gt;&lt;/contributors&gt;&lt;titles&gt;&lt;title&gt;Disambiguation of occurrences of reformulation markers c’est-à-dire, disons, ça veut dire&lt;/title&gt;&lt;secondary-title&gt;JADT 2016&lt;/secondary-title&gt;&lt;/titles&gt;&lt;periodical&gt;&lt;full-title&gt;JADT 2016&lt;/full-title&gt;&lt;/periodical&gt;&lt;volume&gt;7&lt;/volume&gt;&lt;dates&gt;&lt;year&gt;2016&lt;/year&gt;&lt;pub-dates&gt;&lt;date&gt;June 10, 2016&lt;/date&gt;&lt;/pub-dates&gt;&lt;/dates&gt;&lt;urls&gt;&lt;/urls&gt;&lt;/record&gt;&lt;/Cite&gt;&lt;/EndNote&gt;</w:instrText>
            </w:r>
            <w:r w:rsidR="008A0C6E">
              <w:rPr>
                <w:i/>
                <w:iCs/>
                <w:noProof/>
              </w:rPr>
              <w:fldChar w:fldCharType="separate"/>
            </w:r>
            <w:r w:rsidR="008A0C6E">
              <w:rPr>
                <w:i/>
                <w:iCs/>
                <w:noProof/>
              </w:rPr>
              <w:t>[8]</w:t>
            </w:r>
            <w:r w:rsidR="008A0C6E">
              <w:rPr>
                <w:i/>
                <w:iCs/>
                <w:noProof/>
              </w:rPr>
              <w:fldChar w:fldCharType="end"/>
            </w:r>
          </w:p>
        </w:tc>
        <w:tc>
          <w:tcPr>
            <w:tcW w:w="7105" w:type="dxa"/>
          </w:tcPr>
          <w:p w14:paraId="786E7159" w14:textId="77777777" w:rsidR="00646C05" w:rsidRDefault="00646C05" w:rsidP="00646C05">
            <w:pPr>
              <w:pStyle w:val="DBulletlevel2"/>
              <w:numPr>
                <w:ilvl w:val="0"/>
                <w:numId w:val="17"/>
              </w:numPr>
            </w:pPr>
            <w:r w:rsidRPr="00F12980">
              <w:t>Reformulation vs. non-reformulation in French with specific markers</w:t>
            </w:r>
          </w:p>
          <w:p w14:paraId="52A4BB6F" w14:textId="692D16A6" w:rsidR="00646C05" w:rsidRPr="00E47144" w:rsidRDefault="00646C05" w:rsidP="003E1E4B">
            <w:pPr>
              <w:pStyle w:val="DBulletlevel2"/>
              <w:numPr>
                <w:ilvl w:val="0"/>
                <w:numId w:val="17"/>
              </w:numPr>
              <w:rPr>
                <w:lang w:val="it-IT"/>
              </w:rPr>
            </w:pPr>
            <w:r w:rsidRPr="00E47144">
              <w:rPr>
                <w:lang w:val="it-IT"/>
              </w:rPr>
              <w:t>ESLO1/2 (spoken scenarios)</w:t>
            </w:r>
            <w:r w:rsidR="002B0D21" w:rsidRPr="00E47144">
              <w:rPr>
                <w:lang w:val="it-IT"/>
              </w:rPr>
              <w:t>: Precision</w:t>
            </w:r>
            <w:r w:rsidR="003E1E4B" w:rsidRPr="00E47144">
              <w:rPr>
                <w:lang w:val="it-IT"/>
              </w:rPr>
              <w:t>*</w:t>
            </w:r>
            <w:r w:rsidR="002B0D21" w:rsidRPr="00E47144">
              <w:rPr>
                <w:lang w:val="it-IT"/>
              </w:rPr>
              <w:t xml:space="preserve"> &gt; IAA</w:t>
            </w:r>
          </w:p>
        </w:tc>
      </w:tr>
      <w:tr w:rsidR="00646C05" w:rsidRPr="00FB07AC" w14:paraId="7D4D1DC2" w14:textId="77777777" w:rsidTr="003E1E4B">
        <w:trPr>
          <w:trHeight w:val="495"/>
        </w:trPr>
        <w:tc>
          <w:tcPr>
            <w:tcW w:w="3582" w:type="dxa"/>
          </w:tcPr>
          <w:p w14:paraId="5C299555" w14:textId="3B9BCDA0" w:rsidR="00646C05" w:rsidRPr="00F23D53" w:rsidRDefault="00646C05" w:rsidP="008A0C6E">
            <w:pPr>
              <w:rPr>
                <w:i/>
                <w:iCs/>
                <w:noProof/>
              </w:rPr>
            </w:pPr>
            <w:r w:rsidRPr="00F23D53">
              <w:rPr>
                <w:i/>
                <w:iCs/>
                <w:noProof/>
              </w:rPr>
              <w:lastRenderedPageBreak/>
              <w:t xml:space="preserve">SemEval-2015 Task 6: Clinical TempEval </w:t>
            </w:r>
            <w:r w:rsidR="008A0C6E">
              <w:rPr>
                <w:i/>
                <w:iCs/>
                <w:noProof/>
              </w:rPr>
              <w:fldChar w:fldCharType="begin"/>
            </w:r>
            <w:r w:rsidR="008A0C6E">
              <w:rPr>
                <w:i/>
                <w:iCs/>
                <w:noProof/>
              </w:rPr>
              <w:instrText xml:space="preserve"> ADDIN EN.CITE &lt;EndNote&gt;&lt;Cite&gt;&lt;Author&gt;Bethard&lt;/Author&gt;&lt;Year&gt;2015&lt;/Year&gt;&lt;RecNum&gt;18&lt;/RecNum&gt;&lt;DisplayText&gt;[3]&lt;/DisplayText&gt;&lt;record&gt;&lt;rec-number&gt;18&lt;/rec-number&gt;&lt;foreign-keys&gt;&lt;key app="EN" db-id="0zprsadv8f2wpbe5v0r5wa0j59xspaf5z5s9" timestamp="1480472921"&gt;18&lt;/key&gt;&lt;/foreign-keys&gt;&lt;ref-type name="Conference Proceedings"&gt;10&lt;/ref-type&gt;&lt;contributors&gt;&lt;authors&gt;&lt;author&gt;Steven Bethard&lt;/author&gt;&lt;author&gt;Leon Derczynski&lt;/author&gt;&lt;author&gt;Guergana Savova&lt;/author&gt;&lt;author&gt;James Pustejovsky&lt;/author&gt;&lt;author&gt;Marc Verhagen&lt;/author&gt;&lt;/authors&gt;&lt;/contributors&gt;&lt;titles&gt;&lt;title&gt;SemEval-2015 Task 6: Clinical TempEval&lt;/title&gt;&lt;secondary-title&gt;SemEval 2015&lt;/secondary-title&gt;&lt;/titles&gt;&lt;pages&gt;806-814&lt;/pages&gt;&lt;dates&gt;&lt;year&gt;2015&lt;/year&gt;&lt;pub-dates&gt;&lt;date&gt;June 4-5, 2015&lt;/date&gt;&lt;/pub-dates&gt;&lt;/dates&gt;&lt;pub-location&gt;Denver, Colorado&lt;/pub-location&gt;&lt;urls&gt;&lt;/urls&gt;&lt;custom3&gt;In Proceedings of the 9th International Workshop on Semantic Evaluation &lt;/custom3&gt;&lt;/record&gt;&lt;/Cite&gt;&lt;/EndNote&gt;</w:instrText>
            </w:r>
            <w:r w:rsidR="008A0C6E">
              <w:rPr>
                <w:i/>
                <w:iCs/>
                <w:noProof/>
              </w:rPr>
              <w:fldChar w:fldCharType="separate"/>
            </w:r>
            <w:r w:rsidR="008A0C6E">
              <w:rPr>
                <w:i/>
                <w:iCs/>
                <w:noProof/>
              </w:rPr>
              <w:t>[3]</w:t>
            </w:r>
            <w:r w:rsidR="008A0C6E">
              <w:rPr>
                <w:i/>
                <w:iCs/>
                <w:noProof/>
              </w:rPr>
              <w:fldChar w:fldCharType="end"/>
            </w:r>
          </w:p>
        </w:tc>
        <w:tc>
          <w:tcPr>
            <w:tcW w:w="7105" w:type="dxa"/>
          </w:tcPr>
          <w:p w14:paraId="5C008E9F" w14:textId="62D66779" w:rsidR="00646C05" w:rsidRPr="00F12980" w:rsidRDefault="002B0D21" w:rsidP="00646C05">
            <w:pPr>
              <w:pStyle w:val="DBulletlevel2"/>
              <w:numPr>
                <w:ilvl w:val="0"/>
                <w:numId w:val="17"/>
              </w:numPr>
            </w:pPr>
            <w:r>
              <w:t xml:space="preserve">Multiple </w:t>
            </w:r>
            <w:r w:rsidR="00646C05" w:rsidRPr="00F12980">
              <w:t>Systems compete to identify critical timeline components of clinical notes and pathology reports from the Mayo Clinic</w:t>
            </w:r>
          </w:p>
          <w:p w14:paraId="01A66E65" w14:textId="77777777" w:rsidR="00646C05" w:rsidRPr="00F12980" w:rsidRDefault="00646C05" w:rsidP="00646C05">
            <w:pPr>
              <w:pStyle w:val="DBulletlevel2"/>
              <w:numPr>
                <w:ilvl w:val="0"/>
                <w:numId w:val="17"/>
              </w:numPr>
            </w:pPr>
            <w:r w:rsidRPr="00840DDC">
              <w:rPr>
                <w:b/>
                <w:bCs/>
              </w:rPr>
              <w:t>Adj-Ann</w:t>
            </w:r>
            <w:r>
              <w:t>: IAA</w:t>
            </w:r>
            <w:r w:rsidRPr="00F12980">
              <w:t xml:space="preserve"> between adjudicator</w:t>
            </w:r>
            <w:r>
              <w:t xml:space="preserve"> (final judge of the data to generally be used to train the system)</w:t>
            </w:r>
            <w:r w:rsidRPr="00F12980">
              <w:t xml:space="preserve"> and 2 annotators</w:t>
            </w:r>
          </w:p>
          <w:p w14:paraId="4252CB46" w14:textId="4185E45E" w:rsidR="00646C05" w:rsidRPr="00677D7A" w:rsidRDefault="00646C05" w:rsidP="00646C05">
            <w:pPr>
              <w:pStyle w:val="DBulletlevel2"/>
              <w:numPr>
                <w:ilvl w:val="0"/>
                <w:numId w:val="17"/>
              </w:numPr>
            </w:pPr>
            <w:r w:rsidRPr="00F12980">
              <w:t xml:space="preserve">Many systems </w:t>
            </w:r>
            <w:r w:rsidR="001138E8">
              <w:t>F</w:t>
            </w:r>
            <w:r w:rsidR="001138E8">
              <w:rPr>
                <w:vertAlign w:val="subscript"/>
              </w:rPr>
              <w:t xml:space="preserve">1 </w:t>
            </w:r>
            <w:r>
              <w:t xml:space="preserve">≥ </w:t>
            </w:r>
            <w:r w:rsidRPr="00F12980">
              <w:t xml:space="preserve"> </w:t>
            </w:r>
            <w:r w:rsidR="002B0D21">
              <w:t>IAA</w:t>
            </w:r>
            <w:r>
              <w:t xml:space="preserve"> and a few better than Adj-Ann </w:t>
            </w:r>
            <w:r w:rsidRPr="00F12980">
              <w:t>(stronger)</w:t>
            </w:r>
          </w:p>
        </w:tc>
      </w:tr>
      <w:tr w:rsidR="00646C05" w:rsidRPr="00FB07AC" w14:paraId="62C8A6F7" w14:textId="77777777" w:rsidTr="003E1E4B">
        <w:trPr>
          <w:trHeight w:val="464"/>
        </w:trPr>
        <w:tc>
          <w:tcPr>
            <w:tcW w:w="3582" w:type="dxa"/>
          </w:tcPr>
          <w:p w14:paraId="65214DC6" w14:textId="77777777" w:rsidR="00646C05" w:rsidRDefault="00646C05" w:rsidP="00D541DD">
            <w:pPr>
              <w:rPr>
                <w:i/>
                <w:iCs/>
                <w:noProof/>
              </w:rPr>
            </w:pPr>
            <w:r w:rsidRPr="00F23D53">
              <w:rPr>
                <w:i/>
                <w:iCs/>
                <w:noProof/>
              </w:rPr>
              <w:t>Automatically Detecting Acute Myocardial Infarction (AMI) Events from EH</w:t>
            </w:r>
            <w:r w:rsidR="009B6AB6">
              <w:rPr>
                <w:i/>
                <w:iCs/>
                <w:noProof/>
              </w:rPr>
              <w:t xml:space="preserve">R Text: a Preliminary Study </w:t>
            </w:r>
            <w:r w:rsidR="009B6AB6">
              <w:rPr>
                <w:i/>
                <w:iCs/>
                <w:noProof/>
              </w:rPr>
              <w:fldChar w:fldCharType="begin"/>
            </w:r>
            <w:r w:rsidR="00D541DD">
              <w:rPr>
                <w:i/>
                <w:iCs/>
                <w:noProof/>
              </w:rPr>
              <w:instrText xml:space="preserve"> ADDIN EN.CITE &lt;EndNote&gt;&lt;Cite&gt;&lt;Author&gt;Zheng&lt;/Author&gt;&lt;Year&gt;2014&lt;/Year&gt;&lt;RecNum&gt;19&lt;/RecNum&gt;&lt;DisplayText&gt;[23]&lt;/DisplayText&gt;&lt;record&gt;&lt;rec-number&gt;19&lt;/rec-number&gt;&lt;foreign-keys&gt;&lt;key app="EN" db-id="0zprsadv8f2wpbe5v0r5wa0j59xspaf5z5s9" timestamp="1480473107"&gt;19&lt;/key&gt;&lt;/foreign-keys&gt;&lt;ref-type name="Journal Article"&gt;17&lt;/ref-type&gt;&lt;contributors&gt;&lt;authors&gt;&lt;author&gt;Zheng, J.&lt;/author&gt;&lt;author&gt;Yarzebski, J.&lt;/author&gt;&lt;author&gt;Ramesh, B. P.&lt;/author&gt;&lt;author&gt;Goldberg, R. J.&lt;/author&gt;&lt;author&gt;Yu, H.&lt;/author&gt;&lt;/authors&gt;&lt;/contributors&gt;&lt;auth-address&gt;University of Massachusetts, Amherst, MA.&amp;#xD;University of Massachusetts Medical School, Worcester, MA.&amp;#xD;University of Massachusetts, Amherst, MA ; University of Massachusetts Medical School, Worcester, MA.&lt;/auth-address&gt;&lt;titles&gt;&lt;title&gt;Automatically Detecting Acute Myocardial Infarction Events from EHR Text: A Preliminary Study&lt;/title&gt;&lt;secondary-title&gt;AMIA Annu Symp Proc&lt;/secondary-title&gt;&lt;/titles&gt;&lt;periodical&gt;&lt;full-title&gt;AMIA Annu Symp Proc&lt;/full-title&gt;&lt;/periodical&gt;&lt;pages&gt;1286-93&lt;/pages&gt;&lt;volume&gt;2014&lt;/volume&gt;&lt;keywords&gt;&lt;keyword&gt;*Artificial Intelligence&lt;/keyword&gt;&lt;keyword&gt;*Electronic Health Records&lt;/keyword&gt;&lt;keyword&gt;Humans&lt;/keyword&gt;&lt;keyword&gt;Information Storage and Retrieval/*methods&lt;/keyword&gt;&lt;keyword&gt;International Classification of Diseases&lt;/keyword&gt;&lt;keyword&gt;Myocardial Infarction/*diagnosis&lt;/keyword&gt;&lt;/keywords&gt;&lt;dates&gt;&lt;year&gt;2014&lt;/year&gt;&lt;/dates&gt;&lt;isbn&gt;1942-597X (Electronic)&amp;#xD;1559-4076 (Linking)&lt;/isbn&gt;&lt;accession-num&gt;25954440&lt;/accession-num&gt;&lt;urls&gt;&lt;related-urls&gt;&lt;url&gt;https://www.ncbi.nlm.nih.gov/pubmed/25954440&lt;/url&gt;&lt;/related-urls&gt;&lt;/urls&gt;&lt;custom2&gt;PMC4419972&lt;/custom2&gt;&lt;/record&gt;&lt;/Cite&gt;&lt;/EndNote&gt;</w:instrText>
            </w:r>
            <w:r w:rsidR="009B6AB6">
              <w:rPr>
                <w:i/>
                <w:iCs/>
                <w:noProof/>
              </w:rPr>
              <w:fldChar w:fldCharType="separate"/>
            </w:r>
            <w:r w:rsidR="00D541DD">
              <w:rPr>
                <w:i/>
                <w:iCs/>
                <w:noProof/>
              </w:rPr>
              <w:t>[23]</w:t>
            </w:r>
            <w:r w:rsidR="009B6AB6">
              <w:rPr>
                <w:i/>
                <w:iCs/>
                <w:noProof/>
              </w:rPr>
              <w:fldChar w:fldCharType="end"/>
            </w:r>
          </w:p>
          <w:p w14:paraId="127B99CF" w14:textId="26F61B0C" w:rsidR="002C1BF7" w:rsidRPr="00F23D53" w:rsidRDefault="002C1BF7" w:rsidP="00D541DD">
            <w:pPr>
              <w:rPr>
                <w:i/>
                <w:iCs/>
                <w:noProof/>
              </w:rPr>
            </w:pPr>
          </w:p>
        </w:tc>
        <w:tc>
          <w:tcPr>
            <w:tcW w:w="7105" w:type="dxa"/>
          </w:tcPr>
          <w:p w14:paraId="68990939" w14:textId="77777777" w:rsidR="00646C05" w:rsidRPr="00F12980" w:rsidRDefault="00646C05" w:rsidP="00646C05">
            <w:pPr>
              <w:pStyle w:val="DBulletlevel2"/>
              <w:numPr>
                <w:ilvl w:val="0"/>
                <w:numId w:val="17"/>
              </w:numPr>
            </w:pPr>
            <w:r w:rsidRPr="00F12980">
              <w:t>Automate the annotation of Worcester Heart Attack Study for AMI</w:t>
            </w:r>
          </w:p>
          <w:p w14:paraId="2AC85744" w14:textId="711C63BC" w:rsidR="003E1E4B" w:rsidRPr="00677D7A" w:rsidRDefault="001138E8" w:rsidP="003E1E4B">
            <w:pPr>
              <w:pStyle w:val="DBulletlevel2"/>
              <w:numPr>
                <w:ilvl w:val="0"/>
                <w:numId w:val="17"/>
              </w:numPr>
            </w:pPr>
            <w:r>
              <w:t>F</w:t>
            </w:r>
            <w:r>
              <w:rPr>
                <w:vertAlign w:val="subscript"/>
              </w:rPr>
              <w:t xml:space="preserve">1 </w:t>
            </w:r>
            <w:r w:rsidR="00646C05" w:rsidRPr="00F12980">
              <w:t>of system for ICD Diagnosis outperformed the IAA</w:t>
            </w:r>
          </w:p>
        </w:tc>
      </w:tr>
      <w:tr w:rsidR="00646C05" w:rsidRPr="00FB07AC" w14:paraId="39A8032B" w14:textId="77777777" w:rsidTr="003E1E4B">
        <w:trPr>
          <w:trHeight w:val="464"/>
        </w:trPr>
        <w:tc>
          <w:tcPr>
            <w:tcW w:w="3582" w:type="dxa"/>
          </w:tcPr>
          <w:p w14:paraId="46BA34B6" w14:textId="20F2073B" w:rsidR="00646C05" w:rsidRPr="00F23D53" w:rsidRDefault="00646C05" w:rsidP="008A0C6E">
            <w:pPr>
              <w:rPr>
                <w:i/>
                <w:iCs/>
                <w:noProof/>
              </w:rPr>
            </w:pPr>
            <w:r w:rsidRPr="002C1BF7">
              <w:rPr>
                <w:i/>
                <w:iCs/>
                <w:noProof/>
              </w:rPr>
              <w:t xml:space="preserve">Deception Detection using Real-Life Trial Data </w:t>
            </w:r>
            <w:r w:rsidR="008A0C6E" w:rsidRPr="002C1BF7">
              <w:rPr>
                <w:i/>
                <w:iCs/>
                <w:noProof/>
              </w:rPr>
              <w:fldChar w:fldCharType="begin"/>
            </w:r>
            <w:r w:rsidR="008A0C6E" w:rsidRPr="002C1BF7">
              <w:rPr>
                <w:i/>
                <w:iCs/>
                <w:noProof/>
              </w:rPr>
              <w:instrText xml:space="preserve"> ADDIN EN.CITE &lt;EndNote&gt;&lt;Cite&gt;&lt;Author&gt;Pérez-Rosas&lt;/Author&gt;&lt;Year&gt;2015&lt;/Year&gt;&lt;RecNum&gt;20&lt;/RecNum&gt;&lt;DisplayText&gt;[16]&lt;/DisplayText&gt;&lt;record&gt;&lt;rec-number&gt;20&lt;/rec-number&gt;&lt;foreign-keys&gt;&lt;key app="EN" db-id="0zprsadv8f2wpbe5v0r5wa0j59xspaf5z5s9" timestamp="1480473283"&gt;20&lt;/key&gt;&lt;/foreign-keys&gt;&lt;ref-type name="Conference Proceedings"&gt;10&lt;/ref-type&gt;&lt;contributors&gt;&lt;authors&gt;&lt;author&gt;Verónica Pérez-Rosas&lt;/author&gt;&lt;author&gt;Mohamed Abouelenien&lt;/author&gt;&lt;author&gt;Rada Mihalcea&lt;/author&gt;&lt;author&gt;Mihai Burzo&lt;/author&gt;&lt;/authors&gt;&lt;subsidiary-authors&gt;&lt;author&gt;ACM&lt;/author&gt;&lt;/subsidiary-authors&gt;&lt;/contributors&gt;&lt;titles&gt;&lt;title&gt;Deception Detection using Real-life Trial Data&lt;/title&gt;&lt;secondary-title&gt;ICMI 2015&lt;/secondary-title&gt;&lt;/titles&gt;&lt;pages&gt;59-66&lt;/pages&gt;&lt;dates&gt;&lt;year&gt;2015&lt;/year&gt;&lt;/dates&gt;&lt;pub-location&gt;New York, NY, USA,&lt;/pub-location&gt;&lt;urls&gt;&lt;/urls&gt;&lt;custom3&gt;In Proceedings of the 2015 ACM on International Conference on Multimodal Interaction&lt;/custom3&gt;&lt;/record&gt;&lt;/Cite&gt;&lt;/EndNote&gt;</w:instrText>
            </w:r>
            <w:r w:rsidR="008A0C6E" w:rsidRPr="002C1BF7">
              <w:rPr>
                <w:i/>
                <w:iCs/>
                <w:noProof/>
              </w:rPr>
              <w:fldChar w:fldCharType="separate"/>
            </w:r>
            <w:r w:rsidR="008A0C6E" w:rsidRPr="002C1BF7">
              <w:rPr>
                <w:i/>
                <w:iCs/>
                <w:noProof/>
              </w:rPr>
              <w:t>[16]</w:t>
            </w:r>
            <w:r w:rsidR="008A0C6E" w:rsidRPr="002C1BF7">
              <w:rPr>
                <w:i/>
                <w:iCs/>
                <w:noProof/>
              </w:rPr>
              <w:fldChar w:fldCharType="end"/>
            </w:r>
          </w:p>
        </w:tc>
        <w:tc>
          <w:tcPr>
            <w:tcW w:w="7105" w:type="dxa"/>
          </w:tcPr>
          <w:p w14:paraId="7AB0F68B" w14:textId="6B412AAB" w:rsidR="00646C05" w:rsidRPr="00B94665" w:rsidRDefault="00E66DB5" w:rsidP="00E66DB5">
            <w:pPr>
              <w:pStyle w:val="DBulletlevel2"/>
              <w:numPr>
                <w:ilvl w:val="0"/>
                <w:numId w:val="17"/>
              </w:numPr>
            </w:pPr>
            <w:r>
              <w:t>D</w:t>
            </w:r>
            <w:r w:rsidR="00646C05" w:rsidRPr="00B94665">
              <w:t xml:space="preserve">eception </w:t>
            </w:r>
            <w:r>
              <w:t>detection</w:t>
            </w:r>
          </w:p>
          <w:p w14:paraId="71EF2BA7" w14:textId="77777777" w:rsidR="00646C05" w:rsidRPr="00B94665" w:rsidRDefault="00646C05" w:rsidP="00646C05">
            <w:pPr>
              <w:pStyle w:val="DBulletlevel2"/>
              <w:numPr>
                <w:ilvl w:val="0"/>
                <w:numId w:val="17"/>
              </w:numPr>
            </w:pPr>
            <w:r w:rsidRPr="00B94665">
              <w:t>System performance using decision trees significantly higher than annotator agreement and kappa statistic (0.01-0.20)</w:t>
            </w:r>
          </w:p>
          <w:p w14:paraId="708501EE" w14:textId="2DB05840" w:rsidR="00646C05" w:rsidRPr="00677D7A" w:rsidRDefault="00646C05" w:rsidP="00646C05">
            <w:pPr>
              <w:pStyle w:val="DBulletlevel2"/>
              <w:numPr>
                <w:ilvl w:val="0"/>
                <w:numId w:val="17"/>
              </w:numPr>
            </w:pPr>
            <w:r w:rsidRPr="00B94665">
              <w:t xml:space="preserve">Humans detect deception </w:t>
            </w:r>
            <w:r w:rsidR="00F456BF">
              <w:t xml:space="preserve">only </w:t>
            </w:r>
            <w:r w:rsidRPr="00B94665">
              <w:t>slightly above chance</w:t>
            </w:r>
          </w:p>
        </w:tc>
      </w:tr>
      <w:tr w:rsidR="00646C05" w:rsidRPr="00FB07AC" w14:paraId="2DF3CFCC" w14:textId="77777777" w:rsidTr="003E1E4B">
        <w:trPr>
          <w:trHeight w:val="495"/>
        </w:trPr>
        <w:tc>
          <w:tcPr>
            <w:tcW w:w="3582" w:type="dxa"/>
          </w:tcPr>
          <w:p w14:paraId="7D8E5E43" w14:textId="53210D68" w:rsidR="00646C05" w:rsidRPr="00F23D53" w:rsidRDefault="00646C05" w:rsidP="00D541DD">
            <w:pPr>
              <w:rPr>
                <w:i/>
                <w:iCs/>
                <w:noProof/>
              </w:rPr>
            </w:pPr>
            <w:r w:rsidRPr="00F23D53">
              <w:rPr>
                <w:i/>
                <w:iCs/>
                <w:noProof/>
              </w:rPr>
              <w:t>Automatic Classification of Lexical Stress Errors for German CAPT (Computer-Assis</w:t>
            </w:r>
            <w:r w:rsidR="009B6AB6">
              <w:rPr>
                <w:i/>
                <w:iCs/>
                <w:noProof/>
              </w:rPr>
              <w:t xml:space="preserve">ted Pronunciation Training) </w:t>
            </w:r>
            <w:r w:rsidR="009B6AB6">
              <w:rPr>
                <w:i/>
                <w:iCs/>
                <w:noProof/>
              </w:rPr>
              <w:fldChar w:fldCharType="begin"/>
            </w:r>
            <w:r w:rsidR="00D541DD">
              <w:rPr>
                <w:i/>
                <w:iCs/>
                <w:noProof/>
              </w:rPr>
              <w:instrText xml:space="preserve"> ADDIN EN.CITE &lt;EndNote&gt;&lt;Cite&gt;&lt;Author&gt;Vakil&lt;/Author&gt;&lt;Year&gt;2015&lt;/Year&gt;&lt;RecNum&gt;21&lt;/RecNum&gt;&lt;DisplayText&gt;[22]&lt;/DisplayText&gt;&lt;record&gt;&lt;rec-number&gt;21&lt;/rec-number&gt;&lt;foreign-keys&gt;&lt;key app="EN" db-id="0zprsadv8f2wpbe5v0r5wa0j59xspaf5z5s9" timestamp="1480473391"&gt;21&lt;/key&gt;&lt;/foreign-keys&gt;&lt;ref-type name="Conference Proceedings"&gt;10&lt;/ref-type&gt;&lt;contributors&gt;&lt;authors&gt;&lt;author&gt;Anjana Sofia Vakil&lt;/author&gt;&lt;author&gt;Jurgen Trouvain&lt;/author&gt;&lt;author&gt;Automatic classification of lexical stress errors for German CAPT. In Proceeding of the Workshop on Speech and Language Technology for Education (SLaTE), Leipzig, pp. 47-52.&lt;/author&gt;&lt;/authors&gt;&lt;/contributors&gt;&lt;titles&gt;&lt;title&gt;Automatic classification of lexical stress errors for German CAPT&amp;#xD;&lt;/title&gt;&lt;secondary-title&gt;SLaTE&lt;/secondary-title&gt;&lt;/titles&gt;&lt;pages&gt;47-52&lt;/pages&gt;&lt;dates&gt;&lt;year&gt;2015&lt;/year&gt;&lt;/dates&gt;&lt;pub-location&gt;Leipzig&lt;/pub-location&gt;&lt;urls&gt;&lt;/urls&gt;&lt;custom3&gt;In Proceeding of the Workshop on Speech and Language Technology for Education&lt;/custom3&gt;&lt;/record&gt;&lt;/Cite&gt;&lt;/EndNote&gt;</w:instrText>
            </w:r>
            <w:r w:rsidR="009B6AB6">
              <w:rPr>
                <w:i/>
                <w:iCs/>
                <w:noProof/>
              </w:rPr>
              <w:fldChar w:fldCharType="separate"/>
            </w:r>
            <w:r w:rsidR="00D541DD">
              <w:rPr>
                <w:i/>
                <w:iCs/>
                <w:noProof/>
              </w:rPr>
              <w:t>[22]</w:t>
            </w:r>
            <w:r w:rsidR="009B6AB6">
              <w:rPr>
                <w:i/>
                <w:iCs/>
                <w:noProof/>
              </w:rPr>
              <w:fldChar w:fldCharType="end"/>
            </w:r>
          </w:p>
        </w:tc>
        <w:tc>
          <w:tcPr>
            <w:tcW w:w="7105" w:type="dxa"/>
          </w:tcPr>
          <w:p w14:paraId="26A4A0A4" w14:textId="77777777" w:rsidR="00646C05" w:rsidRPr="00B94665" w:rsidRDefault="00646C05" w:rsidP="00646C05">
            <w:pPr>
              <w:pStyle w:val="DBulletlevel2"/>
              <w:numPr>
                <w:ilvl w:val="0"/>
                <w:numId w:val="17"/>
              </w:numPr>
            </w:pPr>
            <w:r w:rsidRPr="00B94665">
              <w:t>Classify non-native German lexical stress errors from manually annotated corpus of German word utterances by native French speakers</w:t>
            </w:r>
          </w:p>
          <w:p w14:paraId="59C321C8" w14:textId="0C14C4F6" w:rsidR="00646C05" w:rsidRPr="00677D7A" w:rsidRDefault="002B0D21" w:rsidP="00FC3B57">
            <w:pPr>
              <w:pStyle w:val="DBulletlevel2"/>
              <w:numPr>
                <w:ilvl w:val="0"/>
                <w:numId w:val="17"/>
              </w:numPr>
            </w:pPr>
            <w:r>
              <w:t xml:space="preserve">IAA </w:t>
            </w:r>
            <w:r w:rsidR="00FC3B57">
              <w:t xml:space="preserve">only </w:t>
            </w:r>
            <w:r w:rsidR="00646C05" w:rsidRPr="00B94665">
              <w:t>fair</w:t>
            </w:r>
          </w:p>
        </w:tc>
      </w:tr>
    </w:tbl>
    <w:p w14:paraId="27EA3AAD" w14:textId="3806A25E" w:rsidR="00646C05" w:rsidRDefault="00646C05" w:rsidP="00646C05">
      <w:pPr>
        <w:overflowPunct/>
        <w:autoSpaceDE/>
        <w:autoSpaceDN/>
        <w:adjustRightInd/>
        <w:textAlignment w:val="auto"/>
        <w:rPr>
          <w:noProof/>
        </w:rPr>
        <w:sectPr w:rsidR="00646C05" w:rsidSect="00646C05">
          <w:type w:val="continuous"/>
          <w:pgSz w:w="11907" w:h="16840" w:code="9"/>
          <w:pgMar w:top="562" w:right="567" w:bottom="562" w:left="567" w:header="0" w:footer="1440" w:gutter="0"/>
          <w:cols w:space="706"/>
          <w:noEndnote/>
        </w:sectPr>
      </w:pPr>
    </w:p>
    <w:p w14:paraId="7A9F1F8B" w14:textId="110A243C" w:rsidR="00682FD0" w:rsidRDefault="004F2AB6" w:rsidP="001E1B4A">
      <w:pPr>
        <w:pStyle w:val="DBodyText"/>
      </w:pPr>
      <w:r>
        <w:lastRenderedPageBreak/>
        <w:t xml:space="preserve">Figure 1 shows the F1 and inter-annotator agreement for the 20 systems. </w:t>
      </w:r>
      <w:r w:rsidR="00155E11">
        <w:t>The</w:t>
      </w:r>
      <w:r w:rsidR="00471D54">
        <w:t xml:space="preserve"> Shapiro-Wilk normality test</w:t>
      </w:r>
      <w:r w:rsidR="00E41C4C">
        <w:t xml:space="preserve"> </w:t>
      </w:r>
      <w:r w:rsidR="00E41C4C">
        <w:fldChar w:fldCharType="begin"/>
      </w:r>
      <w:r w:rsidR="00D541DD">
        <w:instrText xml:space="preserve"> ADDIN EN.CITE &lt;EndNote&gt;&lt;Cite&gt;&lt;Author&gt;Shapiro&lt;/Author&gt;&lt;Year&gt;1965&lt;/Year&gt;&lt;RecNum&gt;8&lt;/RecNum&gt;&lt;DisplayText&gt;[21]&lt;/DisplayText&gt;&lt;record&gt;&lt;rec-number&gt;8&lt;/rec-number&gt;&lt;foreign-keys&gt;&lt;key app="EN" db-id="0zprsadv8f2wpbe5v0r5wa0j59xspaf5z5s9" timestamp="1480470536"&gt;8&lt;/key&gt;&lt;/foreign-keys&gt;&lt;ref-type name="Journal Article"&gt;17&lt;/ref-type&gt;&lt;contributors&gt;&lt;authors&gt;&lt;author&gt;S. S. Shapiro&lt;/author&gt;&lt;author&gt;M. B. Wilk&lt;/author&gt;&lt;/authors&gt;&lt;/contributors&gt;&lt;titles&gt;&lt;title&gt;An Analysis of Variance Test for Normality (complete Samples)&lt;/title&gt;&lt;secondary-title&gt;Biometrika&lt;/secondary-title&gt;&lt;/titles&gt;&lt;periodical&gt;&lt;full-title&gt;Biometrika&lt;/full-title&gt;&lt;/periodical&gt;&lt;pages&gt;591-611&lt;/pages&gt;&lt;volume&gt;52&lt;/volume&gt;&lt;number&gt;3/4&lt;/number&gt;&lt;dates&gt;&lt;year&gt;1965&lt;/year&gt;&lt;/dates&gt;&lt;urls&gt;&lt;/urls&gt;&lt;/record&gt;&lt;/Cite&gt;&lt;/EndNote&gt;</w:instrText>
      </w:r>
      <w:r w:rsidR="00E41C4C">
        <w:fldChar w:fldCharType="separate"/>
      </w:r>
      <w:r w:rsidR="00D541DD">
        <w:t>[21]</w:t>
      </w:r>
      <w:r w:rsidR="00E41C4C">
        <w:fldChar w:fldCharType="end"/>
      </w:r>
      <w:r w:rsidR="00155E11">
        <w:t xml:space="preserve"> showed that</w:t>
      </w:r>
      <w:r w:rsidR="0014378D">
        <w:t xml:space="preserve"> </w:t>
      </w:r>
      <w:r w:rsidR="00471D54">
        <w:t>only the system performance measure i</w:t>
      </w:r>
      <w:r w:rsidR="0002331A">
        <w:t xml:space="preserve">s normally distributed. </w:t>
      </w:r>
      <w:r w:rsidR="00471D54">
        <w:t>IAA</w:t>
      </w:r>
      <w:r w:rsidR="00EF0E0D">
        <w:t xml:space="preserve"> </w:t>
      </w:r>
      <w:r w:rsidR="00740DC2">
        <w:t>is</w:t>
      </w:r>
      <w:r w:rsidR="00471D54">
        <w:t xml:space="preserve"> not</w:t>
      </w:r>
      <w:r w:rsidR="0002331A">
        <w:t>, and</w:t>
      </w:r>
      <w:r w:rsidR="00740DC2">
        <w:t xml:space="preserve"> </w:t>
      </w:r>
      <w:r w:rsidR="00471D54">
        <w:t xml:space="preserve">skewed </w:t>
      </w:r>
      <w:r>
        <w:t>left</w:t>
      </w:r>
      <w:r w:rsidR="00471D54">
        <w:t xml:space="preserve">. </w:t>
      </w:r>
      <w:r w:rsidR="001245FD">
        <w:t>Therefore,</w:t>
      </w:r>
      <w:r w:rsidR="00471D54">
        <w:t xml:space="preserve"> </w:t>
      </w:r>
      <w:r w:rsidR="001245FD">
        <w:t>we calculated the Spearman correlation, which is non-parametric</w:t>
      </w:r>
      <w:r w:rsidR="00471D54">
        <w:t xml:space="preserve">. </w:t>
      </w:r>
      <w:r w:rsidR="001E1B4A">
        <w:t>This showed that IAA and F</w:t>
      </w:r>
      <w:r w:rsidR="001E1B4A">
        <w:rPr>
          <w:vertAlign w:val="subscript"/>
        </w:rPr>
        <w:t xml:space="preserve">1 </w:t>
      </w:r>
      <w:r w:rsidR="001E1B4A">
        <w:t>measure are significantly p</w:t>
      </w:r>
      <w:r w:rsidR="00700093">
        <w:t xml:space="preserve">ositively correlated </w:t>
      </w:r>
      <w:r w:rsidR="00682FD0">
        <w:t xml:space="preserve"> (rho =  0.807, p-value = 8.56 X 10</w:t>
      </w:r>
      <w:r w:rsidR="00682FD0">
        <w:rPr>
          <w:vertAlign w:val="superscript"/>
        </w:rPr>
        <w:t>-6</w:t>
      </w:r>
      <w:r w:rsidR="00740DC2">
        <w:t>)</w:t>
      </w:r>
      <w:r w:rsidR="001E1B4A">
        <w:t xml:space="preserve"> </w:t>
      </w:r>
      <w:r w:rsidR="001E1B4A">
        <w:t>(see Figure 2).</w:t>
      </w:r>
      <w:r w:rsidR="00682FD0">
        <w:t xml:space="preserve">. </w:t>
      </w:r>
    </w:p>
    <w:p w14:paraId="1143222E" w14:textId="0B0F4DB1" w:rsidR="00F12980" w:rsidRDefault="00471D54" w:rsidP="00F12980">
      <w:pPr>
        <w:pStyle w:val="DBodyText"/>
        <w:jc w:val="center"/>
      </w:pPr>
      <w:r>
        <w:rPr>
          <w:lang w:eastAsia="zh-CN"/>
        </w:rPr>
        <w:drawing>
          <wp:inline distT="0" distB="0" distL="0" distR="0" wp14:anchorId="65242F8D" wp14:editId="0AABA74D">
            <wp:extent cx="3195955" cy="19069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ALthanFmeasure_boxplot.png"/>
                    <pic:cNvPicPr/>
                  </pic:nvPicPr>
                  <pic:blipFill>
                    <a:blip r:embed="rId8"/>
                    <a:stretch>
                      <a:fillRect/>
                    </a:stretch>
                  </pic:blipFill>
                  <pic:spPr>
                    <a:xfrm>
                      <a:off x="0" y="0"/>
                      <a:ext cx="3195955" cy="1906905"/>
                    </a:xfrm>
                    <a:prstGeom prst="rect">
                      <a:avLst/>
                    </a:prstGeom>
                  </pic:spPr>
                </pic:pic>
              </a:graphicData>
            </a:graphic>
          </wp:inline>
        </w:drawing>
      </w:r>
    </w:p>
    <w:p w14:paraId="41B7C6F1" w14:textId="1C7EB901" w:rsidR="00471D54" w:rsidRDefault="00B7621A" w:rsidP="00E17AA8">
      <w:pPr>
        <w:pStyle w:val="DBodyText"/>
        <w:jc w:val="left"/>
        <w:rPr>
          <w:i/>
        </w:rPr>
      </w:pPr>
      <w:r>
        <w:rPr>
          <w:i/>
        </w:rPr>
        <w:t>Figure</w:t>
      </w:r>
      <w:r w:rsidR="00471D54">
        <w:rPr>
          <w:i/>
        </w:rPr>
        <w:t xml:space="preserve"> 1 – Boxplot of </w:t>
      </w:r>
      <w:r w:rsidR="001138E8">
        <w:rPr>
          <w:i/>
        </w:rPr>
        <w:t>F</w:t>
      </w:r>
      <w:r w:rsidR="001138E8">
        <w:rPr>
          <w:i/>
          <w:vertAlign w:val="subscript"/>
        </w:rPr>
        <w:t>1</w:t>
      </w:r>
      <w:r w:rsidR="001138E8">
        <w:rPr>
          <w:i/>
        </w:rPr>
        <w:t xml:space="preserve"> </w:t>
      </w:r>
      <w:r w:rsidR="00471D54">
        <w:rPr>
          <w:i/>
        </w:rPr>
        <w:t>measure (system performance) and IAA (annotator agreement)</w:t>
      </w:r>
      <w:r w:rsidR="006209A2">
        <w:rPr>
          <w:i/>
        </w:rPr>
        <w:t xml:space="preserve"> for systems that outperform the IAA</w:t>
      </w:r>
    </w:p>
    <w:p w14:paraId="0ED59412" w14:textId="54FB81EA" w:rsidR="00BF1F4F" w:rsidRDefault="00E14CD5" w:rsidP="0096795D">
      <w:pPr>
        <w:pStyle w:val="DBodyText"/>
        <w:jc w:val="left"/>
      </w:pPr>
      <w:r>
        <w:rPr>
          <w:lang w:eastAsia="zh-CN"/>
        </w:rPr>
        <w:drawing>
          <wp:inline distT="0" distB="0" distL="0" distR="0" wp14:anchorId="4FB3E00C" wp14:editId="373DFC43">
            <wp:extent cx="3130445" cy="1883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AAGthanF1_DIFFvsLevel.png"/>
                    <pic:cNvPicPr/>
                  </pic:nvPicPr>
                  <pic:blipFill>
                    <a:blip r:embed="rId9"/>
                    <a:stretch>
                      <a:fillRect/>
                    </a:stretch>
                  </pic:blipFill>
                  <pic:spPr>
                    <a:xfrm>
                      <a:off x="0" y="0"/>
                      <a:ext cx="3130445" cy="1883410"/>
                    </a:xfrm>
                    <a:prstGeom prst="rect">
                      <a:avLst/>
                    </a:prstGeom>
                  </pic:spPr>
                </pic:pic>
              </a:graphicData>
            </a:graphic>
          </wp:inline>
        </w:drawing>
      </w:r>
    </w:p>
    <w:p w14:paraId="654516C1" w14:textId="4384213B" w:rsidR="00BF1F4F" w:rsidRDefault="00B7621A" w:rsidP="00EE39A6">
      <w:pPr>
        <w:pStyle w:val="DBodyText"/>
        <w:rPr>
          <w:i/>
        </w:rPr>
      </w:pPr>
      <w:r>
        <w:rPr>
          <w:i/>
        </w:rPr>
        <w:t>Figure</w:t>
      </w:r>
      <w:r w:rsidR="00BF1F4F">
        <w:rPr>
          <w:i/>
        </w:rPr>
        <w:t xml:space="preserve"> 2 </w:t>
      </w:r>
      <w:r w:rsidR="001138E8">
        <w:rPr>
          <w:i/>
        </w:rPr>
        <w:t xml:space="preserve">– Positive correlation between </w:t>
      </w:r>
      <w:r w:rsidR="00EE39A6">
        <w:rPr>
          <w:i/>
        </w:rPr>
        <w:t>system performance and  inter-</w:t>
      </w:r>
      <w:r w:rsidR="00276D9A">
        <w:rPr>
          <w:i/>
        </w:rPr>
        <w:t>annotator agreement</w:t>
      </w:r>
      <w:r w:rsidR="00032DA2">
        <w:rPr>
          <w:i/>
        </w:rPr>
        <w:t xml:space="preserve"> for systems that outperform the IAA.</w:t>
      </w:r>
    </w:p>
    <w:p w14:paraId="26A89075" w14:textId="7A69698E" w:rsidR="007C0C7A" w:rsidRDefault="007C0C7A" w:rsidP="000E34F0">
      <w:pPr>
        <w:pStyle w:val="DBodyText"/>
      </w:pPr>
      <w:r>
        <w:t>We then did the same analysis both for systems that do not beat the IAA</w:t>
      </w:r>
      <w:r w:rsidR="005E71A3">
        <w:t>,</w:t>
      </w:r>
      <w:r>
        <w:t xml:space="preserve"> and </w:t>
      </w:r>
      <w:r w:rsidR="005E71A3">
        <w:t xml:space="preserve">for </w:t>
      </w:r>
      <w:r>
        <w:t xml:space="preserve">all systems together. </w:t>
      </w:r>
      <w:r w:rsidR="004D52F0">
        <w:t>In</w:t>
      </w:r>
      <w:r>
        <w:t xml:space="preserve"> systems</w:t>
      </w:r>
      <w:r w:rsidR="00343769">
        <w:t xml:space="preserve"> that do not outperform the IAA</w:t>
      </w:r>
      <w:r w:rsidR="004D52F0">
        <w:t>, neither</w:t>
      </w:r>
      <w:r w:rsidR="00740DC2">
        <w:t xml:space="preserve"> IAA </w:t>
      </w:r>
      <w:r w:rsidR="004D52F0">
        <w:t>nor</w:t>
      </w:r>
      <w:r w:rsidR="00032DA2">
        <w:t xml:space="preserve"> F-measure</w:t>
      </w:r>
      <w:r w:rsidR="003B56EF">
        <w:t xml:space="preserve"> </w:t>
      </w:r>
      <w:r w:rsidR="00032DA2">
        <w:t>are</w:t>
      </w:r>
      <w:r>
        <w:t xml:space="preserve"> normally distributed</w:t>
      </w:r>
      <w:r w:rsidR="007C1FD7">
        <w:t xml:space="preserve">. </w:t>
      </w:r>
      <w:r w:rsidR="000E34F0">
        <w:t>There</w:t>
      </w:r>
      <w:r w:rsidR="00032DA2">
        <w:t xml:space="preserve"> was a signficant positive correlation</w:t>
      </w:r>
      <w:r w:rsidR="0009087D">
        <w:t xml:space="preserve"> </w:t>
      </w:r>
      <w:r w:rsidR="00032DA2">
        <w:t>between IAA and system performance</w:t>
      </w:r>
      <w:r w:rsidR="002B3887">
        <w:t xml:space="preserve"> (rho = 0.653</w:t>
      </w:r>
      <w:r w:rsidR="0009087D">
        <w:t>, p-value = 1.449 x 10</w:t>
      </w:r>
      <w:r w:rsidR="0009087D">
        <w:rPr>
          <w:vertAlign w:val="superscript"/>
        </w:rPr>
        <w:t>-11</w:t>
      </w:r>
      <w:r w:rsidR="00740DC2">
        <w:t xml:space="preserve">) (see </w:t>
      </w:r>
      <w:r w:rsidR="000E34F0">
        <w:t>F</w:t>
      </w:r>
      <w:r w:rsidR="00B7621A">
        <w:t xml:space="preserve">igure </w:t>
      </w:r>
      <w:r w:rsidR="00740DC2">
        <w:t>3</w:t>
      </w:r>
      <w:r w:rsidR="00032DA2">
        <w:t>).</w:t>
      </w:r>
    </w:p>
    <w:p w14:paraId="09BE5440" w14:textId="2D55B244" w:rsidR="00856F01" w:rsidRDefault="00D34DDF" w:rsidP="00EC12F8">
      <w:pPr>
        <w:pStyle w:val="DBodyText"/>
        <w:rPr>
          <w:iCs/>
        </w:rPr>
      </w:pPr>
      <w:r>
        <w:rPr>
          <w:iCs/>
        </w:rPr>
        <w:lastRenderedPageBreak/>
        <w:t xml:space="preserve">For the combined </w:t>
      </w:r>
      <w:r w:rsidR="00856F01">
        <w:rPr>
          <w:iCs/>
        </w:rPr>
        <w:t>data combined for systems that did and did not outperform the IAA</w:t>
      </w:r>
      <w:r w:rsidR="00EC12F8">
        <w:rPr>
          <w:iCs/>
        </w:rPr>
        <w:t>, the IAA</w:t>
      </w:r>
      <w:r w:rsidR="00856F01">
        <w:rPr>
          <w:iCs/>
        </w:rPr>
        <w:t xml:space="preserve"> and system performance  are significantly posti</w:t>
      </w:r>
      <w:r>
        <w:rPr>
          <w:iCs/>
        </w:rPr>
        <w:t xml:space="preserve">vely correlated, but </w:t>
      </w:r>
      <w:r w:rsidR="00856F01">
        <w:rPr>
          <w:iCs/>
        </w:rPr>
        <w:t xml:space="preserve">less </w:t>
      </w:r>
      <w:r>
        <w:rPr>
          <w:iCs/>
        </w:rPr>
        <w:t>so compared to only the</w:t>
      </w:r>
      <w:r w:rsidR="00856F01">
        <w:rPr>
          <w:iCs/>
        </w:rPr>
        <w:t xml:space="preserve"> systems that outperform the IAA</w:t>
      </w:r>
      <w:r w:rsidR="00EC12F8">
        <w:rPr>
          <w:iCs/>
        </w:rPr>
        <w:t xml:space="preserve"> </w:t>
      </w:r>
      <w:r w:rsidR="00EC12F8">
        <w:rPr>
          <w:iCs/>
        </w:rPr>
        <w:t>(rho = 0.513, p-value = 1.81 x 10</w:t>
      </w:r>
      <w:r w:rsidR="00EC12F8">
        <w:rPr>
          <w:iCs/>
          <w:vertAlign w:val="superscript"/>
        </w:rPr>
        <w:t>-8</w:t>
      </w:r>
      <w:r w:rsidR="00EC12F8">
        <w:rPr>
          <w:iCs/>
        </w:rPr>
        <w:t>)</w:t>
      </w:r>
      <w:r w:rsidR="00EC12F8">
        <w:rPr>
          <w:iCs/>
        </w:rPr>
        <w:t xml:space="preserve"> </w:t>
      </w:r>
      <w:r w:rsidR="00EC12F8">
        <w:rPr>
          <w:iCs/>
        </w:rPr>
        <w:t xml:space="preserve">(see </w:t>
      </w:r>
      <w:r w:rsidR="00EC12F8">
        <w:t xml:space="preserve">Figure </w:t>
      </w:r>
      <w:r w:rsidR="00EC12F8">
        <w:rPr>
          <w:iCs/>
        </w:rPr>
        <w:t>4</w:t>
      </w:r>
      <w:r w:rsidR="00EC12F8">
        <w:rPr>
          <w:iCs/>
        </w:rPr>
        <w:t>)</w:t>
      </w:r>
      <w:r w:rsidR="00856F01">
        <w:rPr>
          <w:iCs/>
        </w:rPr>
        <w:t xml:space="preserve">. </w:t>
      </w:r>
    </w:p>
    <w:p w14:paraId="3A27E900" w14:textId="5974E343" w:rsidR="00594C49" w:rsidRPr="00092FDE" w:rsidRDefault="00594C49" w:rsidP="000B3B29">
      <w:pPr>
        <w:pStyle w:val="DBodyText"/>
        <w:rPr>
          <w:iCs/>
        </w:rPr>
      </w:pPr>
      <w:r>
        <w:rPr>
          <w:iCs/>
        </w:rPr>
        <w:t>We can also see how the medians are affected depending on which systems are included: those that outperform the IAA, those t</w:t>
      </w:r>
      <w:r w:rsidR="00ED1233">
        <w:rPr>
          <w:iCs/>
        </w:rPr>
        <w:t>hat do not, or both (see table 3</w:t>
      </w:r>
      <w:r>
        <w:rPr>
          <w:iCs/>
        </w:rPr>
        <w:t>).</w:t>
      </w:r>
    </w:p>
    <w:p w14:paraId="5930F4B7" w14:textId="73556365" w:rsidR="00032DA2" w:rsidRDefault="0009087D" w:rsidP="00032DA2">
      <w:pPr>
        <w:pStyle w:val="DBodyText"/>
        <w:jc w:val="left"/>
      </w:pPr>
      <w:r>
        <w:rPr>
          <w:lang w:eastAsia="zh-CN"/>
        </w:rPr>
        <w:drawing>
          <wp:inline distT="0" distB="0" distL="0" distR="0" wp14:anchorId="2DD31C85" wp14:editId="0ECDA7FB">
            <wp:extent cx="3195955" cy="181800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AAGthanF1_IAAvsF1.png"/>
                    <pic:cNvPicPr/>
                  </pic:nvPicPr>
                  <pic:blipFill>
                    <a:blip r:embed="rId10"/>
                    <a:stretch>
                      <a:fillRect/>
                    </a:stretch>
                  </pic:blipFill>
                  <pic:spPr>
                    <a:xfrm>
                      <a:off x="0" y="0"/>
                      <a:ext cx="3195955" cy="1818005"/>
                    </a:xfrm>
                    <a:prstGeom prst="rect">
                      <a:avLst/>
                    </a:prstGeom>
                  </pic:spPr>
                </pic:pic>
              </a:graphicData>
            </a:graphic>
          </wp:inline>
        </w:drawing>
      </w:r>
    </w:p>
    <w:p w14:paraId="0DED94A5" w14:textId="3E67E93B" w:rsidR="00032DA2" w:rsidRDefault="00B7621A" w:rsidP="000C4E83">
      <w:pPr>
        <w:pStyle w:val="DBodyText"/>
        <w:jc w:val="left"/>
        <w:rPr>
          <w:i/>
        </w:rPr>
      </w:pPr>
      <w:r>
        <w:rPr>
          <w:i/>
        </w:rPr>
        <w:t>Figure</w:t>
      </w:r>
      <w:r w:rsidR="00032DA2">
        <w:rPr>
          <w:i/>
        </w:rPr>
        <w:t xml:space="preserve"> 3 –</w:t>
      </w:r>
      <w:r w:rsidR="001138E8">
        <w:rPr>
          <w:i/>
        </w:rPr>
        <w:t xml:space="preserve"> Positive correlation between F</w:t>
      </w:r>
      <w:r w:rsidR="001138E8">
        <w:rPr>
          <w:i/>
          <w:vertAlign w:val="subscript"/>
        </w:rPr>
        <w:t>1</w:t>
      </w:r>
      <w:r w:rsidR="00032DA2">
        <w:rPr>
          <w:i/>
        </w:rPr>
        <w:t xml:space="preserve"> measure (system performance) and  IAA (annotator agreement) for systems that</w:t>
      </w:r>
      <w:r w:rsidR="00856F01">
        <w:rPr>
          <w:i/>
        </w:rPr>
        <w:t xml:space="preserve"> </w:t>
      </w:r>
      <w:r w:rsidR="00032DA2">
        <w:rPr>
          <w:i/>
        </w:rPr>
        <w:t>do not outperform the IAA.</w:t>
      </w:r>
    </w:p>
    <w:p w14:paraId="1B260DA8" w14:textId="0BB5BA3E" w:rsidR="00032DA2" w:rsidRDefault="0050040E" w:rsidP="00032DA2">
      <w:pPr>
        <w:pStyle w:val="DBodyText"/>
        <w:jc w:val="center"/>
        <w:rPr>
          <w:i/>
        </w:rPr>
      </w:pPr>
      <w:r>
        <w:rPr>
          <w:i/>
          <w:lang w:eastAsia="zh-CN"/>
        </w:rPr>
        <w:drawing>
          <wp:inline distT="0" distB="0" distL="0" distR="0" wp14:anchorId="55B690AC" wp14:editId="49F77105">
            <wp:extent cx="3195955" cy="183451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lData_IAAvsF1.png"/>
                    <pic:cNvPicPr/>
                  </pic:nvPicPr>
                  <pic:blipFill>
                    <a:blip r:embed="rId11"/>
                    <a:stretch>
                      <a:fillRect/>
                    </a:stretch>
                  </pic:blipFill>
                  <pic:spPr>
                    <a:xfrm>
                      <a:off x="0" y="0"/>
                      <a:ext cx="3195955" cy="1834515"/>
                    </a:xfrm>
                    <a:prstGeom prst="rect">
                      <a:avLst/>
                    </a:prstGeom>
                  </pic:spPr>
                </pic:pic>
              </a:graphicData>
            </a:graphic>
          </wp:inline>
        </w:drawing>
      </w:r>
    </w:p>
    <w:p w14:paraId="3206B9D7" w14:textId="441EDBC3" w:rsidR="00032DA2" w:rsidRDefault="00B7621A" w:rsidP="000C4E83">
      <w:pPr>
        <w:pStyle w:val="DBodyText"/>
        <w:jc w:val="left"/>
        <w:rPr>
          <w:i/>
        </w:rPr>
      </w:pPr>
      <w:r>
        <w:rPr>
          <w:i/>
        </w:rPr>
        <w:t>Figure</w:t>
      </w:r>
      <w:r w:rsidR="00740DC2">
        <w:rPr>
          <w:i/>
        </w:rPr>
        <w:t xml:space="preserve"> 4</w:t>
      </w:r>
      <w:r w:rsidR="00856F01">
        <w:rPr>
          <w:i/>
        </w:rPr>
        <w:t xml:space="preserve"> – Positive co</w:t>
      </w:r>
      <w:r w:rsidR="001138E8">
        <w:rPr>
          <w:i/>
        </w:rPr>
        <w:t>rrelation between the IAA and F</w:t>
      </w:r>
      <w:r w:rsidR="001138E8">
        <w:rPr>
          <w:i/>
          <w:vertAlign w:val="subscript"/>
        </w:rPr>
        <w:t>1</w:t>
      </w:r>
      <w:r w:rsidR="00856F01">
        <w:rPr>
          <w:i/>
        </w:rPr>
        <w:t xml:space="preserve"> measure</w:t>
      </w:r>
      <w:r w:rsidR="006209A2">
        <w:rPr>
          <w:i/>
        </w:rPr>
        <w:t xml:space="preserve"> </w:t>
      </w:r>
      <w:r w:rsidR="0050040E">
        <w:rPr>
          <w:i/>
        </w:rPr>
        <w:t>for all data combined (both systems that do and do not outperform IAA).</w:t>
      </w:r>
    </w:p>
    <w:p w14:paraId="6EE1995C" w14:textId="23B5D745" w:rsidR="00B7621A" w:rsidRPr="000C4E83" w:rsidRDefault="000C4E83" w:rsidP="000C4E83">
      <w:pPr>
        <w:pStyle w:val="DBodyText"/>
        <w:rPr>
          <w:iCs/>
        </w:rPr>
      </w:pPr>
      <w:r>
        <w:rPr>
          <w:iCs/>
        </w:rPr>
        <w:t>Comparing the relationships between inter-annotator agreement and F-measure in the three sets of systems—ones which did out-perform the IAA, ones which did not out-perform the IAA, and the combination of those two, the relationships are the same—significantly positively correlated. This similarity across the three groups suggests that the cases of out-performing the inter-annotator agreement are not just noise.</w:t>
      </w:r>
    </w:p>
    <w:p w14:paraId="33C797CC" w14:textId="5049858C" w:rsidR="00F70FE9" w:rsidRPr="00F70FE9" w:rsidRDefault="00F70FE9" w:rsidP="003648DD">
      <w:pPr>
        <w:pStyle w:val="DTableTitle"/>
        <w:jc w:val="both"/>
      </w:pPr>
      <w:r w:rsidRPr="005C35B6">
        <w:lastRenderedPageBreak/>
        <w:t xml:space="preserve">Table </w:t>
      </w:r>
      <w:r w:rsidR="00ED1233">
        <w:t>3</w:t>
      </w:r>
      <w:r w:rsidR="003648DD">
        <w:t xml:space="preserve"> – Medians of IAA, s</w:t>
      </w:r>
      <w:r>
        <w:t>ystem performance, and the</w:t>
      </w:r>
      <w:r w:rsidR="003648DD">
        <w:t>ir</w:t>
      </w:r>
      <w:r>
        <w:t xml:space="preserve"> dif</w:t>
      </w:r>
      <w:r w:rsidR="00C05784">
        <w:t>ference across all data sets</w:t>
      </w:r>
    </w:p>
    <w:tbl>
      <w:tblPr>
        <w:tblW w:w="5022" w:type="dxa"/>
        <w:tblInd w:w="18" w:type="dxa"/>
        <w:tblLayout w:type="fixed"/>
        <w:tblLook w:val="0000" w:firstRow="0" w:lastRow="0" w:firstColumn="0" w:lastColumn="0" w:noHBand="0" w:noVBand="0"/>
      </w:tblPr>
      <w:tblGrid>
        <w:gridCol w:w="1602"/>
        <w:gridCol w:w="900"/>
        <w:gridCol w:w="1350"/>
        <w:gridCol w:w="1170"/>
      </w:tblGrid>
      <w:tr w:rsidR="00F70FE9" w:rsidRPr="00FB07AC" w14:paraId="45A85C43" w14:textId="77777777" w:rsidTr="00BC4C76">
        <w:tc>
          <w:tcPr>
            <w:tcW w:w="1602" w:type="dxa"/>
            <w:tcBorders>
              <w:top w:val="single" w:sz="4" w:space="0" w:color="auto"/>
              <w:bottom w:val="single" w:sz="4" w:space="0" w:color="auto"/>
            </w:tcBorders>
            <w:vAlign w:val="bottom"/>
          </w:tcPr>
          <w:p w14:paraId="5FB81B70" w14:textId="7961726A" w:rsidR="00F70FE9" w:rsidRPr="00677D7A" w:rsidRDefault="00F70FE9" w:rsidP="005E20B0">
            <w:pPr>
              <w:rPr>
                <w:b/>
                <w:noProof/>
              </w:rPr>
            </w:pPr>
            <w:r>
              <w:rPr>
                <w:b/>
                <w:noProof/>
              </w:rPr>
              <w:t xml:space="preserve">Data </w:t>
            </w:r>
          </w:p>
        </w:tc>
        <w:tc>
          <w:tcPr>
            <w:tcW w:w="900" w:type="dxa"/>
            <w:tcBorders>
              <w:top w:val="single" w:sz="4" w:space="0" w:color="auto"/>
              <w:bottom w:val="single" w:sz="4" w:space="0" w:color="auto"/>
            </w:tcBorders>
            <w:vAlign w:val="bottom"/>
          </w:tcPr>
          <w:p w14:paraId="350184DC" w14:textId="0A577490" w:rsidR="00F70FE9" w:rsidRPr="00677D7A" w:rsidRDefault="00BD6132" w:rsidP="005E20B0">
            <w:pPr>
              <w:rPr>
                <w:b/>
                <w:noProof/>
              </w:rPr>
            </w:pPr>
            <w:r>
              <w:rPr>
                <w:b/>
                <w:noProof/>
              </w:rPr>
              <w:t>Median IAA</w:t>
            </w:r>
          </w:p>
        </w:tc>
        <w:tc>
          <w:tcPr>
            <w:tcW w:w="1350" w:type="dxa"/>
            <w:tcBorders>
              <w:top w:val="single" w:sz="4" w:space="0" w:color="auto"/>
              <w:bottom w:val="single" w:sz="4" w:space="0" w:color="auto"/>
            </w:tcBorders>
            <w:vAlign w:val="bottom"/>
          </w:tcPr>
          <w:p w14:paraId="1652B85A" w14:textId="0BB3409C" w:rsidR="00F70FE9" w:rsidRPr="00677D7A" w:rsidRDefault="00BD6132" w:rsidP="005E20B0">
            <w:pPr>
              <w:rPr>
                <w:b/>
                <w:noProof/>
              </w:rPr>
            </w:pPr>
            <w:r>
              <w:rPr>
                <w:b/>
                <w:noProof/>
              </w:rPr>
              <w:t xml:space="preserve">Median </w:t>
            </w:r>
            <w:r w:rsidR="00F70FE9">
              <w:rPr>
                <w:b/>
                <w:noProof/>
              </w:rPr>
              <w:t>performance</w:t>
            </w:r>
          </w:p>
        </w:tc>
        <w:tc>
          <w:tcPr>
            <w:tcW w:w="1170" w:type="dxa"/>
            <w:tcBorders>
              <w:top w:val="single" w:sz="4" w:space="0" w:color="auto"/>
              <w:bottom w:val="single" w:sz="4" w:space="0" w:color="auto"/>
            </w:tcBorders>
            <w:vAlign w:val="bottom"/>
          </w:tcPr>
          <w:p w14:paraId="7E7712A8" w14:textId="6B6DDA44" w:rsidR="00F70FE9" w:rsidRPr="00677D7A" w:rsidRDefault="00BD6132" w:rsidP="005E20B0">
            <w:pPr>
              <w:rPr>
                <w:b/>
                <w:noProof/>
              </w:rPr>
            </w:pPr>
            <w:r>
              <w:rPr>
                <w:b/>
                <w:noProof/>
              </w:rPr>
              <w:t>Median d</w:t>
            </w:r>
            <w:r w:rsidR="00F70FE9">
              <w:rPr>
                <w:b/>
                <w:noProof/>
              </w:rPr>
              <w:t>ifference</w:t>
            </w:r>
          </w:p>
        </w:tc>
      </w:tr>
      <w:tr w:rsidR="00F70FE9" w:rsidRPr="00FB07AC" w14:paraId="5A0F341A" w14:textId="77777777" w:rsidTr="00BC4C76">
        <w:tc>
          <w:tcPr>
            <w:tcW w:w="1602" w:type="dxa"/>
            <w:tcBorders>
              <w:top w:val="single" w:sz="4" w:space="0" w:color="auto"/>
            </w:tcBorders>
          </w:tcPr>
          <w:p w14:paraId="66E86096" w14:textId="64C4F85B" w:rsidR="00F70FE9" w:rsidRPr="00677D7A" w:rsidRDefault="003648DD" w:rsidP="00F70FE9">
            <w:pPr>
              <w:rPr>
                <w:noProof/>
              </w:rPr>
            </w:pPr>
            <w:r>
              <w:rPr>
                <w:noProof/>
              </w:rPr>
              <w:t>System</w:t>
            </w:r>
            <w:r w:rsidR="00F70FE9">
              <w:rPr>
                <w:noProof/>
              </w:rPr>
              <w:t xml:space="preserve"> &gt; IAA</w:t>
            </w:r>
          </w:p>
        </w:tc>
        <w:tc>
          <w:tcPr>
            <w:tcW w:w="900" w:type="dxa"/>
            <w:tcBorders>
              <w:top w:val="single" w:sz="4" w:space="0" w:color="auto"/>
            </w:tcBorders>
          </w:tcPr>
          <w:p w14:paraId="7BCE4A0F" w14:textId="25C1C1E0" w:rsidR="00F70FE9" w:rsidRPr="00677D7A" w:rsidRDefault="00F70FE9" w:rsidP="00F70FE9">
            <w:pPr>
              <w:rPr>
                <w:noProof/>
              </w:rPr>
            </w:pPr>
            <w:r>
              <w:t>0.75</w:t>
            </w:r>
          </w:p>
        </w:tc>
        <w:tc>
          <w:tcPr>
            <w:tcW w:w="1350" w:type="dxa"/>
            <w:tcBorders>
              <w:top w:val="single" w:sz="4" w:space="0" w:color="auto"/>
            </w:tcBorders>
          </w:tcPr>
          <w:p w14:paraId="33FC0D0C" w14:textId="15378153" w:rsidR="00F70FE9" w:rsidRPr="00677D7A" w:rsidRDefault="00F70FE9" w:rsidP="00F70FE9">
            <w:pPr>
              <w:rPr>
                <w:noProof/>
              </w:rPr>
            </w:pPr>
            <w:r>
              <w:t>0.836</w:t>
            </w:r>
          </w:p>
        </w:tc>
        <w:tc>
          <w:tcPr>
            <w:tcW w:w="1170" w:type="dxa"/>
            <w:tcBorders>
              <w:top w:val="single" w:sz="4" w:space="0" w:color="auto"/>
            </w:tcBorders>
          </w:tcPr>
          <w:p w14:paraId="678D58E7" w14:textId="0D69038E" w:rsidR="00F70FE9" w:rsidRPr="00677D7A" w:rsidRDefault="00F70FE9" w:rsidP="00F70FE9">
            <w:pPr>
              <w:rPr>
                <w:noProof/>
              </w:rPr>
            </w:pPr>
            <w:r>
              <w:t>0.0785</w:t>
            </w:r>
          </w:p>
        </w:tc>
      </w:tr>
      <w:tr w:rsidR="00F70FE9" w:rsidRPr="00FB07AC" w14:paraId="1D89245B" w14:textId="77777777" w:rsidTr="00BC4C76">
        <w:tc>
          <w:tcPr>
            <w:tcW w:w="1602" w:type="dxa"/>
          </w:tcPr>
          <w:p w14:paraId="144E9E91" w14:textId="542F34FD" w:rsidR="00F70FE9" w:rsidRPr="00677D7A" w:rsidRDefault="003648DD" w:rsidP="00F70FE9">
            <w:pPr>
              <w:rPr>
                <w:noProof/>
              </w:rPr>
            </w:pPr>
            <w:r>
              <w:rPr>
                <w:noProof/>
              </w:rPr>
              <w:t xml:space="preserve">System </w:t>
            </w:r>
            <w:r w:rsidR="00F70FE9">
              <w:rPr>
                <w:noProof/>
              </w:rPr>
              <w:t>&lt; IAA</w:t>
            </w:r>
          </w:p>
        </w:tc>
        <w:tc>
          <w:tcPr>
            <w:tcW w:w="900" w:type="dxa"/>
          </w:tcPr>
          <w:p w14:paraId="2725E157" w14:textId="10BA0D1F" w:rsidR="00F70FE9" w:rsidRPr="00677D7A" w:rsidRDefault="00F70FE9" w:rsidP="00F70FE9">
            <w:pPr>
              <w:rPr>
                <w:noProof/>
              </w:rPr>
            </w:pPr>
            <w:r>
              <w:t>0.7647</w:t>
            </w:r>
          </w:p>
        </w:tc>
        <w:tc>
          <w:tcPr>
            <w:tcW w:w="1350" w:type="dxa"/>
          </w:tcPr>
          <w:p w14:paraId="73429713" w14:textId="4C960A05" w:rsidR="00F70FE9" w:rsidRPr="00677D7A" w:rsidRDefault="00F70FE9" w:rsidP="00F70FE9">
            <w:pPr>
              <w:rPr>
                <w:noProof/>
              </w:rPr>
            </w:pPr>
            <w:r>
              <w:t>0.5865</w:t>
            </w:r>
          </w:p>
        </w:tc>
        <w:tc>
          <w:tcPr>
            <w:tcW w:w="1170" w:type="dxa"/>
          </w:tcPr>
          <w:p w14:paraId="5CAAB740" w14:textId="330B3EA7" w:rsidR="00F70FE9" w:rsidRPr="00677D7A" w:rsidRDefault="00F70FE9" w:rsidP="00F70FE9">
            <w:pPr>
              <w:rPr>
                <w:noProof/>
              </w:rPr>
            </w:pPr>
            <w:r>
              <w:t>-0.1655</w:t>
            </w:r>
          </w:p>
        </w:tc>
      </w:tr>
      <w:tr w:rsidR="00F70FE9" w:rsidRPr="00FB07AC" w14:paraId="6A0D31E9" w14:textId="77777777" w:rsidTr="00BC4C76">
        <w:tc>
          <w:tcPr>
            <w:tcW w:w="1602" w:type="dxa"/>
          </w:tcPr>
          <w:p w14:paraId="31446A89" w14:textId="33ACD978" w:rsidR="00F70FE9" w:rsidRPr="00677D7A" w:rsidRDefault="00F70FE9" w:rsidP="00F70FE9">
            <w:pPr>
              <w:rPr>
                <w:noProof/>
              </w:rPr>
            </w:pPr>
            <w:r>
              <w:rPr>
                <w:noProof/>
              </w:rPr>
              <w:t xml:space="preserve">All </w:t>
            </w:r>
            <w:r w:rsidR="00AA13EC">
              <w:rPr>
                <w:noProof/>
              </w:rPr>
              <w:t>systems</w:t>
            </w:r>
          </w:p>
        </w:tc>
        <w:tc>
          <w:tcPr>
            <w:tcW w:w="900" w:type="dxa"/>
          </w:tcPr>
          <w:p w14:paraId="28B7DB71" w14:textId="516F6888" w:rsidR="00F70FE9" w:rsidRPr="00677D7A" w:rsidRDefault="00F70FE9" w:rsidP="00F70FE9">
            <w:pPr>
              <w:rPr>
                <w:noProof/>
              </w:rPr>
            </w:pPr>
            <w:r>
              <w:t>0.7504</w:t>
            </w:r>
          </w:p>
        </w:tc>
        <w:tc>
          <w:tcPr>
            <w:tcW w:w="1350" w:type="dxa"/>
          </w:tcPr>
          <w:p w14:paraId="306A5771" w14:textId="3A09F768" w:rsidR="00F70FE9" w:rsidRPr="00677D7A" w:rsidRDefault="00F70FE9" w:rsidP="00F70FE9">
            <w:pPr>
              <w:rPr>
                <w:noProof/>
              </w:rPr>
            </w:pPr>
            <w:r>
              <w:t>0.6380</w:t>
            </w:r>
          </w:p>
        </w:tc>
        <w:tc>
          <w:tcPr>
            <w:tcW w:w="1170" w:type="dxa"/>
          </w:tcPr>
          <w:p w14:paraId="7AA95846" w14:textId="2B652DFE" w:rsidR="00F70FE9" w:rsidRPr="00677D7A" w:rsidRDefault="00F70FE9" w:rsidP="00F70FE9">
            <w:pPr>
              <w:rPr>
                <w:noProof/>
              </w:rPr>
            </w:pPr>
            <w:r>
              <w:t>-0.1383</w:t>
            </w:r>
          </w:p>
        </w:tc>
      </w:tr>
    </w:tbl>
    <w:p w14:paraId="5112C19B" w14:textId="539B369C" w:rsidR="008F230E" w:rsidRDefault="008F30A7" w:rsidP="008F230E">
      <w:pPr>
        <w:pStyle w:val="ALevelOneHeader"/>
      </w:pPr>
      <w:r>
        <w:t>Discussion</w:t>
      </w:r>
    </w:p>
    <w:p w14:paraId="3915733F" w14:textId="1824B872" w:rsidR="006A7E8D" w:rsidRDefault="00E47144" w:rsidP="00D3369A">
      <w:pPr>
        <w:pStyle w:val="DBodyText"/>
      </w:pPr>
      <w:r>
        <w:t xml:space="preserve">Providing accurate information to the public about technology and research results—as well as making funding decisions—requires the ability to </w:t>
      </w:r>
      <w:r w:rsidR="00D3369A">
        <w:t>accurately</w:t>
      </w:r>
      <w:r>
        <w:t xml:space="preserve"> interpret measures of performance. The data presented here shows that a common standard for assessing natural language processing tools may overestimate their performance: contrary to a widely-shared and hitherto unexamined assumption in the field, inter-annotator agreement is not necessarily the upper bound on performance in na</w:t>
      </w:r>
      <w:r w:rsidR="00077746">
        <w:t>tural language processing. A</w:t>
      </w:r>
      <w:r>
        <w:t xml:space="preserve"> lack of awareness of this can lead to the belief that systems are performing as well as they can, when in fact they are not.</w:t>
      </w:r>
    </w:p>
    <w:p w14:paraId="5D180045" w14:textId="08495DD1" w:rsidR="00BC7D62" w:rsidRDefault="00A90B6F" w:rsidP="00A90B6F">
      <w:pPr>
        <w:pStyle w:val="DBodyText"/>
      </w:pPr>
      <w:r>
        <w:t>B</w:t>
      </w:r>
      <w:r w:rsidR="00537521" w:rsidRPr="00537521">
        <w:t>ased on</w:t>
      </w:r>
      <w:r w:rsidR="00065C09">
        <w:t xml:space="preserve"> two literature searches and</w:t>
      </w:r>
      <w:r w:rsidR="008B467B">
        <w:t xml:space="preserve"> on</w:t>
      </w:r>
      <w:r w:rsidR="00065C09">
        <w:t xml:space="preserve"> </w:t>
      </w:r>
      <w:r w:rsidR="00537521" w:rsidRPr="00537521">
        <w:t xml:space="preserve">the fact that no one ever cites one, </w:t>
      </w:r>
      <w:r w:rsidR="00537521" w:rsidRPr="00537521">
        <w:rPr>
          <w:b/>
          <w:bCs/>
        </w:rPr>
        <w:t>there is no authoritative citation</w:t>
      </w:r>
      <w:r w:rsidR="00537521" w:rsidRPr="00537521">
        <w:t xml:space="preserve"> for the idea that IAA is the upper bound on sys</w:t>
      </w:r>
      <w:r w:rsidR="00065C09">
        <w:t xml:space="preserve">tem performance – </w:t>
      </w:r>
      <w:r w:rsidR="0091610C">
        <w:t>in fact, it has been only</w:t>
      </w:r>
      <w:r w:rsidR="00537521" w:rsidRPr="00537521">
        <w:t xml:space="preserve"> </w:t>
      </w:r>
      <w:r w:rsidR="00537521" w:rsidRPr="00537521">
        <w:rPr>
          <w:b/>
          <w:bCs/>
        </w:rPr>
        <w:t>an untested assumption</w:t>
      </w:r>
      <w:r w:rsidR="00537521" w:rsidRPr="00537521">
        <w:t>.</w:t>
      </w:r>
      <w:r w:rsidR="00537521">
        <w:t xml:space="preserve"> </w:t>
      </w:r>
      <w:r w:rsidR="00764DFC">
        <w:t>If there is some authoritative source that establishes this, then not only have we not been able to find it, but apparently no one else has, either, since no one cites one.</w:t>
      </w:r>
      <w:r w:rsidR="00764DFC">
        <w:t xml:space="preserve"> </w:t>
      </w:r>
    </w:p>
    <w:p w14:paraId="13BFE523" w14:textId="4F62B795" w:rsidR="006812BD" w:rsidRDefault="00BC7D62" w:rsidP="00764DFC">
      <w:pPr>
        <w:pStyle w:val="DBodyText"/>
      </w:pPr>
      <w:r>
        <w:t xml:space="preserve">Despite being an untested assumption, </w:t>
      </w:r>
      <w:r w:rsidRPr="00BC7D62">
        <w:rPr>
          <w:b/>
          <w:bCs/>
        </w:rPr>
        <w:t>i</w:t>
      </w:r>
      <w:r w:rsidR="00537521" w:rsidRPr="00BC7D62">
        <w:rPr>
          <w:b/>
          <w:bCs/>
        </w:rPr>
        <w:t xml:space="preserve">t is </w:t>
      </w:r>
      <w:r w:rsidRPr="00BC7D62">
        <w:rPr>
          <w:b/>
          <w:bCs/>
        </w:rPr>
        <w:t xml:space="preserve">nonetheless </w:t>
      </w:r>
      <w:r w:rsidR="00537521" w:rsidRPr="00BC7D62">
        <w:rPr>
          <w:b/>
          <w:bCs/>
        </w:rPr>
        <w:t>a</w:t>
      </w:r>
      <w:r w:rsidR="00537521">
        <w:t xml:space="preserve"> </w:t>
      </w:r>
      <w:r w:rsidR="00537521">
        <w:rPr>
          <w:b/>
          <w:bCs/>
        </w:rPr>
        <w:t xml:space="preserve">widely-held assumption, </w:t>
      </w:r>
      <w:r w:rsidR="00A457A3">
        <w:t>as shown by the</w:t>
      </w:r>
      <w:r w:rsidR="00537521">
        <w:t xml:space="preserve"> fact that we did not have a</w:t>
      </w:r>
      <w:r w:rsidR="00C67E1C">
        <w:t>ny</w:t>
      </w:r>
      <w:r w:rsidR="00537521">
        <w:t xml:space="preserve"> problem finding multiple explicit statements of it</w:t>
      </w:r>
      <w:r w:rsidR="00967942">
        <w:t>, some of them by the top people in our field</w:t>
      </w:r>
      <w:r w:rsidR="00537521">
        <w:t>.</w:t>
      </w:r>
    </w:p>
    <w:p w14:paraId="615E7421" w14:textId="6F0E6C77" w:rsidR="00764DFC" w:rsidRDefault="00537521" w:rsidP="00764DFC">
      <w:pPr>
        <w:pStyle w:val="DBodyText"/>
      </w:pPr>
      <w:r>
        <w:rPr>
          <w:b/>
          <w:bCs/>
        </w:rPr>
        <w:t xml:space="preserve"> </w:t>
      </w:r>
      <w:r w:rsidR="00391C1C">
        <w:t>Finally, the studies whose results are analyzed in this paper demonstrate that</w:t>
      </w:r>
      <w:r w:rsidRPr="00391C1C">
        <w:t xml:space="preserve"> </w:t>
      </w:r>
      <w:r w:rsidR="00391C1C">
        <w:rPr>
          <w:b/>
          <w:bCs/>
        </w:rPr>
        <w:t>this widely-held assumption</w:t>
      </w:r>
      <w:r w:rsidRPr="00391C1C">
        <w:rPr>
          <w:b/>
          <w:bCs/>
        </w:rPr>
        <w:t xml:space="preserve"> is not true</w:t>
      </w:r>
      <w:r w:rsidR="00391C1C">
        <w:rPr>
          <w:b/>
          <w:bCs/>
        </w:rPr>
        <w:t xml:space="preserve">.  </w:t>
      </w:r>
      <w:r w:rsidR="00391C1C">
        <w:t xml:space="preserve">The distributional characteristics of the results—that is, their correlated, rather than unstructured, nature—suggest that this is a real phenomenon, and not just noise. </w:t>
      </w:r>
      <w:r w:rsidR="00A457A3" w:rsidRPr="00391C1C">
        <w:rPr>
          <w:b/>
          <w:bCs/>
        </w:rPr>
        <w:t xml:space="preserve">We cannot assume </w:t>
      </w:r>
      <w:r w:rsidR="00E74A88" w:rsidRPr="00391C1C">
        <w:rPr>
          <w:b/>
          <w:bCs/>
        </w:rPr>
        <w:t>that the</w:t>
      </w:r>
      <w:r w:rsidR="00BE4300">
        <w:rPr>
          <w:b/>
          <w:bCs/>
        </w:rPr>
        <w:t xml:space="preserve"> inter-annotator agreement</w:t>
      </w:r>
      <w:r w:rsidR="00A457A3" w:rsidRPr="00391C1C">
        <w:rPr>
          <w:b/>
          <w:bCs/>
        </w:rPr>
        <w:t xml:space="preserve"> is an upper</w:t>
      </w:r>
      <w:r w:rsidR="007C1FD7" w:rsidRPr="00391C1C">
        <w:rPr>
          <w:b/>
          <w:bCs/>
        </w:rPr>
        <w:t xml:space="preserve"> </w:t>
      </w:r>
      <w:r w:rsidR="00A457A3" w:rsidRPr="00391C1C">
        <w:rPr>
          <w:b/>
          <w:bCs/>
        </w:rPr>
        <w:t xml:space="preserve">bound on </w:t>
      </w:r>
      <w:r w:rsidR="00E74A88" w:rsidRPr="00391C1C">
        <w:rPr>
          <w:b/>
          <w:bCs/>
        </w:rPr>
        <w:t>system performance</w:t>
      </w:r>
      <w:r w:rsidR="00391C1C">
        <w:rPr>
          <w:b/>
          <w:bCs/>
        </w:rPr>
        <w:t>, and in doing so, we may be over-stating how good natural  language processing systems are.</w:t>
      </w:r>
    </w:p>
    <w:p w14:paraId="257C536E" w14:textId="4361E01F" w:rsidR="00A911BA" w:rsidRDefault="00537521" w:rsidP="00867333">
      <w:pPr>
        <w:pStyle w:val="DBodyText"/>
      </w:pPr>
      <w:r>
        <w:t xml:space="preserve">In some of the </w:t>
      </w:r>
      <w:r w:rsidR="00C367B1">
        <w:t>papers that reported performance better than the inter-annotator agreement, the authors pointe</w:t>
      </w:r>
      <w:r w:rsidR="00EB3316">
        <w:t xml:space="preserve">d </w:t>
      </w:r>
      <w:r w:rsidR="00C367B1">
        <w:t>out explicitly</w:t>
      </w:r>
      <w:r w:rsidR="00EB3316">
        <w:t xml:space="preserve"> the unusualness of that finding</w:t>
      </w:r>
      <w:r w:rsidR="000350C6">
        <w:t>.  Some</w:t>
      </w:r>
      <w:r w:rsidR="00C367B1">
        <w:t xml:space="preserve"> saw this as needing explanation,</w:t>
      </w:r>
      <w:r w:rsidR="00994E5A">
        <w:t xml:space="preserve"> and they suggest explanations that are consistent with typical assumptions about inter-annotator agreement, such as that low inter-annotator </w:t>
      </w:r>
      <w:r w:rsidR="00994E5A">
        <w:t>agreement reflects a poor problem definition, an inherently difficult problem, poor guidelines, or—commonly—</w:t>
      </w:r>
      <w:r w:rsidR="00994E5A">
        <w:t>poor annota</w:t>
      </w:r>
      <w:r w:rsidR="00994E5A">
        <w:t>t</w:t>
      </w:r>
      <w:r w:rsidR="00994E5A">
        <w:t>o</w:t>
      </w:r>
      <w:r w:rsidR="00867333">
        <w:t>rs</w:t>
      </w:r>
      <w:r w:rsidR="00C367B1">
        <w:t xml:space="preserve"> </w:t>
      </w:r>
      <w:r w:rsidR="00D541DD">
        <w:t>[3,7,20,22,23</w:t>
      </w:r>
      <w:r w:rsidR="00247940">
        <w:t>]</w:t>
      </w:r>
      <w:r w:rsidR="00994E5A">
        <w:t xml:space="preserve"> </w:t>
      </w:r>
      <w:r w:rsidR="00994E5A">
        <w:fldChar w:fldCharType="begin"/>
      </w:r>
      <w:r w:rsidR="00994E5A">
        <w:instrText xml:space="preserve"> ADDIN EN.CITE &lt;EndNote&gt;&lt;Cite&gt;&lt;Author&gt;Pérez-Rosas&lt;/Author&gt;&lt;Year&gt;2015&lt;/Year&gt;&lt;RecNum&gt;20&lt;/RecNum&gt;&lt;DisplayText&gt;[16]&lt;/DisplayText&gt;&lt;record&gt;&lt;rec-number&gt;20&lt;/rec-number&gt;&lt;foreign-keys&gt;&lt;key app="EN" db-id="0zprsadv8f2wpbe5v0r5wa0j59xspaf5z5s9" timestamp="1480473283"&gt;20&lt;/key&gt;&lt;/foreign-keys&gt;&lt;ref-type name="Conference Proceedings"&gt;10&lt;/ref-type&gt;&lt;contributors&gt;&lt;authors&gt;&lt;author&gt;Verónica Pérez-Rosas&lt;/author&gt;&lt;author&gt;Mohamed Abouelenien&lt;/author&gt;&lt;author&gt;Rada Mihalcea&lt;/author&gt;&lt;author&gt;Mihai Burzo&lt;/author&gt;&lt;/authors&gt;&lt;subsidiary-authors&gt;&lt;author&gt;ACM&lt;/author&gt;&lt;/subsidiary-authors&gt;&lt;/contributors&gt;&lt;titles&gt;&lt;title&gt;Deception Detection using Real-life Trial Data&lt;/title&gt;&lt;secondary-title&gt;ICMI 2015&lt;/secondary-title&gt;&lt;/titles&gt;&lt;pages&gt;59-66&lt;/pages&gt;&lt;dates&gt;&lt;year&gt;2015&lt;/year&gt;&lt;/dates&gt;&lt;pub-location&gt;New York, NY, USA,&lt;/pub-location&gt;&lt;urls&gt;&lt;/urls&gt;&lt;custom3&gt;In Proceedings of the 2015 ACM on International Conference on Multimodal Interaction&lt;/custom3&gt;&lt;/record&gt;&lt;/Cite&gt;&lt;/EndNote&gt;</w:instrText>
      </w:r>
      <w:r w:rsidR="00994E5A">
        <w:fldChar w:fldCharType="separate"/>
      </w:r>
      <w:r w:rsidR="00994E5A">
        <w:t>[16]</w:t>
      </w:r>
      <w:r w:rsidR="00994E5A">
        <w:fldChar w:fldCharType="end"/>
      </w:r>
      <w:r w:rsidR="00994E5A">
        <w:t xml:space="preserve"> </w:t>
      </w:r>
      <w:r w:rsidR="00994E5A">
        <w:fldChar w:fldCharType="begin"/>
      </w:r>
      <w:r w:rsidR="00994E5A">
        <w:instrText xml:space="preserve"> ADDIN EN.CITE &lt;EndNote&gt;&lt;Cite&gt;&lt;Author&gt;Pustejovsky&lt;/Author&gt;&lt;Year&gt;2013&lt;/Year&gt;&lt;RecNum&gt;2&lt;/RecNum&gt;&lt;DisplayText&gt;[17]&lt;/DisplayText&gt;&lt;record&gt;&lt;rec-number&gt;2&lt;/rec-number&gt;&lt;foreign-keys&gt;&lt;key app="EN" db-id="0zprsadv8f2wpbe5v0r5wa0j59xspaf5z5s9" timestamp="1480465186"&gt;2&lt;/key&gt;&lt;/foreign-keys&gt;&lt;ref-type name="Book"&gt;6&lt;/ref-type&gt;&lt;contributors&gt;&lt;authors&gt;&lt;author&gt;Pustejovsky, J.&lt;/author&gt;&lt;author&gt;Stubbs, Amber&lt;/author&gt;&lt;/authors&gt;&lt;/contributors&gt;&lt;titles&gt;&lt;title&gt;Natural language annotation for machine learning&lt;/title&gt;&lt;/titles&gt;&lt;pages&gt;xiv, 326 p.&lt;/pages&gt;&lt;keywords&gt;&lt;keyword&gt;Natural language processing (Computer science)&lt;/keyword&gt;&lt;keyword&gt;Corpora (Linguistics) Data processing.&lt;/keyword&gt;&lt;keyword&gt;Machine learning.&lt;/keyword&gt;&lt;/keywords&gt;&lt;dates&gt;&lt;year&gt;2013&lt;/year&gt;&lt;/dates&gt;&lt;pub-location&gt;Sebastopol, CA&lt;/pub-location&gt;&lt;publisher&gt;O&amp;apos;Reilly Media ;&lt;/publisher&gt;&lt;isbn&gt;9781449306663 (pbk.)&amp;#xD;1449306667 (pbk.)&lt;/isbn&gt;&lt;accession-num&gt;17613211&lt;/accession-num&gt;&lt;call-num&gt;QA76.9.N38 P87 2013&lt;/call-num&gt;&lt;urls&gt;&lt;/urls&gt;&lt;/record&gt;&lt;/Cite&gt;&lt;/EndNote&gt;</w:instrText>
      </w:r>
      <w:r w:rsidR="00994E5A">
        <w:fldChar w:fldCharType="separate"/>
      </w:r>
      <w:r w:rsidR="00994E5A">
        <w:t>[17]</w:t>
      </w:r>
      <w:r w:rsidR="00994E5A">
        <w:fldChar w:fldCharType="end"/>
      </w:r>
      <w:r w:rsidR="00994E5A">
        <w:t>.</w:t>
      </w:r>
      <w:r w:rsidR="00A911BA">
        <w:t xml:space="preserve"> </w:t>
      </w:r>
    </w:p>
    <w:p w14:paraId="3783260D" w14:textId="031F1C3F" w:rsidR="005B43D1" w:rsidRDefault="002B7B48" w:rsidP="00400FF3">
      <w:pPr>
        <w:pStyle w:val="DBodyText"/>
      </w:pPr>
      <w:r>
        <w:t xml:space="preserve">If inter-annotator agreement does not establish the upper bound for system performance, what </w:t>
      </w:r>
      <w:r>
        <w:rPr>
          <w:i/>
          <w:iCs/>
        </w:rPr>
        <w:t xml:space="preserve">should </w:t>
      </w:r>
      <w:r>
        <w:t xml:space="preserve">we use in estimating the upper bound on system performance? </w:t>
      </w:r>
      <w:r w:rsidR="00D3332F">
        <w:t>Although a definitive answer to that question is outside of the scope of this paper, w</w:t>
      </w:r>
      <w:r w:rsidR="005B43D1">
        <w:t xml:space="preserve">e discuss </w:t>
      </w:r>
      <w:r w:rsidR="00D3332F">
        <w:t>three possible solutions. They are</w:t>
      </w:r>
      <w:r w:rsidR="005B43D1">
        <w:t xml:space="preserve"> based on changing what metric we use to quant</w:t>
      </w:r>
      <w:r w:rsidR="00F0677A">
        <w:t>ify agreement; on changing</w:t>
      </w:r>
      <w:r w:rsidR="005B43D1">
        <w:t xml:space="preserve"> who we define as the raters between whom agreement is being calculated; and </w:t>
      </w:r>
      <w:r w:rsidR="00E00F74">
        <w:t xml:space="preserve">on </w:t>
      </w:r>
      <w:r w:rsidR="005B43D1">
        <w:t>replacing agreement altogether with probabilistic estimates of label quality.</w:t>
      </w:r>
    </w:p>
    <w:p w14:paraId="5CEDB54D" w14:textId="586E9283" w:rsidR="002B7B48" w:rsidRPr="002B7B48" w:rsidRDefault="002B7B48" w:rsidP="00BC2C4E">
      <w:pPr>
        <w:pStyle w:val="DBodyText"/>
      </w:pPr>
      <w:r>
        <w:t xml:space="preserve"> One possibility is that we can safely use inter-annotator agreement if we calculate it as something other than kappa. </w:t>
      </w:r>
      <w:r w:rsidR="0099265C">
        <w:t>Although kappa is the most commonly reported measure of inter-annotator agreement, it has a number of problems. Some of these are essentially cultural—although there are a number of ways to calculate the expected chance agreement that is at the core of its claimed advantages, authors rarely report how they calculated</w:t>
      </w:r>
      <w:r w:rsidR="004666A6">
        <w:t xml:space="preserve"> the expected chance agreement. Consequently, </w:t>
      </w:r>
      <w:r w:rsidR="0099265C">
        <w:lastRenderedPageBreak/>
        <w:t xml:space="preserve">it </w:t>
      </w:r>
      <w:r w:rsidR="004666A6">
        <w:t xml:space="preserve">is </w:t>
      </w:r>
      <w:r w:rsidR="0099265C">
        <w:t>often unclear what the kappa number actually reflects.</w:t>
      </w:r>
      <w:r w:rsidR="004666A6">
        <w:t xml:space="preserve"> When combined with the fact that </w:t>
      </w:r>
      <w:r w:rsidR="00BC2C4E">
        <w:t>the sensitivity of kappa to the probability of estimated chance agreement is unstable—</w:t>
      </w:r>
      <w:r w:rsidR="004666A6">
        <w:t>above</w:t>
      </w:r>
      <w:r w:rsidR="00BC2C4E">
        <w:t xml:space="preserve"> </w:t>
      </w:r>
      <w:r w:rsidR="004666A6">
        <w:t xml:space="preserve"> an estimated chance agreement of about 0.5</w:t>
      </w:r>
      <w:r w:rsidR="00BC2C4E">
        <w:t>,</w:t>
      </w:r>
      <w:r w:rsidR="004666A6">
        <w:t xml:space="preserve"> kappa is </w:t>
      </w:r>
      <w:r w:rsidR="00BC2C4E">
        <w:t>extremely</w:t>
      </w:r>
      <w:r w:rsidR="004666A6">
        <w:t xml:space="preserve"> sensitive to </w:t>
      </w:r>
      <w:r w:rsidR="00BC2C4E">
        <w:t>small changes in the</w:t>
      </w:r>
      <w:r w:rsidR="004666A6">
        <w:t xml:space="preserve"> probability of chance agree</w:t>
      </w:r>
      <w:r w:rsidR="00BC2C4E">
        <w:t>ment, while being relatively insensitive to small changes in the probability of chance agreement below that value—</w:t>
      </w:r>
      <w:r w:rsidR="004666A6">
        <w:t>it is clear that there are many reasons to be suspicious of reliance on this number.</w:t>
      </w:r>
      <w:r w:rsidR="0099265C">
        <w:t xml:space="preserve"> </w:t>
      </w:r>
    </w:p>
    <w:p w14:paraId="5075E0B3" w14:textId="1C9D9F25" w:rsidR="0063447C" w:rsidRDefault="00B71118" w:rsidP="004666A6">
      <w:pPr>
        <w:pStyle w:val="DBodyText"/>
      </w:pPr>
      <w:r>
        <w:t xml:space="preserve">While in the previous paragraph we discuss calculating something other than kappa to characterize inter-annotator agreement, </w:t>
      </w:r>
      <w:r w:rsidR="004666A6">
        <w:t>Bethard et al.</w:t>
      </w:r>
      <w:r w:rsidR="008570D1">
        <w:t xml:space="preserve"> </w:t>
      </w:r>
      <w:r w:rsidR="004666A6">
        <w:fldChar w:fldCharType="begin"/>
      </w:r>
      <w:r w:rsidR="004666A6">
        <w:instrText xml:space="preserve"> ADDIN EN.CITE &lt;EndNote&gt;&lt;Cite&gt;&lt;Author&gt;Bethard&lt;/Author&gt;&lt;Year&gt;2015&lt;/Year&gt;&lt;RecNum&gt;18&lt;/RecNum&gt;&lt;DisplayText&gt;[3]&lt;/DisplayText&gt;&lt;record&gt;&lt;rec-number&gt;18&lt;/rec-number&gt;&lt;foreign-keys&gt;&lt;key app="EN" db-id="0zprsadv8f2wpbe5v0r5wa0j59xspaf5z5s9" timestamp="1480472921"&gt;18&lt;/key&gt;&lt;/foreign-keys&gt;&lt;ref-type name="Conference Proceedings"&gt;10&lt;/ref-type&gt;&lt;contributors&gt;&lt;authors&gt;&lt;author&gt;Steven Bethard&lt;/author&gt;&lt;author&gt;Leon Derczynski&lt;/author&gt;&lt;author&gt;Guergana Savova&lt;/author&gt;&lt;author&gt;James Pustejovsky&lt;/author&gt;&lt;author&gt;Marc Verhagen&lt;/author&gt;&lt;/authors&gt;&lt;/contributors&gt;&lt;titles&gt;&lt;title&gt;SemEval-2015 Task 6: Clinical TempEval&lt;/title&gt;&lt;secondary-title&gt;SemEval 2015&lt;/secondary-title&gt;&lt;/titles&gt;&lt;pages&gt;806-814&lt;/pages&gt;&lt;dates&gt;&lt;year&gt;2015&lt;/year&gt;&lt;pub-dates&gt;&lt;date&gt;June 4-5, 2015&lt;/date&gt;&lt;/pub-dates&gt;&lt;/dates&gt;&lt;pub-location&gt;Denver, Colorado&lt;/pub-location&gt;&lt;urls&gt;&lt;/urls&gt;&lt;custom3&gt;In Proceedings of the 9th International Workshop on Semantic Evaluation &lt;/custom3&gt;&lt;/record&gt;&lt;/Cite&gt;&lt;/EndNote&gt;</w:instrText>
      </w:r>
      <w:r w:rsidR="004666A6">
        <w:fldChar w:fldCharType="separate"/>
      </w:r>
      <w:r w:rsidR="004666A6">
        <w:t>[3]</w:t>
      </w:r>
      <w:r w:rsidR="004666A6">
        <w:fldChar w:fldCharType="end"/>
      </w:r>
      <w:r w:rsidR="004666A6">
        <w:t xml:space="preserve"> </w:t>
      </w:r>
      <w:r w:rsidR="008570D1">
        <w:t xml:space="preserve">suggest changing the definition of the raters, such that rather than calculating agreement between two annotators, we calculate agreement between an annotator and an adjudicator. </w:t>
      </w:r>
      <w:r w:rsidR="004666A6">
        <w:t xml:space="preserve">This may provide an agreement value that is more reflective of the data on which the system will be trained and evaluated, since if adjudicated data is available, that is typically what is </w:t>
      </w:r>
      <w:r w:rsidR="00734089">
        <w:t>used for training and testing</w:t>
      </w:r>
      <w:r w:rsidR="004666A6">
        <w:t>. However, a number of conditions must be met for this to be possible—at minimum, there has to be an adjudication step</w:t>
      </w:r>
      <w:r w:rsidR="00734089">
        <w:t>, which is not always the case</w:t>
      </w:r>
      <w:r w:rsidR="004666A6">
        <w:t xml:space="preserve">. Furthermore, changing the definition of the raters between whom agreement is calculated does not answer the question of how to calculate the agreement between them. </w:t>
      </w:r>
    </w:p>
    <w:p w14:paraId="3B6CFC32" w14:textId="5BF10324" w:rsidR="00AE3FBF" w:rsidRDefault="0063447C" w:rsidP="0063447C">
      <w:pPr>
        <w:pStyle w:val="DBodyText"/>
      </w:pPr>
      <w:r>
        <w:t xml:space="preserve">Finally, </w:t>
      </w:r>
      <w:r w:rsidR="004666A6">
        <w:t>Passoneau and Carpenter suggest abandoning agreement entirely and building a probabilistic annotation model of label quality</w:t>
      </w:r>
      <w:r>
        <w:t xml:space="preserve"> [XXcite].</w:t>
      </w:r>
      <w:r w:rsidR="00E41C4C">
        <w:t xml:space="preserve"> </w:t>
      </w:r>
    </w:p>
    <w:p w14:paraId="74F35EB3" w14:textId="1C2E28E0" w:rsidR="00AE3FBF" w:rsidRDefault="00824B3F" w:rsidP="00DC5FC0">
      <w:pPr>
        <w:pStyle w:val="DBodyText"/>
      </w:pPr>
      <w:r>
        <w:t>In the larger context of responsible conduct of science, t</w:t>
      </w:r>
      <w:r w:rsidR="00DC5FC0">
        <w:t>he findings reported here</w:t>
      </w:r>
      <w:r w:rsidR="00AE3FBF" w:rsidRPr="00AE3FBF">
        <w:t xml:space="preserve"> are relevant to the small but growing body of work on the ethics of </w:t>
      </w:r>
      <w:r w:rsidR="009B6AB6">
        <w:t xml:space="preserve">NLP </w:t>
      </w:r>
      <w:r w:rsidR="009B6AB6">
        <w:fldChar w:fldCharType="begin"/>
      </w:r>
      <w:r w:rsidR="00D541DD">
        <w:instrText xml:space="preserve"> ADDIN EN.CITE &lt;EndNote&gt;&lt;Cite&gt;&lt;Author&gt;Fort&lt;/Author&gt;&lt;Year&gt;2016&lt;/Year&gt;&lt;RecNum&gt;24&lt;/RecNum&gt;&lt;DisplayText&gt;[6]&lt;/DisplayText&gt;&lt;record&gt;&lt;rec-number&gt;24&lt;/rec-number&gt;&lt;foreign-keys&gt;&lt;key app="EN" db-id="0zprsadv8f2wpbe5v0r5wa0j59xspaf5z5s9" timestamp="1481155929"&gt;24&lt;/key&gt;&lt;/foreign-keys&gt;&lt;ref-type name="Journal Article"&gt;17&lt;/ref-type&gt;&lt;contributors&gt;&lt;authors&gt;&lt;author&gt;Karën Fort&lt;/author&gt;&lt;author&gt;Gilles Adda&lt;/author&gt;&lt;author&gt;K. Bretonnel Cohen (accepted)&lt;/author&gt;&lt;/authors&gt;&lt;/contributors&gt;&lt;titles&gt;&lt;title&gt;Éthique et traitement automatique des langues et de la parole: truismes et tabous&lt;/title&gt;&lt;secondary-title&gt;Traitement Automatique des Langues&lt;/secondary-title&gt;&lt;/titles&gt;&lt;periodical&gt;&lt;full-title&gt;Traitement Automatique des Langues&lt;/full-title&gt;&lt;/periodical&gt;&lt;dates&gt;&lt;year&gt;2016&lt;/year&gt;&lt;/dates&gt;&lt;urls&gt;&lt;/urls&gt;&lt;/record&gt;&lt;/Cite&gt;&lt;/EndNote&gt;</w:instrText>
      </w:r>
      <w:r w:rsidR="009B6AB6">
        <w:fldChar w:fldCharType="separate"/>
      </w:r>
      <w:r w:rsidR="00D541DD">
        <w:t>[6]</w:t>
      </w:r>
      <w:r w:rsidR="009B6AB6">
        <w:fldChar w:fldCharType="end"/>
      </w:r>
      <w:r w:rsidR="00AE3FBF">
        <w:t xml:space="preserve">. </w:t>
      </w:r>
      <w:r w:rsidR="00E84AC5">
        <w:t>[XXcite Hovy</w:t>
      </w:r>
      <w:r w:rsidR="00883280">
        <w:t xml:space="preserve"> (both</w:t>
      </w:r>
      <w:bookmarkStart w:id="0" w:name="_GoBack"/>
      <w:bookmarkEnd w:id="0"/>
      <w:r w:rsidR="00883280">
        <w:t>)</w:t>
      </w:r>
      <w:r w:rsidR="00E84AC5">
        <w:t>]</w:t>
      </w:r>
      <w:r w:rsidR="00994E5A">
        <w:t xml:space="preserve"> </w:t>
      </w:r>
      <w:r w:rsidR="00403CE5">
        <w:t>As noted above, t</w:t>
      </w:r>
      <w:r w:rsidR="00AE3FBF" w:rsidRPr="00AE3FBF">
        <w:t xml:space="preserve">he </w:t>
      </w:r>
      <w:r w:rsidR="002C3CB4">
        <w:t>ethical standards of the</w:t>
      </w:r>
      <w:r w:rsidR="00AE3FBF" w:rsidRPr="00AE3FBF">
        <w:t xml:space="preserve"> Association f</w:t>
      </w:r>
      <w:r w:rsidR="00B63FEC">
        <w:t>or Computing Machinery include</w:t>
      </w:r>
      <w:r w:rsidR="00AE3FBF" w:rsidRPr="00AE3FBF">
        <w:t xml:space="preserve"> </w:t>
      </w:r>
      <w:r w:rsidR="00B63FEC">
        <w:t>the responsibility to</w:t>
      </w:r>
      <w:r w:rsidR="009D4B7F">
        <w:t xml:space="preserve"> communicate</w:t>
      </w:r>
      <w:r w:rsidR="00AE3FBF" w:rsidRPr="00AE3FBF">
        <w:t xml:space="preserve"> the </w:t>
      </w:r>
      <w:r w:rsidR="00AE3FBF" w:rsidRPr="00403CE5">
        <w:rPr>
          <w:i/>
          <w:iCs/>
        </w:rPr>
        <w:t>limitations</w:t>
      </w:r>
      <w:r w:rsidR="00AE3FBF">
        <w:t xml:space="preserve"> of computer systems </w:t>
      </w:r>
      <w:r w:rsidR="00057691">
        <w:fldChar w:fldCharType="begin"/>
      </w:r>
      <w:r w:rsidR="00057691">
        <w:instrText xml:space="preserve"> ADDIN EN.CITE &lt;EndNote&gt;&lt;Cite&gt;&lt;Author&gt;Anderson&lt;/Author&gt;&lt;Year&gt;1992&lt;/Year&gt;&lt;RecNum&gt;23&lt;/RecNum&gt;&lt;DisplayText&gt;[1]&lt;/DisplayText&gt;&lt;record&gt;&lt;rec-number&gt;23&lt;/rec-number&gt;&lt;foreign-keys&gt;&lt;key app="EN" db-id="0zprsadv8f2wpbe5v0r5wa0j59xspaf5z5s9" timestamp="1480473991"&gt;23&lt;/key&gt;&lt;/foreign-keys&gt;&lt;ref-type name="Web Page"&gt;12&lt;/ref-type&gt;&lt;contributors&gt;&lt;authors&gt;&lt;author&gt;Ronald E. Anderson&lt;/author&gt;&lt;author&gt;Gerald Engel&lt;/author&gt;&lt;author&gt;Donald Gotterbarn&lt;/author&gt;&lt;author&gt;Grace C. Hertlein&lt;/author&gt;&lt;author&gt;Alex Hoffman&lt;/author&gt;&lt;author&gt;Bruce Jawer&lt;/author&gt;&lt;author&gt;Deborah G. Johnson&lt;/author&gt;&lt;author&gt;Doris K. Lidtke&lt;/author&gt;&lt;author&gt;Joyce Currie Little&lt;/author&gt;&lt;author&gt;Dianne Martin&lt;/author&gt;&lt;author&gt;Donn B. Parker&lt;/author&gt;&lt;author&gt;Judith A. Perrolle&lt;/author&gt;&lt;author&gt;Richard S. Rosenberg&lt;/author&gt;&lt;/authors&gt;&lt;/contributors&gt;&lt;titles&gt;&lt;title&gt;ACM Code of Ethics and Professional Conduct&lt;/title&gt;&lt;/titles&gt;&lt;volume&gt;2016&lt;/volume&gt;&lt;number&gt;11/29/2016&lt;/number&gt;&lt;dates&gt;&lt;year&gt;1992&lt;/year&gt;&lt;/dates&gt;&lt;pub-location&gt;ACM&lt;/pub-location&gt;&lt;urls&gt;&lt;related-urls&gt;&lt;url&gt;https://www.acm.org/about-acm/acm-code-of-ethics-and-professional-conduct&lt;/url&gt;&lt;/related-urls&gt;&lt;/urls&gt;&lt;/record&gt;&lt;/Cite&gt;&lt;/EndNote&gt;</w:instrText>
      </w:r>
      <w:r w:rsidR="00057691">
        <w:fldChar w:fldCharType="separate"/>
      </w:r>
      <w:r w:rsidR="00057691">
        <w:t>[1]</w:t>
      </w:r>
      <w:r w:rsidR="00057691">
        <w:fldChar w:fldCharType="end"/>
      </w:r>
      <w:r w:rsidR="00AE3FBF">
        <w:t xml:space="preserve">. </w:t>
      </w:r>
      <w:r w:rsidR="00D368B6">
        <w:t xml:space="preserve">In reporting performance, there is a common assumption that metrics that approach inter-annotator agreement reflect </w:t>
      </w:r>
      <w:r w:rsidR="00D368B6">
        <w:rPr>
          <w:i/>
          <w:iCs/>
        </w:rPr>
        <w:t xml:space="preserve">high </w:t>
      </w:r>
      <w:r w:rsidR="00D368B6">
        <w:t>performance</w:t>
      </w:r>
      <w:r w:rsidR="00AE3FBF">
        <w:t xml:space="preserve"> </w:t>
      </w:r>
      <w:r w:rsidR="00D541DD">
        <w:t>[7,11</w:t>
      </w:r>
      <w:r w:rsidR="009B6AB6">
        <w:t>,1</w:t>
      </w:r>
      <w:r w:rsidR="00D541DD">
        <w:t>3-15,19</w:t>
      </w:r>
      <w:r w:rsidR="00D368B6">
        <w:t>]. The data reported here suggest that such performance may not be as high as we think it is, relative t</w:t>
      </w:r>
      <w:r w:rsidR="006B0930">
        <w:t>o the best possible performance, suggesting that this assumption can lead—certainly inadvertently—to conduct that does not meet the Association for Computing Machinery standards.</w:t>
      </w:r>
    </w:p>
    <w:p w14:paraId="3C0536B1" w14:textId="77777777" w:rsidR="008F30A7" w:rsidRPr="00FB07AC" w:rsidRDefault="008F30A7" w:rsidP="008F30A7">
      <w:pPr>
        <w:pStyle w:val="ALevelOneHeader"/>
      </w:pPr>
      <w:r>
        <w:t>Conclusion</w:t>
      </w:r>
    </w:p>
    <w:p w14:paraId="7F37A6F7" w14:textId="77E8BCDD" w:rsidR="001211F0" w:rsidRDefault="002D3D58" w:rsidP="002D3D58">
      <w:pPr>
        <w:pStyle w:val="DBodyText"/>
      </w:pPr>
      <w:r>
        <w:t xml:space="preserve">This paper examines a common assumption in natural language processing.  It is shown that the assumption is, indeed, widespread; that there is no established justification for that assumption; and that the assumption is not true. This last point is demonstrated both by multiple counterexamples, and by descriptive statistics that suggest that the counterexamples are not random noise in the larger population of published papers on language processing, but rather reflect a real phenomenon. </w:t>
      </w:r>
      <w:r w:rsidR="009633F2">
        <w:t>Responsible conduct of science will be enhanced by being aware of this.</w:t>
      </w:r>
    </w:p>
    <w:p w14:paraId="44588BAF" w14:textId="77777777" w:rsidR="00316E4E" w:rsidRPr="009E38DC" w:rsidRDefault="00316E4E" w:rsidP="00316E4E">
      <w:pPr>
        <w:pStyle w:val="ALevelOneHeader"/>
      </w:pPr>
      <w:r w:rsidRPr="009E38DC">
        <w:t>Acknowledgements</w:t>
      </w:r>
    </w:p>
    <w:p w14:paraId="403F297F" w14:textId="2DB7CA30" w:rsidR="00D33A9D" w:rsidRPr="00785BE1" w:rsidRDefault="001F69A0" w:rsidP="00C10E24">
      <w:pPr>
        <w:jc w:val="both"/>
      </w:pPr>
      <w:r>
        <w:t>Boguslav is supported by</w:t>
      </w:r>
      <w:r w:rsidR="00785BE1">
        <w:t xml:space="preserve"> the Dean’s Fund at University of Colorado Anschutz Medical. </w:t>
      </w:r>
      <w:r>
        <w:t xml:space="preserve">Cohen is supported by </w:t>
      </w:r>
      <w:r w:rsidR="00785BE1" w:rsidRPr="00785BE1">
        <w:t xml:space="preserve">NIH </w:t>
      </w:r>
      <w:r w:rsidR="009F5D31">
        <w:t xml:space="preserve">grants </w:t>
      </w:r>
      <w:r w:rsidR="00785BE1" w:rsidRPr="00785BE1">
        <w:t>LM008111, LM009254</w:t>
      </w:r>
      <w:r w:rsidR="009F5D31">
        <w:t>,</w:t>
      </w:r>
      <w:r w:rsidR="00785BE1" w:rsidRPr="00785BE1">
        <w:t xml:space="preserve"> and NSF IIS-1207592</w:t>
      </w:r>
      <w:r w:rsidR="009F5D31">
        <w:t xml:space="preserve"> to Lawrence E. Hunter</w:t>
      </w:r>
      <w:r w:rsidR="00762942">
        <w:t xml:space="preserve">, and </w:t>
      </w:r>
      <w:r w:rsidR="00762942" w:rsidRPr="00DC5931">
        <w:t xml:space="preserve">by generous funding from </w:t>
      </w:r>
      <w:r w:rsidR="00762942">
        <w:t>Labex DigiCosme (project ANR11LABEX0045 DIGICOSME) operated by ANR as part of the program « Investissement d'Avenir» Idex ParisSaclay (ANR11 IDEX000302), as well as by a Jean d’Alembert fellowship</w:t>
      </w:r>
      <w:r w:rsidR="00762942" w:rsidRPr="00DC5931">
        <w:t>.</w:t>
      </w:r>
      <w:r w:rsidR="00D7118B">
        <w:t xml:space="preserve"> The work was aided by discussions with Patrick Paroubek, Bob Carpenter, and Tiffany Callahan; all re</w:t>
      </w:r>
      <w:r w:rsidR="00762942">
        <w:t>maining faults are the authors’.</w:t>
      </w:r>
    </w:p>
    <w:p w14:paraId="7F7BDE40" w14:textId="53EFC216" w:rsidR="00316E4E" w:rsidRDefault="00316E4E" w:rsidP="00316E4E">
      <w:pPr>
        <w:pStyle w:val="ALevelOneHeader"/>
      </w:pPr>
      <w:r w:rsidRPr="00FB07AC">
        <w:lastRenderedPageBreak/>
        <w:t>Referenc</w:t>
      </w:r>
      <w:r>
        <w:t>es</w:t>
      </w:r>
    </w:p>
    <w:p w14:paraId="496BEBCF" w14:textId="77777777" w:rsidR="00F5127C" w:rsidRPr="00E47144" w:rsidRDefault="00AD0AC2" w:rsidP="00F5127C">
      <w:pPr>
        <w:pStyle w:val="EndNoteCategoryHeading"/>
        <w:rPr>
          <w:lang w:val="en-US"/>
        </w:rPr>
      </w:pPr>
      <w:r>
        <w:fldChar w:fldCharType="begin"/>
      </w:r>
      <w:r w:rsidRPr="00E47144">
        <w:rPr>
          <w:lang w:val="en-US"/>
        </w:rPr>
        <w:instrText xml:space="preserve"> ADDIN EN.REFLIST </w:instrText>
      </w:r>
      <w:r>
        <w:fldChar w:fldCharType="separate"/>
      </w:r>
      <w:r w:rsidR="00F5127C" w:rsidRPr="00E47144">
        <w:rPr>
          <w:lang w:val="en-US"/>
        </w:rPr>
        <w:t>Uncategorized References</w:t>
      </w:r>
    </w:p>
    <w:p w14:paraId="5CEFFE1C" w14:textId="77777777" w:rsidR="00F5127C" w:rsidRPr="00E47144" w:rsidRDefault="00F5127C" w:rsidP="00F5127C">
      <w:pPr>
        <w:pStyle w:val="EndNoteBibliography"/>
        <w:rPr>
          <w:lang w:val="en-US"/>
        </w:rPr>
      </w:pPr>
      <w:r w:rsidRPr="00E47144">
        <w:rPr>
          <w:lang w:val="en-US"/>
        </w:rPr>
        <w:t>[1]</w:t>
      </w:r>
      <w:r w:rsidRPr="00E47144">
        <w:rPr>
          <w:lang w:val="en-US"/>
        </w:rPr>
        <w:tab/>
        <w:t>R.E. Anderson, G. Engel, D. Gotterbarn, G.C. Hertlein, A. Hoffman, B. Jawer, D.G. Johnson, D.K. Lidtke, J.C. Little, D. Martin, D.B. Parker, J.A. Perrolle, and R.S. Rosenberg, ACM Code of Ethics and Professional Conduct, in, ACM, 1992.</w:t>
      </w:r>
    </w:p>
    <w:p w14:paraId="30EFC177" w14:textId="77777777" w:rsidR="00F5127C" w:rsidRPr="00E47144" w:rsidRDefault="00F5127C" w:rsidP="00F5127C">
      <w:pPr>
        <w:pStyle w:val="EndNoteBibliography"/>
        <w:rPr>
          <w:lang w:val="en-US"/>
        </w:rPr>
      </w:pPr>
      <w:r w:rsidRPr="00E47144">
        <w:rPr>
          <w:lang w:val="en-US"/>
        </w:rPr>
        <w:t>[2]</w:t>
      </w:r>
      <w:r w:rsidRPr="00E47144">
        <w:rPr>
          <w:lang w:val="en-US"/>
        </w:rPr>
        <w:tab/>
        <w:t xml:space="preserve">R. Artstein and M. Poesio, Inter-Coder Agreement for Computational Linguistics, </w:t>
      </w:r>
      <w:r w:rsidRPr="00E47144">
        <w:rPr>
          <w:i/>
          <w:lang w:val="en-US"/>
        </w:rPr>
        <w:t>Association for Computational Linguistics</w:t>
      </w:r>
      <w:r w:rsidRPr="00E47144">
        <w:rPr>
          <w:lang w:val="en-US"/>
        </w:rPr>
        <w:t xml:space="preserve"> </w:t>
      </w:r>
      <w:r w:rsidRPr="00E47144">
        <w:rPr>
          <w:b/>
          <w:lang w:val="en-US"/>
        </w:rPr>
        <w:t>34</w:t>
      </w:r>
      <w:r w:rsidRPr="00E47144">
        <w:rPr>
          <w:lang w:val="en-US"/>
        </w:rPr>
        <w:t xml:space="preserve"> (2008), 555-596.</w:t>
      </w:r>
    </w:p>
    <w:p w14:paraId="22D7C0CA" w14:textId="77777777" w:rsidR="00F5127C" w:rsidRPr="00E47144" w:rsidRDefault="00F5127C" w:rsidP="00F5127C">
      <w:pPr>
        <w:pStyle w:val="EndNoteBibliography"/>
        <w:rPr>
          <w:lang w:val="en-US"/>
        </w:rPr>
      </w:pPr>
      <w:r w:rsidRPr="00E47144">
        <w:rPr>
          <w:lang w:val="en-US"/>
        </w:rPr>
        <w:t>[3]</w:t>
      </w:r>
      <w:r w:rsidRPr="00E47144">
        <w:rPr>
          <w:lang w:val="en-US"/>
        </w:rPr>
        <w:tab/>
        <w:t xml:space="preserve">S. Bethard, L. Derczynski, G. Savova, J. Pustejovsky, and M. Verhagen, SemEval-2015 Task 6: Clinical TempEval, in: </w:t>
      </w:r>
      <w:r w:rsidRPr="00E47144">
        <w:rPr>
          <w:i/>
          <w:lang w:val="en-US"/>
        </w:rPr>
        <w:t>SemEval 2015</w:t>
      </w:r>
      <w:r w:rsidRPr="00E47144">
        <w:rPr>
          <w:lang w:val="en-US"/>
        </w:rPr>
        <w:t>, Denver, Colorado, 2015, pp. 806-814.</w:t>
      </w:r>
    </w:p>
    <w:p w14:paraId="3F3E1BE7" w14:textId="77777777" w:rsidR="00F5127C" w:rsidRPr="00E47144" w:rsidRDefault="00F5127C" w:rsidP="00F5127C">
      <w:pPr>
        <w:pStyle w:val="EndNoteBibliography"/>
        <w:rPr>
          <w:lang w:val="en-US"/>
        </w:rPr>
      </w:pPr>
      <w:r w:rsidRPr="00E47144">
        <w:rPr>
          <w:lang w:val="en-US"/>
        </w:rPr>
        <w:t>[4]</w:t>
      </w:r>
      <w:r w:rsidRPr="00E47144">
        <w:rPr>
          <w:lang w:val="en-US"/>
        </w:rPr>
        <w:tab/>
        <w:t xml:space="preserve">J. Cohen, A Coefficient of Agreement for Nominal Scales, </w:t>
      </w:r>
      <w:r w:rsidRPr="00E47144">
        <w:rPr>
          <w:i/>
          <w:lang w:val="en-US"/>
        </w:rPr>
        <w:t>Educational and Psychological Measurement</w:t>
      </w:r>
      <w:r w:rsidRPr="00E47144">
        <w:rPr>
          <w:lang w:val="en-US"/>
        </w:rPr>
        <w:t xml:space="preserve"> </w:t>
      </w:r>
      <w:r w:rsidRPr="00E47144">
        <w:rPr>
          <w:b/>
          <w:lang w:val="en-US"/>
        </w:rPr>
        <w:t>20</w:t>
      </w:r>
      <w:r w:rsidRPr="00E47144">
        <w:rPr>
          <w:lang w:val="en-US"/>
        </w:rPr>
        <w:t xml:space="preserve"> (1960), 37-46.</w:t>
      </w:r>
    </w:p>
    <w:p w14:paraId="186BC28C" w14:textId="77777777" w:rsidR="00F5127C" w:rsidRPr="00E47144" w:rsidRDefault="00F5127C" w:rsidP="00F5127C">
      <w:pPr>
        <w:pStyle w:val="EndNoteBibliography"/>
        <w:rPr>
          <w:lang w:val="en-US"/>
        </w:rPr>
      </w:pPr>
      <w:r w:rsidRPr="00E47144">
        <w:rPr>
          <w:lang w:val="en-US"/>
        </w:rPr>
        <w:t>[5]</w:t>
      </w:r>
      <w:r w:rsidRPr="00E47144">
        <w:rPr>
          <w:lang w:val="en-US"/>
        </w:rPr>
        <w:tab/>
        <w:t>K.B. Cohen and M. Boguslav, KevinBretonnelCohen/InterAnnotatorAgreement in, GitHub Inc., GitHub, 2016.</w:t>
      </w:r>
    </w:p>
    <w:p w14:paraId="6F07DC86" w14:textId="77777777" w:rsidR="00F5127C" w:rsidRPr="00F5127C" w:rsidRDefault="00F5127C" w:rsidP="00F5127C">
      <w:pPr>
        <w:pStyle w:val="EndNoteBibliography"/>
      </w:pPr>
      <w:r w:rsidRPr="00F5127C">
        <w:t>[6]</w:t>
      </w:r>
      <w:r w:rsidRPr="00F5127C">
        <w:tab/>
        <w:t xml:space="preserve">K. Fort, G. Adda, and K.B.C. (accepted), Éthique et traitement automatique des langues et de la parole: truismes et tabous, </w:t>
      </w:r>
      <w:r w:rsidRPr="00F5127C">
        <w:rPr>
          <w:i/>
        </w:rPr>
        <w:t>Traitement Automatique des Langues</w:t>
      </w:r>
      <w:r w:rsidRPr="00F5127C">
        <w:t xml:space="preserve"> (2016).</w:t>
      </w:r>
    </w:p>
    <w:p w14:paraId="761EA6C6" w14:textId="77777777" w:rsidR="00F5127C" w:rsidRPr="00E47144" w:rsidRDefault="00F5127C" w:rsidP="00F5127C">
      <w:pPr>
        <w:pStyle w:val="EndNoteBibliography"/>
        <w:rPr>
          <w:lang w:val="en-US"/>
        </w:rPr>
      </w:pPr>
      <w:r w:rsidRPr="00E47144">
        <w:rPr>
          <w:lang w:val="en-US"/>
        </w:rPr>
        <w:t>[7]</w:t>
      </w:r>
      <w:r w:rsidRPr="00E47144">
        <w:rPr>
          <w:lang w:val="en-US"/>
        </w:rPr>
        <w:tab/>
        <w:t xml:space="preserve">W. Gale, K.W. Church, and D. Yarowsky, Estimating upper and lower bounds on the performance of word-sense disambiguation programs, in: </w:t>
      </w:r>
      <w:r w:rsidRPr="00E47144">
        <w:rPr>
          <w:i/>
          <w:lang w:val="en-US"/>
        </w:rPr>
        <w:t>annual meeting on Association for Computational Linguistics</w:t>
      </w:r>
      <w:r w:rsidRPr="00E47144">
        <w:rPr>
          <w:lang w:val="en-US"/>
        </w:rPr>
        <w:t>, 1992.</w:t>
      </w:r>
    </w:p>
    <w:p w14:paraId="532E0760" w14:textId="77777777" w:rsidR="00F5127C" w:rsidRPr="00F5127C" w:rsidRDefault="00F5127C" w:rsidP="00F5127C">
      <w:pPr>
        <w:pStyle w:val="EndNoteBibliography"/>
      </w:pPr>
      <w:r w:rsidRPr="00F5127C">
        <w:t>[8]</w:t>
      </w:r>
      <w:r w:rsidRPr="00F5127C">
        <w:tab/>
        <w:t xml:space="preserve">N. Grabar and I. Eshkol-Taravela, Disambiguation of occurrences of reformulation markers c’est-à-dire, disons, ça veut dire, </w:t>
      </w:r>
      <w:r w:rsidRPr="00F5127C">
        <w:rPr>
          <w:i/>
        </w:rPr>
        <w:t>JADT 2016</w:t>
      </w:r>
      <w:r w:rsidRPr="00F5127C">
        <w:t xml:space="preserve"> </w:t>
      </w:r>
      <w:r w:rsidRPr="00F5127C">
        <w:rPr>
          <w:b/>
        </w:rPr>
        <w:t>7</w:t>
      </w:r>
      <w:r w:rsidRPr="00F5127C">
        <w:t xml:space="preserve"> (2016).</w:t>
      </w:r>
    </w:p>
    <w:p w14:paraId="03A23961" w14:textId="77777777" w:rsidR="00F5127C" w:rsidRPr="00E47144" w:rsidRDefault="00F5127C" w:rsidP="00F5127C">
      <w:pPr>
        <w:pStyle w:val="EndNoteBibliography"/>
        <w:rPr>
          <w:lang w:val="en-US"/>
        </w:rPr>
      </w:pPr>
      <w:r w:rsidRPr="00E47144">
        <w:rPr>
          <w:lang w:val="en-US"/>
        </w:rPr>
        <w:t>[9]</w:t>
      </w:r>
      <w:r w:rsidRPr="00E47144">
        <w:rPr>
          <w:lang w:val="en-US"/>
        </w:rPr>
        <w:tab/>
        <w:t xml:space="preserve">P. Jackson and I. Moulinier, </w:t>
      </w:r>
      <w:r w:rsidRPr="00E47144">
        <w:rPr>
          <w:i/>
          <w:lang w:val="en-US"/>
        </w:rPr>
        <w:t>Natural language processing for online applications: text retrieval, extraction, and categorization</w:t>
      </w:r>
      <w:r w:rsidRPr="00E47144">
        <w:rPr>
          <w:lang w:val="en-US"/>
        </w:rPr>
        <w:t>, John Benjamins Publishing Company, Amsterdam, 2007.</w:t>
      </w:r>
    </w:p>
    <w:p w14:paraId="0AC59F1F" w14:textId="77777777" w:rsidR="00F5127C" w:rsidRPr="00E47144" w:rsidRDefault="00F5127C" w:rsidP="00F5127C">
      <w:pPr>
        <w:pStyle w:val="EndNoteBibliography"/>
        <w:rPr>
          <w:lang w:val="en-US"/>
        </w:rPr>
      </w:pPr>
      <w:r w:rsidRPr="00E47144">
        <w:rPr>
          <w:lang w:val="en-US"/>
        </w:rPr>
        <w:t>[10]</w:t>
      </w:r>
      <w:r w:rsidRPr="00E47144">
        <w:rPr>
          <w:lang w:val="en-US"/>
        </w:rPr>
        <w:tab/>
        <w:t xml:space="preserve">A.A. Leenaars, </w:t>
      </w:r>
      <w:r w:rsidRPr="00E47144">
        <w:rPr>
          <w:i/>
          <w:lang w:val="en-US"/>
        </w:rPr>
        <w:t>Sucide Notes: Predictive Clues and Patterns</w:t>
      </w:r>
      <w:r w:rsidRPr="00E47144">
        <w:rPr>
          <w:lang w:val="en-US"/>
        </w:rPr>
        <w:t>, Human Sciences Press, Inc., New York, 1988.</w:t>
      </w:r>
    </w:p>
    <w:p w14:paraId="1EF3EF4B" w14:textId="77777777" w:rsidR="00F5127C" w:rsidRPr="00E47144" w:rsidRDefault="00F5127C" w:rsidP="00F5127C">
      <w:pPr>
        <w:pStyle w:val="EndNoteBibliography"/>
        <w:rPr>
          <w:lang w:val="en-US"/>
        </w:rPr>
      </w:pPr>
      <w:r w:rsidRPr="00E47144">
        <w:rPr>
          <w:lang w:val="en-US"/>
        </w:rPr>
        <w:t>[11]</w:t>
      </w:r>
      <w:r w:rsidRPr="00E47144">
        <w:rPr>
          <w:lang w:val="en-US"/>
        </w:rPr>
        <w:tab/>
        <w:t xml:space="preserve">C.M. Meyer and I. Gurevych, Worth its weight in gold or yet another resource—A comparative study of Wiktionary, OpenThesaurus and GermaNet, in: </w:t>
      </w:r>
      <w:r w:rsidRPr="00E47144">
        <w:rPr>
          <w:i/>
          <w:lang w:val="en-US"/>
        </w:rPr>
        <w:t>Computational linguistics and intelligent text processing</w:t>
      </w:r>
      <w:r w:rsidRPr="00E47144">
        <w:rPr>
          <w:lang w:val="en-US"/>
        </w:rPr>
        <w:t>, Springer Berlin Heidelberg, 2010, pp. 38-49.</w:t>
      </w:r>
    </w:p>
    <w:p w14:paraId="386E621F" w14:textId="77777777" w:rsidR="00F5127C" w:rsidRPr="00E47144" w:rsidRDefault="00F5127C" w:rsidP="00F5127C">
      <w:pPr>
        <w:pStyle w:val="EndNoteBibliography"/>
        <w:rPr>
          <w:lang w:val="en-US"/>
        </w:rPr>
      </w:pPr>
      <w:r w:rsidRPr="00E47144">
        <w:rPr>
          <w:lang w:val="en-US"/>
        </w:rPr>
        <w:t>[12]</w:t>
      </w:r>
      <w:r w:rsidRPr="00E47144">
        <w:rPr>
          <w:lang w:val="en-US"/>
        </w:rPr>
        <w:tab/>
        <w:t xml:space="preserve">M. Mukaka, A guide to appropriate use of Correlation co-efficient in medical research, </w:t>
      </w:r>
      <w:r w:rsidRPr="00E47144">
        <w:rPr>
          <w:i/>
          <w:lang w:val="en-US"/>
        </w:rPr>
        <w:t>Malawi Medical Journal: The Journal of Medical Association of Malawi</w:t>
      </w:r>
      <w:r w:rsidRPr="00E47144">
        <w:rPr>
          <w:lang w:val="en-US"/>
        </w:rPr>
        <w:t xml:space="preserve"> </w:t>
      </w:r>
      <w:r w:rsidRPr="00E47144">
        <w:rPr>
          <w:b/>
          <w:lang w:val="en-US"/>
        </w:rPr>
        <w:t>24</w:t>
      </w:r>
      <w:r w:rsidRPr="00E47144">
        <w:rPr>
          <w:lang w:val="en-US"/>
        </w:rPr>
        <w:t xml:space="preserve"> (2012), 69-71.</w:t>
      </w:r>
    </w:p>
    <w:p w14:paraId="6CCAC6FF" w14:textId="77777777" w:rsidR="00F5127C" w:rsidRPr="00E47144" w:rsidRDefault="00F5127C" w:rsidP="00F5127C">
      <w:pPr>
        <w:pStyle w:val="EndNoteBibliography"/>
        <w:rPr>
          <w:lang w:val="en-US"/>
        </w:rPr>
      </w:pPr>
      <w:r w:rsidRPr="00E47144">
        <w:rPr>
          <w:lang w:val="en-US"/>
        </w:rPr>
        <w:t>[13]</w:t>
      </w:r>
      <w:r w:rsidRPr="00E47144">
        <w:rPr>
          <w:lang w:val="en-US"/>
        </w:rPr>
        <w:tab/>
        <w:t xml:space="preserve">R. Navigli, Meaningful clustering of senses helps boost word sense disambiguation performance, in: </w:t>
      </w:r>
      <w:r w:rsidRPr="00E47144">
        <w:rPr>
          <w:i/>
          <w:lang w:val="en-US"/>
        </w:rPr>
        <w:t>International Conference on Computational Linguistics and the annual meeting of the Association for Computational Linguistics</w:t>
      </w:r>
      <w:r w:rsidRPr="00E47144">
        <w:rPr>
          <w:lang w:val="en-US"/>
        </w:rPr>
        <w:t>, 2006.</w:t>
      </w:r>
    </w:p>
    <w:p w14:paraId="7667E131" w14:textId="77777777" w:rsidR="00F5127C" w:rsidRPr="00E47144" w:rsidRDefault="00F5127C" w:rsidP="00F5127C">
      <w:pPr>
        <w:pStyle w:val="EndNoteBibliography"/>
        <w:rPr>
          <w:lang w:val="en-US"/>
        </w:rPr>
      </w:pPr>
      <w:r w:rsidRPr="00E47144">
        <w:rPr>
          <w:lang w:val="en-US"/>
        </w:rPr>
        <w:t>[14]</w:t>
      </w:r>
      <w:r w:rsidRPr="00E47144">
        <w:rPr>
          <w:lang w:val="en-US"/>
        </w:rPr>
        <w:tab/>
        <w:t xml:space="preserve">O. Ormandjieva, I. Hussain, and L. Kosseim, Toward a text classification system for the quality as-sessment of software requirements written in natural language, in: </w:t>
      </w:r>
      <w:r w:rsidRPr="00E47144">
        <w:rPr>
          <w:i/>
          <w:lang w:val="en-US"/>
        </w:rPr>
        <w:t>Fourth international workshop on Software quality assurance: in conjunction with the 6th ESEC/FSE joint meeting</w:t>
      </w:r>
      <w:r w:rsidRPr="00E47144">
        <w:rPr>
          <w:lang w:val="en-US"/>
        </w:rPr>
        <w:t>, ACM, 2007.</w:t>
      </w:r>
    </w:p>
    <w:p w14:paraId="7D6A21E7" w14:textId="77777777" w:rsidR="00F5127C" w:rsidRPr="00E47144" w:rsidRDefault="00F5127C" w:rsidP="00F5127C">
      <w:pPr>
        <w:pStyle w:val="EndNoteBibliography"/>
        <w:rPr>
          <w:lang w:val="en-US"/>
        </w:rPr>
      </w:pPr>
      <w:r w:rsidRPr="00E47144">
        <w:rPr>
          <w:lang w:val="en-US"/>
        </w:rPr>
        <w:t>[15]</w:t>
      </w:r>
      <w:r w:rsidRPr="00E47144">
        <w:rPr>
          <w:lang w:val="en-US"/>
        </w:rPr>
        <w:tab/>
        <w:t xml:space="preserve">S. Padó and M. Lapata, Cross-linguistic projection of role-semantic information, in: </w:t>
      </w:r>
      <w:r w:rsidRPr="00E47144">
        <w:rPr>
          <w:i/>
          <w:lang w:val="en-US"/>
        </w:rPr>
        <w:t>Proceedings of the conference on Human Language Technology and Empirical Methods in Natural Language Processing - HLT '05</w:t>
      </w:r>
      <w:r w:rsidRPr="00E47144">
        <w:rPr>
          <w:lang w:val="en-US"/>
        </w:rPr>
        <w:t>, 2005, pp. 859-866.</w:t>
      </w:r>
    </w:p>
    <w:p w14:paraId="19F8B672" w14:textId="77777777" w:rsidR="00F5127C" w:rsidRPr="00E47144" w:rsidRDefault="00F5127C" w:rsidP="00F5127C">
      <w:pPr>
        <w:pStyle w:val="EndNoteBibliography"/>
        <w:rPr>
          <w:lang w:val="en-US"/>
        </w:rPr>
      </w:pPr>
      <w:r w:rsidRPr="00E47144">
        <w:rPr>
          <w:lang w:val="en-US"/>
        </w:rPr>
        <w:t>[16]</w:t>
      </w:r>
      <w:r w:rsidRPr="00E47144">
        <w:rPr>
          <w:lang w:val="en-US"/>
        </w:rPr>
        <w:tab/>
        <w:t xml:space="preserve">V. Pérez-Rosas, M. Abouelenien, R. Mihalcea, and M. Burzo, Deception Detection using Real-life Trial Data, in: </w:t>
      </w:r>
      <w:r w:rsidRPr="00E47144">
        <w:rPr>
          <w:i/>
          <w:lang w:val="en-US"/>
        </w:rPr>
        <w:t>ICMI 2015</w:t>
      </w:r>
      <w:r w:rsidRPr="00E47144">
        <w:rPr>
          <w:lang w:val="en-US"/>
        </w:rPr>
        <w:t>, New York, NY, USA,, 2015, pp. 59-66.</w:t>
      </w:r>
    </w:p>
    <w:p w14:paraId="632F6FDA" w14:textId="77777777" w:rsidR="00F5127C" w:rsidRPr="00E47144" w:rsidRDefault="00F5127C" w:rsidP="00F5127C">
      <w:pPr>
        <w:pStyle w:val="EndNoteBibliography"/>
        <w:rPr>
          <w:lang w:val="en-US"/>
        </w:rPr>
      </w:pPr>
      <w:r w:rsidRPr="00E47144">
        <w:rPr>
          <w:lang w:val="en-US"/>
        </w:rPr>
        <w:t>[17]</w:t>
      </w:r>
      <w:r w:rsidRPr="00E47144">
        <w:rPr>
          <w:lang w:val="en-US"/>
        </w:rPr>
        <w:tab/>
        <w:t xml:space="preserve">J. Pustejovsky and A. Stubbs, </w:t>
      </w:r>
      <w:r w:rsidRPr="00E47144">
        <w:rPr>
          <w:i/>
          <w:lang w:val="en-US"/>
        </w:rPr>
        <w:t>Natural language annotation for machine learning</w:t>
      </w:r>
      <w:r w:rsidRPr="00E47144">
        <w:rPr>
          <w:lang w:val="en-US"/>
        </w:rPr>
        <w:t>, O'Reilly Media ;, Sebastopol, CA, 2013.</w:t>
      </w:r>
    </w:p>
    <w:p w14:paraId="73FF31FF" w14:textId="77777777" w:rsidR="00F5127C" w:rsidRPr="00E47144" w:rsidRDefault="00F5127C" w:rsidP="00F5127C">
      <w:pPr>
        <w:pStyle w:val="EndNoteBibliography"/>
        <w:rPr>
          <w:lang w:val="en-US"/>
        </w:rPr>
      </w:pPr>
      <w:r w:rsidRPr="00E47144">
        <w:rPr>
          <w:lang w:val="en-US"/>
        </w:rPr>
        <w:t>[18]</w:t>
      </w:r>
      <w:r w:rsidRPr="00E47144">
        <w:rPr>
          <w:lang w:val="en-US"/>
        </w:rPr>
        <w:tab/>
        <w:t>R-core, cor.test, in, RDocumentation.</w:t>
      </w:r>
    </w:p>
    <w:p w14:paraId="1FDA8657" w14:textId="77777777" w:rsidR="00F5127C" w:rsidRPr="00E47144" w:rsidRDefault="00F5127C" w:rsidP="00F5127C">
      <w:pPr>
        <w:pStyle w:val="EndNoteBibliography"/>
        <w:rPr>
          <w:lang w:val="en-US"/>
        </w:rPr>
      </w:pPr>
      <w:r w:rsidRPr="00E47144">
        <w:rPr>
          <w:lang w:val="en-US"/>
        </w:rPr>
        <w:lastRenderedPageBreak/>
        <w:t>[19]</w:t>
      </w:r>
      <w:r w:rsidRPr="00E47144">
        <w:rPr>
          <w:lang w:val="en-US"/>
        </w:rPr>
        <w:tab/>
        <w:t xml:space="preserve">P. Resnik and J. Lin, Evaluation of NLP Sys-tems, </w:t>
      </w:r>
      <w:r w:rsidRPr="00E47144">
        <w:rPr>
          <w:i/>
          <w:lang w:val="en-US"/>
        </w:rPr>
        <w:t>The handbook of computational linguistics and natural language processing</w:t>
      </w:r>
      <w:r w:rsidRPr="00E47144">
        <w:rPr>
          <w:lang w:val="en-US"/>
        </w:rPr>
        <w:t xml:space="preserve"> </w:t>
      </w:r>
      <w:r w:rsidRPr="00E47144">
        <w:rPr>
          <w:b/>
          <w:lang w:val="en-US"/>
        </w:rPr>
        <w:t>57</w:t>
      </w:r>
      <w:r w:rsidRPr="00E47144">
        <w:rPr>
          <w:lang w:val="en-US"/>
        </w:rPr>
        <w:t xml:space="preserve"> (2010).</w:t>
      </w:r>
    </w:p>
    <w:p w14:paraId="5ACCC55B" w14:textId="77777777" w:rsidR="00F5127C" w:rsidRPr="00E47144" w:rsidRDefault="00F5127C" w:rsidP="00F5127C">
      <w:pPr>
        <w:pStyle w:val="EndNoteBibliography"/>
        <w:rPr>
          <w:lang w:val="en-US"/>
        </w:rPr>
      </w:pPr>
      <w:r w:rsidRPr="00E47144">
        <w:rPr>
          <w:lang w:val="en-US"/>
        </w:rPr>
        <w:t>[20]</w:t>
      </w:r>
      <w:r w:rsidRPr="00E47144">
        <w:rPr>
          <w:lang w:val="en-US"/>
        </w:rPr>
        <w:tab/>
        <w:t xml:space="preserve">A. Roberts, R. Gaizauskas, M. Hepple, and Y. Guo, Combining Terminology Resources and Statistical Methods for Entity Recognition: An Evaluation. , </w:t>
      </w:r>
      <w:r w:rsidRPr="00E47144">
        <w:rPr>
          <w:i/>
          <w:lang w:val="en-US"/>
        </w:rPr>
        <w:t>LREC: European Language Resources Association.</w:t>
      </w:r>
      <w:r w:rsidRPr="00E47144">
        <w:rPr>
          <w:lang w:val="en-US"/>
        </w:rPr>
        <w:t xml:space="preserve"> (2008), 2974-2980.</w:t>
      </w:r>
    </w:p>
    <w:p w14:paraId="6FC3CB7F" w14:textId="77777777" w:rsidR="00F5127C" w:rsidRPr="00E47144" w:rsidRDefault="00F5127C" w:rsidP="00F5127C">
      <w:pPr>
        <w:pStyle w:val="EndNoteBibliography"/>
        <w:rPr>
          <w:lang w:val="en-US"/>
        </w:rPr>
      </w:pPr>
      <w:r w:rsidRPr="00E47144">
        <w:rPr>
          <w:lang w:val="en-US"/>
        </w:rPr>
        <w:t>[21]</w:t>
      </w:r>
      <w:r w:rsidRPr="00E47144">
        <w:rPr>
          <w:lang w:val="en-US"/>
        </w:rPr>
        <w:tab/>
        <w:t xml:space="preserve">S.S. Shapiro and M.B. Wilk, An Analysis of Variance Test for Normality (complete Samples), </w:t>
      </w:r>
      <w:r w:rsidRPr="00E47144">
        <w:rPr>
          <w:i/>
          <w:lang w:val="en-US"/>
        </w:rPr>
        <w:t>Biometrika</w:t>
      </w:r>
      <w:r w:rsidRPr="00E47144">
        <w:rPr>
          <w:lang w:val="en-US"/>
        </w:rPr>
        <w:t xml:space="preserve"> </w:t>
      </w:r>
      <w:r w:rsidRPr="00E47144">
        <w:rPr>
          <w:b/>
          <w:lang w:val="en-US"/>
        </w:rPr>
        <w:t>52</w:t>
      </w:r>
      <w:r w:rsidRPr="00E47144">
        <w:rPr>
          <w:lang w:val="en-US"/>
        </w:rPr>
        <w:t xml:space="preserve"> (1965), 591-611.</w:t>
      </w:r>
    </w:p>
    <w:p w14:paraId="26CE5FE8" w14:textId="77777777" w:rsidR="00F5127C" w:rsidRPr="00E47144" w:rsidRDefault="00F5127C" w:rsidP="00F5127C">
      <w:pPr>
        <w:pStyle w:val="EndNoteBibliography"/>
        <w:rPr>
          <w:lang w:val="en-US"/>
        </w:rPr>
      </w:pPr>
      <w:r w:rsidRPr="00E47144">
        <w:rPr>
          <w:lang w:val="en-US"/>
        </w:rPr>
        <w:t>[22]</w:t>
      </w:r>
      <w:r w:rsidRPr="00E47144">
        <w:rPr>
          <w:lang w:val="en-US"/>
        </w:rPr>
        <w:tab/>
        <w:t>A.S. Vakil, J. Trouvain, and L. Automatic classification of lexical stress errors for German CAPT. In Proceeding of the Workshop on Speech and Language Technology for Education (SLaTE), pp. 47-52., Automatic classification of lexical stress errors for German CAPT</w:t>
      </w:r>
    </w:p>
    <w:p w14:paraId="3D182C52" w14:textId="77777777" w:rsidR="00F5127C" w:rsidRPr="00E47144" w:rsidRDefault="00F5127C" w:rsidP="00F5127C">
      <w:pPr>
        <w:pStyle w:val="EndNoteBibliography"/>
        <w:rPr>
          <w:lang w:val="en-US"/>
        </w:rPr>
      </w:pPr>
      <w:r w:rsidRPr="00E47144">
        <w:rPr>
          <w:lang w:val="en-US"/>
        </w:rPr>
        <w:t xml:space="preserve">in: </w:t>
      </w:r>
      <w:r w:rsidRPr="00E47144">
        <w:rPr>
          <w:i/>
          <w:lang w:val="en-US"/>
        </w:rPr>
        <w:t>SLaTE</w:t>
      </w:r>
      <w:r w:rsidRPr="00E47144">
        <w:rPr>
          <w:lang w:val="en-US"/>
        </w:rPr>
        <w:t>, Leipzig, 2015, pp. 47-52.</w:t>
      </w:r>
    </w:p>
    <w:p w14:paraId="7916051F" w14:textId="77777777" w:rsidR="00F5127C" w:rsidRPr="00E47144" w:rsidRDefault="00F5127C" w:rsidP="00F5127C">
      <w:pPr>
        <w:pStyle w:val="EndNoteBibliography"/>
        <w:rPr>
          <w:lang w:val="en-US"/>
        </w:rPr>
      </w:pPr>
      <w:r w:rsidRPr="00E47144">
        <w:rPr>
          <w:lang w:val="en-US"/>
        </w:rPr>
        <w:t>[23]</w:t>
      </w:r>
      <w:r w:rsidRPr="00E47144">
        <w:rPr>
          <w:lang w:val="en-US"/>
        </w:rPr>
        <w:tab/>
        <w:t xml:space="preserve">J. Zheng, J. Yarzebski, B.P. Ramesh, R.J. Goldberg, and H. Yu, Automatically Detecting Acute Myocardial Infarction Events from EHR Text: A Preliminary Study, </w:t>
      </w:r>
      <w:r w:rsidRPr="00E47144">
        <w:rPr>
          <w:i/>
          <w:lang w:val="en-US"/>
        </w:rPr>
        <w:t>AMIA Annu Symp Proc</w:t>
      </w:r>
      <w:r w:rsidRPr="00E47144">
        <w:rPr>
          <w:lang w:val="en-US"/>
        </w:rPr>
        <w:t xml:space="preserve"> </w:t>
      </w:r>
      <w:r w:rsidRPr="00E47144">
        <w:rPr>
          <w:b/>
          <w:lang w:val="en-US"/>
        </w:rPr>
        <w:t>2014</w:t>
      </w:r>
      <w:r w:rsidRPr="00E47144">
        <w:rPr>
          <w:lang w:val="en-US"/>
        </w:rPr>
        <w:t xml:space="preserve"> (2014), 1286-1293.</w:t>
      </w:r>
    </w:p>
    <w:p w14:paraId="4F465BC9" w14:textId="51EC80CC" w:rsidR="00316E4E" w:rsidRPr="00ED1233" w:rsidRDefault="00AD0AC2" w:rsidP="00F5127C">
      <w:pPr>
        <w:pStyle w:val="ALevelOneHeader"/>
      </w:pPr>
      <w:r>
        <w:fldChar w:fldCharType="end"/>
      </w:r>
      <w:r w:rsidR="00316E4E" w:rsidRPr="00785BE1">
        <w:t>Address for correspondence</w:t>
      </w:r>
    </w:p>
    <w:p w14:paraId="038CE702" w14:textId="7C10E276" w:rsidR="006373EA" w:rsidRDefault="00475C5F" w:rsidP="00ED1233">
      <w:pPr>
        <w:rPr>
          <w:noProof/>
          <w:sz w:val="18"/>
          <w:szCs w:val="18"/>
        </w:rPr>
      </w:pPr>
      <w:r>
        <w:rPr>
          <w:noProof/>
          <w:sz w:val="18"/>
          <w:szCs w:val="18"/>
        </w:rPr>
        <w:t>kevin.c</w:t>
      </w:r>
      <w:r w:rsidR="00785BE1" w:rsidRPr="00785BE1">
        <w:rPr>
          <w:noProof/>
          <w:sz w:val="18"/>
          <w:szCs w:val="18"/>
        </w:rPr>
        <w:t>ohen@gmail.com</w:t>
      </w:r>
    </w:p>
    <w:p w14:paraId="634B855E" w14:textId="75DC6808" w:rsidR="00316E4E" w:rsidRDefault="00316E4E" w:rsidP="006373EA"/>
    <w:sectPr w:rsidR="00316E4E" w:rsidSect="007F64F2">
      <w:type w:val="continuous"/>
      <w:pgSz w:w="11907" w:h="16840" w:code="9"/>
      <w:pgMar w:top="562" w:right="567" w:bottom="562" w:left="567" w:header="0" w:footer="1440" w:gutter="0"/>
      <w:cols w:num="2" w:space="706"/>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4DFF8" w14:textId="77777777" w:rsidR="008443A7" w:rsidRDefault="008443A7">
      <w:r>
        <w:separator/>
      </w:r>
    </w:p>
  </w:endnote>
  <w:endnote w:type="continuationSeparator" w:id="0">
    <w:p w14:paraId="22F63A24" w14:textId="77777777" w:rsidR="008443A7" w:rsidRDefault="00844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C3FFC" w14:textId="77777777" w:rsidR="008443A7" w:rsidRDefault="008443A7">
      <w:r>
        <w:separator/>
      </w:r>
    </w:p>
  </w:footnote>
  <w:footnote w:type="continuationSeparator" w:id="0">
    <w:p w14:paraId="4C401E36" w14:textId="77777777" w:rsidR="008443A7" w:rsidRDefault="008443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F6A33FE"/>
    <w:lvl w:ilvl="0">
      <w:start w:val="1"/>
      <w:numFmt w:val="decimal"/>
      <w:lvlText w:val="%1."/>
      <w:lvlJc w:val="left"/>
      <w:pPr>
        <w:tabs>
          <w:tab w:val="num" w:pos="1800"/>
        </w:tabs>
        <w:ind w:left="1800" w:hanging="360"/>
      </w:pPr>
    </w:lvl>
  </w:abstractNum>
  <w:abstractNum w:abstractNumId="1">
    <w:nsid w:val="FFFFFF7D"/>
    <w:multiLevelType w:val="singleLevel"/>
    <w:tmpl w:val="736C6290"/>
    <w:lvl w:ilvl="0">
      <w:start w:val="1"/>
      <w:numFmt w:val="decimal"/>
      <w:lvlText w:val="%1."/>
      <w:lvlJc w:val="left"/>
      <w:pPr>
        <w:tabs>
          <w:tab w:val="num" w:pos="1440"/>
        </w:tabs>
        <w:ind w:left="1440" w:hanging="360"/>
      </w:pPr>
    </w:lvl>
  </w:abstractNum>
  <w:abstractNum w:abstractNumId="2">
    <w:nsid w:val="FFFFFF7E"/>
    <w:multiLevelType w:val="singleLevel"/>
    <w:tmpl w:val="C6BCB42C"/>
    <w:lvl w:ilvl="0">
      <w:start w:val="1"/>
      <w:numFmt w:val="decimal"/>
      <w:lvlText w:val="%1."/>
      <w:lvlJc w:val="left"/>
      <w:pPr>
        <w:tabs>
          <w:tab w:val="num" w:pos="1080"/>
        </w:tabs>
        <w:ind w:left="1080" w:hanging="360"/>
      </w:pPr>
    </w:lvl>
  </w:abstractNum>
  <w:abstractNum w:abstractNumId="3">
    <w:nsid w:val="FFFFFF7F"/>
    <w:multiLevelType w:val="singleLevel"/>
    <w:tmpl w:val="351E4350"/>
    <w:lvl w:ilvl="0">
      <w:start w:val="1"/>
      <w:numFmt w:val="decimal"/>
      <w:lvlText w:val="%1."/>
      <w:lvlJc w:val="left"/>
      <w:pPr>
        <w:tabs>
          <w:tab w:val="num" w:pos="720"/>
        </w:tabs>
        <w:ind w:left="720" w:hanging="360"/>
      </w:pPr>
    </w:lvl>
  </w:abstractNum>
  <w:abstractNum w:abstractNumId="4">
    <w:nsid w:val="FFFFFF80"/>
    <w:multiLevelType w:val="singleLevel"/>
    <w:tmpl w:val="433253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052D92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B864A1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45CA9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7C1A16"/>
    <w:lvl w:ilvl="0">
      <w:start w:val="1"/>
      <w:numFmt w:val="decimal"/>
      <w:lvlText w:val="%1."/>
      <w:lvlJc w:val="left"/>
      <w:pPr>
        <w:tabs>
          <w:tab w:val="num" w:pos="360"/>
        </w:tabs>
        <w:ind w:left="360" w:hanging="360"/>
      </w:pPr>
    </w:lvl>
  </w:abstractNum>
  <w:abstractNum w:abstractNumId="9">
    <w:nsid w:val="FFFFFF89"/>
    <w:multiLevelType w:val="singleLevel"/>
    <w:tmpl w:val="3BF2044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0BE23E9C"/>
    <w:lvl w:ilvl="0">
      <w:numFmt w:val="bullet"/>
      <w:pStyle w:val="DBulletlevel2"/>
      <w:lvlText w:val="*"/>
      <w:lvlJc w:val="left"/>
    </w:lvl>
  </w:abstractNum>
  <w:abstractNum w:abstractNumId="11">
    <w:nsid w:val="026F7C4A"/>
    <w:multiLevelType w:val="hybridMultilevel"/>
    <w:tmpl w:val="5EAEB7DC"/>
    <w:lvl w:ilvl="0" w:tplc="FD0075E2">
      <w:start w:val="1"/>
      <w:numFmt w:val="bullet"/>
      <w:pStyle w:val="D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E34A8C"/>
    <w:multiLevelType w:val="singleLevel"/>
    <w:tmpl w:val="1846BD48"/>
    <w:lvl w:ilvl="0">
      <w:start w:val="1"/>
      <w:numFmt w:val="decimal"/>
      <w:pStyle w:val="DEnumeratedList"/>
      <w:lvlText w:val="%1."/>
      <w:legacy w:legacy="1" w:legacySpace="0" w:legacyIndent="288"/>
      <w:lvlJc w:val="left"/>
      <w:pPr>
        <w:ind w:left="576" w:hanging="288"/>
      </w:pPr>
      <w:rPr>
        <w:rFonts w:cs="Times New Roman"/>
      </w:rPr>
    </w:lvl>
  </w:abstractNum>
  <w:abstractNum w:abstractNumId="13">
    <w:nsid w:val="238D0E80"/>
    <w:multiLevelType w:val="hybridMultilevel"/>
    <w:tmpl w:val="7E4800BA"/>
    <w:lvl w:ilvl="0" w:tplc="04090001">
      <w:start w:val="1"/>
      <w:numFmt w:val="bullet"/>
      <w:lvlText w:val=""/>
      <w:lvlJc w:val="left"/>
      <w:pPr>
        <w:ind w:left="720" w:hanging="360"/>
      </w:pPr>
      <w:rPr>
        <w:rFonts w:ascii="Symbol" w:hAnsi="Symbol" w:hint="default"/>
      </w:rPr>
    </w:lvl>
    <w:lvl w:ilvl="1" w:tplc="14264A2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8B448C"/>
    <w:multiLevelType w:val="hybridMultilevel"/>
    <w:tmpl w:val="E042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9F2B66"/>
    <w:multiLevelType w:val="hybridMultilevel"/>
    <w:tmpl w:val="483229FC"/>
    <w:lvl w:ilvl="0" w:tplc="2A1014C2">
      <w:start w:val="1"/>
      <w:numFmt w:val="lowerLetter"/>
      <w:lvlText w:val="%1)"/>
      <w:lvlJc w:val="left"/>
      <w:pPr>
        <w:tabs>
          <w:tab w:val="num" w:pos="720"/>
        </w:tabs>
        <w:ind w:left="720" w:hanging="360"/>
      </w:pPr>
    </w:lvl>
    <w:lvl w:ilvl="1" w:tplc="D716F91E">
      <w:start w:val="1"/>
      <w:numFmt w:val="lowerLetter"/>
      <w:lvlText w:val="%2)"/>
      <w:lvlJc w:val="left"/>
      <w:pPr>
        <w:tabs>
          <w:tab w:val="num" w:pos="1440"/>
        </w:tabs>
        <w:ind w:left="1440" w:hanging="360"/>
      </w:pPr>
    </w:lvl>
    <w:lvl w:ilvl="2" w:tplc="7E6A157C" w:tentative="1">
      <w:start w:val="1"/>
      <w:numFmt w:val="lowerLetter"/>
      <w:lvlText w:val="%3)"/>
      <w:lvlJc w:val="left"/>
      <w:pPr>
        <w:tabs>
          <w:tab w:val="num" w:pos="2160"/>
        </w:tabs>
        <w:ind w:left="2160" w:hanging="360"/>
      </w:pPr>
    </w:lvl>
    <w:lvl w:ilvl="3" w:tplc="B8CE3972" w:tentative="1">
      <w:start w:val="1"/>
      <w:numFmt w:val="lowerLetter"/>
      <w:lvlText w:val="%4)"/>
      <w:lvlJc w:val="left"/>
      <w:pPr>
        <w:tabs>
          <w:tab w:val="num" w:pos="2880"/>
        </w:tabs>
        <w:ind w:left="2880" w:hanging="360"/>
      </w:pPr>
    </w:lvl>
    <w:lvl w:ilvl="4" w:tplc="2AC4E9BA" w:tentative="1">
      <w:start w:val="1"/>
      <w:numFmt w:val="lowerLetter"/>
      <w:lvlText w:val="%5)"/>
      <w:lvlJc w:val="left"/>
      <w:pPr>
        <w:tabs>
          <w:tab w:val="num" w:pos="3600"/>
        </w:tabs>
        <w:ind w:left="3600" w:hanging="360"/>
      </w:pPr>
    </w:lvl>
    <w:lvl w:ilvl="5" w:tplc="4BB82AB2" w:tentative="1">
      <w:start w:val="1"/>
      <w:numFmt w:val="lowerLetter"/>
      <w:lvlText w:val="%6)"/>
      <w:lvlJc w:val="left"/>
      <w:pPr>
        <w:tabs>
          <w:tab w:val="num" w:pos="4320"/>
        </w:tabs>
        <w:ind w:left="4320" w:hanging="360"/>
      </w:pPr>
    </w:lvl>
    <w:lvl w:ilvl="6" w:tplc="54EA08AE" w:tentative="1">
      <w:start w:val="1"/>
      <w:numFmt w:val="lowerLetter"/>
      <w:lvlText w:val="%7)"/>
      <w:lvlJc w:val="left"/>
      <w:pPr>
        <w:tabs>
          <w:tab w:val="num" w:pos="5040"/>
        </w:tabs>
        <w:ind w:left="5040" w:hanging="360"/>
      </w:pPr>
    </w:lvl>
    <w:lvl w:ilvl="7" w:tplc="34AAA49C" w:tentative="1">
      <w:start w:val="1"/>
      <w:numFmt w:val="lowerLetter"/>
      <w:lvlText w:val="%8)"/>
      <w:lvlJc w:val="left"/>
      <w:pPr>
        <w:tabs>
          <w:tab w:val="num" w:pos="5760"/>
        </w:tabs>
        <w:ind w:left="5760" w:hanging="360"/>
      </w:pPr>
    </w:lvl>
    <w:lvl w:ilvl="8" w:tplc="5D54DDD8" w:tentative="1">
      <w:start w:val="1"/>
      <w:numFmt w:val="lowerLetter"/>
      <w:lvlText w:val="%9)"/>
      <w:lvlJc w:val="left"/>
      <w:pPr>
        <w:tabs>
          <w:tab w:val="num" w:pos="6480"/>
        </w:tabs>
        <w:ind w:left="6480" w:hanging="360"/>
      </w:pPr>
    </w:lvl>
  </w:abstractNum>
  <w:abstractNum w:abstractNumId="16">
    <w:nsid w:val="62715F33"/>
    <w:multiLevelType w:val="singleLevel"/>
    <w:tmpl w:val="D860569A"/>
    <w:lvl w:ilvl="0">
      <w:start w:val="1"/>
      <w:numFmt w:val="decimal"/>
      <w:lvlText w:val="[%1]"/>
      <w:legacy w:legacy="1" w:legacySpace="0" w:legacyIndent="283"/>
      <w:lvlJc w:val="left"/>
      <w:pPr>
        <w:ind w:left="283" w:hanging="283"/>
      </w:pPr>
      <w:rPr>
        <w:rFonts w:ascii="Times New Roman" w:hAnsi="Times New Roman" w:cs="Times New Roman" w:hint="default"/>
        <w:b w:val="0"/>
        <w:i w:val="0"/>
        <w:sz w:val="20"/>
        <w:u w:val="none"/>
      </w:rPr>
    </w:lvl>
  </w:abstractNum>
  <w:num w:numId="1">
    <w:abstractNumId w:val="10"/>
    <w:lvlOverride w:ilvl="0">
      <w:lvl w:ilvl="0">
        <w:start w:val="1"/>
        <w:numFmt w:val="bullet"/>
        <w:pStyle w:val="DBulletlevel2"/>
        <w:lvlText w:val=""/>
        <w:legacy w:legacy="1" w:legacySpace="0" w:legacyIndent="283"/>
        <w:lvlJc w:val="left"/>
        <w:pPr>
          <w:ind w:left="571" w:hanging="283"/>
        </w:pPr>
        <w:rPr>
          <w:rFonts w:ascii="Symbol" w:hAnsi="Symbol" w:hint="default"/>
        </w:rPr>
      </w:lvl>
    </w:lvlOverride>
  </w:num>
  <w:num w:numId="2">
    <w:abstractNumId w:val="10"/>
    <w:lvlOverride w:ilvl="0">
      <w:lvl w:ilvl="0">
        <w:start w:val="1"/>
        <w:numFmt w:val="bullet"/>
        <w:pStyle w:val="DBulletlevel2"/>
        <w:lvlText w:val=""/>
        <w:legacy w:legacy="1" w:legacySpace="0" w:legacyIndent="283"/>
        <w:lvlJc w:val="left"/>
        <w:pPr>
          <w:ind w:left="1145" w:hanging="283"/>
        </w:pPr>
        <w:rPr>
          <w:rFonts w:ascii="Symbol" w:hAnsi="Symbol" w:hint="default"/>
        </w:rPr>
      </w:lvl>
    </w:lvlOverride>
  </w:num>
  <w:num w:numId="3">
    <w:abstractNumId w:val="12"/>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4"/>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attachedTemplate r:id="rId1"/>
  <w:defaultTabStop w:val="720"/>
  <w:autoHyphenation/>
  <w:consecutiveHyphenLimit w:val="28257"/>
  <w:hyphenationZone w:val="35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OS Press&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0zprsadv8f2wpbe5v0r5wa0j59xspaf5z5s9&quot;&gt;MedInfo_Citations&lt;record-ids&gt;&lt;item&gt;1&lt;/item&gt;&lt;item&gt;2&lt;/item&gt;&lt;item&gt;3&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0E727A"/>
    <w:rsid w:val="00004181"/>
    <w:rsid w:val="000076DB"/>
    <w:rsid w:val="0001095E"/>
    <w:rsid w:val="00012689"/>
    <w:rsid w:val="000161B1"/>
    <w:rsid w:val="000207DB"/>
    <w:rsid w:val="0002331A"/>
    <w:rsid w:val="00027EC8"/>
    <w:rsid w:val="00032DA2"/>
    <w:rsid w:val="00034915"/>
    <w:rsid w:val="000350C6"/>
    <w:rsid w:val="00051288"/>
    <w:rsid w:val="00057691"/>
    <w:rsid w:val="00064126"/>
    <w:rsid w:val="00065C09"/>
    <w:rsid w:val="00071C57"/>
    <w:rsid w:val="00074739"/>
    <w:rsid w:val="00077746"/>
    <w:rsid w:val="000826D6"/>
    <w:rsid w:val="00086506"/>
    <w:rsid w:val="0009087D"/>
    <w:rsid w:val="00092FDE"/>
    <w:rsid w:val="000A0412"/>
    <w:rsid w:val="000B18F4"/>
    <w:rsid w:val="000B1D12"/>
    <w:rsid w:val="000B3B29"/>
    <w:rsid w:val="000B3BBF"/>
    <w:rsid w:val="000B4F14"/>
    <w:rsid w:val="000C2055"/>
    <w:rsid w:val="000C4E83"/>
    <w:rsid w:val="000C57D1"/>
    <w:rsid w:val="000C64ED"/>
    <w:rsid w:val="000D3B40"/>
    <w:rsid w:val="000D4213"/>
    <w:rsid w:val="000E34F0"/>
    <w:rsid w:val="000E727A"/>
    <w:rsid w:val="000F1108"/>
    <w:rsid w:val="000F59AF"/>
    <w:rsid w:val="000F6DB2"/>
    <w:rsid w:val="00103559"/>
    <w:rsid w:val="00104050"/>
    <w:rsid w:val="001138E8"/>
    <w:rsid w:val="00116055"/>
    <w:rsid w:val="00116B1A"/>
    <w:rsid w:val="001211F0"/>
    <w:rsid w:val="0012276C"/>
    <w:rsid w:val="001245FD"/>
    <w:rsid w:val="00135553"/>
    <w:rsid w:val="00135DB2"/>
    <w:rsid w:val="001369EC"/>
    <w:rsid w:val="00142576"/>
    <w:rsid w:val="0014378D"/>
    <w:rsid w:val="00151BBB"/>
    <w:rsid w:val="00155E11"/>
    <w:rsid w:val="00160CA4"/>
    <w:rsid w:val="00160CF9"/>
    <w:rsid w:val="00161C0D"/>
    <w:rsid w:val="00162571"/>
    <w:rsid w:val="00162A4B"/>
    <w:rsid w:val="00164A63"/>
    <w:rsid w:val="0017289A"/>
    <w:rsid w:val="00173825"/>
    <w:rsid w:val="001751EF"/>
    <w:rsid w:val="00177508"/>
    <w:rsid w:val="0018118A"/>
    <w:rsid w:val="001829BD"/>
    <w:rsid w:val="001879F3"/>
    <w:rsid w:val="00192D30"/>
    <w:rsid w:val="00195C9A"/>
    <w:rsid w:val="001A3602"/>
    <w:rsid w:val="001B7E1A"/>
    <w:rsid w:val="001C5539"/>
    <w:rsid w:val="001C64B5"/>
    <w:rsid w:val="001D33E1"/>
    <w:rsid w:val="001D3ABE"/>
    <w:rsid w:val="001D3E98"/>
    <w:rsid w:val="001D4B4C"/>
    <w:rsid w:val="001D523D"/>
    <w:rsid w:val="001E1B4A"/>
    <w:rsid w:val="001E2F2B"/>
    <w:rsid w:val="001E6FEF"/>
    <w:rsid w:val="001F0C1E"/>
    <w:rsid w:val="001F24F0"/>
    <w:rsid w:val="001F281F"/>
    <w:rsid w:val="001F3A06"/>
    <w:rsid w:val="001F49F3"/>
    <w:rsid w:val="001F69A0"/>
    <w:rsid w:val="002027F0"/>
    <w:rsid w:val="00207733"/>
    <w:rsid w:val="0022364C"/>
    <w:rsid w:val="00223FF0"/>
    <w:rsid w:val="0022785A"/>
    <w:rsid w:val="00236B35"/>
    <w:rsid w:val="00240A5B"/>
    <w:rsid w:val="002412C2"/>
    <w:rsid w:val="00241756"/>
    <w:rsid w:val="00246F1C"/>
    <w:rsid w:val="00247940"/>
    <w:rsid w:val="0025126A"/>
    <w:rsid w:val="0025401F"/>
    <w:rsid w:val="00262594"/>
    <w:rsid w:val="00270331"/>
    <w:rsid w:val="00273D48"/>
    <w:rsid w:val="00276D9A"/>
    <w:rsid w:val="00280EDB"/>
    <w:rsid w:val="00281339"/>
    <w:rsid w:val="00283D7B"/>
    <w:rsid w:val="0028530A"/>
    <w:rsid w:val="002879F9"/>
    <w:rsid w:val="00291E58"/>
    <w:rsid w:val="00292A16"/>
    <w:rsid w:val="00297324"/>
    <w:rsid w:val="002A0370"/>
    <w:rsid w:val="002B0D21"/>
    <w:rsid w:val="002B3887"/>
    <w:rsid w:val="002B409A"/>
    <w:rsid w:val="002B7B48"/>
    <w:rsid w:val="002C1BF7"/>
    <w:rsid w:val="002C3CB4"/>
    <w:rsid w:val="002C5888"/>
    <w:rsid w:val="002C6D7F"/>
    <w:rsid w:val="002C71F8"/>
    <w:rsid w:val="002D3D58"/>
    <w:rsid w:val="002E3E86"/>
    <w:rsid w:val="002E6CAB"/>
    <w:rsid w:val="002F24A5"/>
    <w:rsid w:val="00300121"/>
    <w:rsid w:val="0030047D"/>
    <w:rsid w:val="00314EAF"/>
    <w:rsid w:val="00314FD1"/>
    <w:rsid w:val="00316E4E"/>
    <w:rsid w:val="0031795D"/>
    <w:rsid w:val="00320E5D"/>
    <w:rsid w:val="00327816"/>
    <w:rsid w:val="00331C6D"/>
    <w:rsid w:val="00337439"/>
    <w:rsid w:val="003405B3"/>
    <w:rsid w:val="00343769"/>
    <w:rsid w:val="0034587F"/>
    <w:rsid w:val="003509E1"/>
    <w:rsid w:val="003648DD"/>
    <w:rsid w:val="0037068B"/>
    <w:rsid w:val="00372017"/>
    <w:rsid w:val="003758B1"/>
    <w:rsid w:val="003809CE"/>
    <w:rsid w:val="00391C1C"/>
    <w:rsid w:val="00392AFA"/>
    <w:rsid w:val="003940F5"/>
    <w:rsid w:val="00396D74"/>
    <w:rsid w:val="003B137A"/>
    <w:rsid w:val="003B56EF"/>
    <w:rsid w:val="003B7D3C"/>
    <w:rsid w:val="003C2296"/>
    <w:rsid w:val="003C388C"/>
    <w:rsid w:val="003C3DD9"/>
    <w:rsid w:val="003D2956"/>
    <w:rsid w:val="003D356D"/>
    <w:rsid w:val="003D5F53"/>
    <w:rsid w:val="003E1E4B"/>
    <w:rsid w:val="003E28ED"/>
    <w:rsid w:val="003F1B3D"/>
    <w:rsid w:val="003F7E0F"/>
    <w:rsid w:val="00400651"/>
    <w:rsid w:val="00400FF3"/>
    <w:rsid w:val="00403470"/>
    <w:rsid w:val="00403CE5"/>
    <w:rsid w:val="0040684D"/>
    <w:rsid w:val="004105CF"/>
    <w:rsid w:val="00410812"/>
    <w:rsid w:val="004178D9"/>
    <w:rsid w:val="004253AF"/>
    <w:rsid w:val="00426573"/>
    <w:rsid w:val="00436B89"/>
    <w:rsid w:val="00445C01"/>
    <w:rsid w:val="004471C9"/>
    <w:rsid w:val="00453665"/>
    <w:rsid w:val="004666A6"/>
    <w:rsid w:val="00471D54"/>
    <w:rsid w:val="004725FE"/>
    <w:rsid w:val="00474A4B"/>
    <w:rsid w:val="00475C5F"/>
    <w:rsid w:val="00483099"/>
    <w:rsid w:val="00491A02"/>
    <w:rsid w:val="0049735B"/>
    <w:rsid w:val="004A08B8"/>
    <w:rsid w:val="004A59F7"/>
    <w:rsid w:val="004B1962"/>
    <w:rsid w:val="004B2A10"/>
    <w:rsid w:val="004B4512"/>
    <w:rsid w:val="004B58BF"/>
    <w:rsid w:val="004D28C1"/>
    <w:rsid w:val="004D2C23"/>
    <w:rsid w:val="004D52F0"/>
    <w:rsid w:val="004E2304"/>
    <w:rsid w:val="004E7CCB"/>
    <w:rsid w:val="004F2AB6"/>
    <w:rsid w:val="004F63FE"/>
    <w:rsid w:val="004F69EA"/>
    <w:rsid w:val="004F7207"/>
    <w:rsid w:val="0050040E"/>
    <w:rsid w:val="00504386"/>
    <w:rsid w:val="00511081"/>
    <w:rsid w:val="0052154F"/>
    <w:rsid w:val="00537521"/>
    <w:rsid w:val="00541000"/>
    <w:rsid w:val="00545108"/>
    <w:rsid w:val="00550D6A"/>
    <w:rsid w:val="00556981"/>
    <w:rsid w:val="0055752B"/>
    <w:rsid w:val="00560AEC"/>
    <w:rsid w:val="00561679"/>
    <w:rsid w:val="0056172B"/>
    <w:rsid w:val="00561EBD"/>
    <w:rsid w:val="00573745"/>
    <w:rsid w:val="00577C98"/>
    <w:rsid w:val="00581235"/>
    <w:rsid w:val="0058161D"/>
    <w:rsid w:val="00586C08"/>
    <w:rsid w:val="005877E2"/>
    <w:rsid w:val="00594931"/>
    <w:rsid w:val="00594C49"/>
    <w:rsid w:val="005951A6"/>
    <w:rsid w:val="0059647C"/>
    <w:rsid w:val="005A1BA1"/>
    <w:rsid w:val="005A254D"/>
    <w:rsid w:val="005A38A6"/>
    <w:rsid w:val="005A62AF"/>
    <w:rsid w:val="005B00C2"/>
    <w:rsid w:val="005B43D1"/>
    <w:rsid w:val="005B66AD"/>
    <w:rsid w:val="005C1CE3"/>
    <w:rsid w:val="005C35B6"/>
    <w:rsid w:val="005D5684"/>
    <w:rsid w:val="005E14AB"/>
    <w:rsid w:val="005E20B0"/>
    <w:rsid w:val="005E2474"/>
    <w:rsid w:val="005E71A3"/>
    <w:rsid w:val="005E75F6"/>
    <w:rsid w:val="005F1B73"/>
    <w:rsid w:val="005F2EE4"/>
    <w:rsid w:val="005F61CA"/>
    <w:rsid w:val="006064A0"/>
    <w:rsid w:val="00607999"/>
    <w:rsid w:val="0061081C"/>
    <w:rsid w:val="00611A93"/>
    <w:rsid w:val="0061551C"/>
    <w:rsid w:val="00615AE2"/>
    <w:rsid w:val="00617F60"/>
    <w:rsid w:val="006209A2"/>
    <w:rsid w:val="006218AE"/>
    <w:rsid w:val="00623438"/>
    <w:rsid w:val="006334C4"/>
    <w:rsid w:val="0063447C"/>
    <w:rsid w:val="00634CDD"/>
    <w:rsid w:val="006350E1"/>
    <w:rsid w:val="006373EA"/>
    <w:rsid w:val="0063743D"/>
    <w:rsid w:val="00637A96"/>
    <w:rsid w:val="00646C05"/>
    <w:rsid w:val="00651F28"/>
    <w:rsid w:val="00660DB6"/>
    <w:rsid w:val="00661ED8"/>
    <w:rsid w:val="00662D84"/>
    <w:rsid w:val="00664CE6"/>
    <w:rsid w:val="0067025F"/>
    <w:rsid w:val="00675429"/>
    <w:rsid w:val="00676653"/>
    <w:rsid w:val="00677D7A"/>
    <w:rsid w:val="00680354"/>
    <w:rsid w:val="00680E6B"/>
    <w:rsid w:val="006812BD"/>
    <w:rsid w:val="00682543"/>
    <w:rsid w:val="00682FD0"/>
    <w:rsid w:val="0069195B"/>
    <w:rsid w:val="006920EF"/>
    <w:rsid w:val="006A5FCD"/>
    <w:rsid w:val="006A7E8D"/>
    <w:rsid w:val="006B0930"/>
    <w:rsid w:val="006B4CF2"/>
    <w:rsid w:val="006B6C91"/>
    <w:rsid w:val="006C2589"/>
    <w:rsid w:val="006D1D3C"/>
    <w:rsid w:val="006D7F0F"/>
    <w:rsid w:val="006E0FDB"/>
    <w:rsid w:val="006E286D"/>
    <w:rsid w:val="006E5384"/>
    <w:rsid w:val="006F0469"/>
    <w:rsid w:val="006F20EA"/>
    <w:rsid w:val="00700093"/>
    <w:rsid w:val="00704068"/>
    <w:rsid w:val="00706B4C"/>
    <w:rsid w:val="00707676"/>
    <w:rsid w:val="007112C5"/>
    <w:rsid w:val="0071145A"/>
    <w:rsid w:val="00711787"/>
    <w:rsid w:val="0071357A"/>
    <w:rsid w:val="007172F4"/>
    <w:rsid w:val="00722593"/>
    <w:rsid w:val="00722C4E"/>
    <w:rsid w:val="00722FF6"/>
    <w:rsid w:val="00726A16"/>
    <w:rsid w:val="00726B6A"/>
    <w:rsid w:val="00734089"/>
    <w:rsid w:val="00740DC2"/>
    <w:rsid w:val="0074588A"/>
    <w:rsid w:val="00752E7A"/>
    <w:rsid w:val="00757E80"/>
    <w:rsid w:val="00762942"/>
    <w:rsid w:val="00764DFC"/>
    <w:rsid w:val="00764E3C"/>
    <w:rsid w:val="00765C11"/>
    <w:rsid w:val="0077223C"/>
    <w:rsid w:val="00772ED4"/>
    <w:rsid w:val="00785BE1"/>
    <w:rsid w:val="007900A9"/>
    <w:rsid w:val="00792EB1"/>
    <w:rsid w:val="007938BB"/>
    <w:rsid w:val="00793A82"/>
    <w:rsid w:val="007A240D"/>
    <w:rsid w:val="007A2752"/>
    <w:rsid w:val="007A3C3A"/>
    <w:rsid w:val="007A3C49"/>
    <w:rsid w:val="007B1B83"/>
    <w:rsid w:val="007B4AEE"/>
    <w:rsid w:val="007B7F4F"/>
    <w:rsid w:val="007C0C7A"/>
    <w:rsid w:val="007C1FD7"/>
    <w:rsid w:val="007C76D7"/>
    <w:rsid w:val="007D5E46"/>
    <w:rsid w:val="007D6736"/>
    <w:rsid w:val="007D7ECF"/>
    <w:rsid w:val="007E12B9"/>
    <w:rsid w:val="007E3D06"/>
    <w:rsid w:val="007E5158"/>
    <w:rsid w:val="007E7F70"/>
    <w:rsid w:val="007F191E"/>
    <w:rsid w:val="007F1D3B"/>
    <w:rsid w:val="007F64F2"/>
    <w:rsid w:val="008028F3"/>
    <w:rsid w:val="008069D1"/>
    <w:rsid w:val="0080791A"/>
    <w:rsid w:val="00812203"/>
    <w:rsid w:val="008209EB"/>
    <w:rsid w:val="00821806"/>
    <w:rsid w:val="00822BA3"/>
    <w:rsid w:val="00824B3F"/>
    <w:rsid w:val="00827BDE"/>
    <w:rsid w:val="00833E12"/>
    <w:rsid w:val="00836D68"/>
    <w:rsid w:val="00840DDC"/>
    <w:rsid w:val="008412BE"/>
    <w:rsid w:val="008443A7"/>
    <w:rsid w:val="00847E32"/>
    <w:rsid w:val="00856F01"/>
    <w:rsid w:val="008570D1"/>
    <w:rsid w:val="00860E63"/>
    <w:rsid w:val="00867333"/>
    <w:rsid w:val="00873B93"/>
    <w:rsid w:val="00876A67"/>
    <w:rsid w:val="00877B8D"/>
    <w:rsid w:val="00880E59"/>
    <w:rsid w:val="008827C4"/>
    <w:rsid w:val="00882F06"/>
    <w:rsid w:val="00883280"/>
    <w:rsid w:val="00884831"/>
    <w:rsid w:val="00890C91"/>
    <w:rsid w:val="00892F71"/>
    <w:rsid w:val="00897799"/>
    <w:rsid w:val="008A0C6E"/>
    <w:rsid w:val="008A3E7F"/>
    <w:rsid w:val="008A6E90"/>
    <w:rsid w:val="008A7BC9"/>
    <w:rsid w:val="008B411F"/>
    <w:rsid w:val="008B467B"/>
    <w:rsid w:val="008B5715"/>
    <w:rsid w:val="008C0B7D"/>
    <w:rsid w:val="008C5753"/>
    <w:rsid w:val="008D283F"/>
    <w:rsid w:val="008E14DE"/>
    <w:rsid w:val="008E568D"/>
    <w:rsid w:val="008F175A"/>
    <w:rsid w:val="008F1B19"/>
    <w:rsid w:val="008F2292"/>
    <w:rsid w:val="008F230E"/>
    <w:rsid w:val="008F30A7"/>
    <w:rsid w:val="008F3AF0"/>
    <w:rsid w:val="008F4126"/>
    <w:rsid w:val="008F4A76"/>
    <w:rsid w:val="009009E6"/>
    <w:rsid w:val="0090285B"/>
    <w:rsid w:val="00903EF3"/>
    <w:rsid w:val="00905B63"/>
    <w:rsid w:val="00910453"/>
    <w:rsid w:val="00911E3F"/>
    <w:rsid w:val="00915FB2"/>
    <w:rsid w:val="0091610C"/>
    <w:rsid w:val="00920FEE"/>
    <w:rsid w:val="00921908"/>
    <w:rsid w:val="009222FB"/>
    <w:rsid w:val="00922325"/>
    <w:rsid w:val="00922DE5"/>
    <w:rsid w:val="0092383D"/>
    <w:rsid w:val="00933116"/>
    <w:rsid w:val="0094491F"/>
    <w:rsid w:val="00953F33"/>
    <w:rsid w:val="00956D2F"/>
    <w:rsid w:val="00963024"/>
    <w:rsid w:val="009633F2"/>
    <w:rsid w:val="00964C4F"/>
    <w:rsid w:val="00966857"/>
    <w:rsid w:val="00967942"/>
    <w:rsid w:val="0096795D"/>
    <w:rsid w:val="009706C5"/>
    <w:rsid w:val="00971ABA"/>
    <w:rsid w:val="009729F9"/>
    <w:rsid w:val="00976CAF"/>
    <w:rsid w:val="00980168"/>
    <w:rsid w:val="00983FB5"/>
    <w:rsid w:val="0098520A"/>
    <w:rsid w:val="009854CF"/>
    <w:rsid w:val="0099265C"/>
    <w:rsid w:val="00994E5A"/>
    <w:rsid w:val="009A2C04"/>
    <w:rsid w:val="009A49ED"/>
    <w:rsid w:val="009A55CC"/>
    <w:rsid w:val="009A6B2E"/>
    <w:rsid w:val="009B6AB6"/>
    <w:rsid w:val="009C06F0"/>
    <w:rsid w:val="009C5400"/>
    <w:rsid w:val="009C5AF6"/>
    <w:rsid w:val="009D4B7F"/>
    <w:rsid w:val="009D4DDC"/>
    <w:rsid w:val="009D7A14"/>
    <w:rsid w:val="009E38DC"/>
    <w:rsid w:val="009E651D"/>
    <w:rsid w:val="009F27E7"/>
    <w:rsid w:val="009F2CFA"/>
    <w:rsid w:val="009F2D4B"/>
    <w:rsid w:val="009F5427"/>
    <w:rsid w:val="009F5D31"/>
    <w:rsid w:val="00A053F1"/>
    <w:rsid w:val="00A05AF3"/>
    <w:rsid w:val="00A05FD2"/>
    <w:rsid w:val="00A07C4D"/>
    <w:rsid w:val="00A118E8"/>
    <w:rsid w:val="00A16E86"/>
    <w:rsid w:val="00A22743"/>
    <w:rsid w:val="00A30333"/>
    <w:rsid w:val="00A4008D"/>
    <w:rsid w:val="00A41081"/>
    <w:rsid w:val="00A41B22"/>
    <w:rsid w:val="00A457A3"/>
    <w:rsid w:val="00A46CF8"/>
    <w:rsid w:val="00A47251"/>
    <w:rsid w:val="00A47A1F"/>
    <w:rsid w:val="00A50A6B"/>
    <w:rsid w:val="00A52346"/>
    <w:rsid w:val="00A571D4"/>
    <w:rsid w:val="00A608EB"/>
    <w:rsid w:val="00A65A0D"/>
    <w:rsid w:val="00A66E65"/>
    <w:rsid w:val="00A73457"/>
    <w:rsid w:val="00A7554C"/>
    <w:rsid w:val="00A764A0"/>
    <w:rsid w:val="00A90B6F"/>
    <w:rsid w:val="00A911BA"/>
    <w:rsid w:val="00A91996"/>
    <w:rsid w:val="00A95CDD"/>
    <w:rsid w:val="00A96B93"/>
    <w:rsid w:val="00AA13EC"/>
    <w:rsid w:val="00AA2C36"/>
    <w:rsid w:val="00AB1116"/>
    <w:rsid w:val="00AC0F77"/>
    <w:rsid w:val="00AC358F"/>
    <w:rsid w:val="00AC683C"/>
    <w:rsid w:val="00AD0AC2"/>
    <w:rsid w:val="00AE0884"/>
    <w:rsid w:val="00AE1665"/>
    <w:rsid w:val="00AE2204"/>
    <w:rsid w:val="00AE3FBF"/>
    <w:rsid w:val="00AF0BCE"/>
    <w:rsid w:val="00AF7F36"/>
    <w:rsid w:val="00B00656"/>
    <w:rsid w:val="00B05054"/>
    <w:rsid w:val="00B129B0"/>
    <w:rsid w:val="00B152D9"/>
    <w:rsid w:val="00B15784"/>
    <w:rsid w:val="00B15E7E"/>
    <w:rsid w:val="00B2011B"/>
    <w:rsid w:val="00B20B5A"/>
    <w:rsid w:val="00B21DFB"/>
    <w:rsid w:val="00B241AF"/>
    <w:rsid w:val="00B25DA6"/>
    <w:rsid w:val="00B323A4"/>
    <w:rsid w:val="00B328DD"/>
    <w:rsid w:val="00B36B16"/>
    <w:rsid w:val="00B4187D"/>
    <w:rsid w:val="00B42D38"/>
    <w:rsid w:val="00B473CC"/>
    <w:rsid w:val="00B55C2B"/>
    <w:rsid w:val="00B56EED"/>
    <w:rsid w:val="00B63FEC"/>
    <w:rsid w:val="00B640AD"/>
    <w:rsid w:val="00B6688E"/>
    <w:rsid w:val="00B71118"/>
    <w:rsid w:val="00B72881"/>
    <w:rsid w:val="00B73DA8"/>
    <w:rsid w:val="00B74081"/>
    <w:rsid w:val="00B7621A"/>
    <w:rsid w:val="00B84874"/>
    <w:rsid w:val="00B94665"/>
    <w:rsid w:val="00BA004F"/>
    <w:rsid w:val="00BA2E57"/>
    <w:rsid w:val="00BA2F94"/>
    <w:rsid w:val="00BA534A"/>
    <w:rsid w:val="00BA727F"/>
    <w:rsid w:val="00BB2665"/>
    <w:rsid w:val="00BB493A"/>
    <w:rsid w:val="00BB4C23"/>
    <w:rsid w:val="00BB6A3A"/>
    <w:rsid w:val="00BC0854"/>
    <w:rsid w:val="00BC132E"/>
    <w:rsid w:val="00BC2728"/>
    <w:rsid w:val="00BC2C4E"/>
    <w:rsid w:val="00BC32AC"/>
    <w:rsid w:val="00BC4C76"/>
    <w:rsid w:val="00BC604A"/>
    <w:rsid w:val="00BC7D62"/>
    <w:rsid w:val="00BD190F"/>
    <w:rsid w:val="00BD2431"/>
    <w:rsid w:val="00BD6132"/>
    <w:rsid w:val="00BE11FF"/>
    <w:rsid w:val="00BE4300"/>
    <w:rsid w:val="00BE44E1"/>
    <w:rsid w:val="00BF04D7"/>
    <w:rsid w:val="00BF1F4F"/>
    <w:rsid w:val="00BF4811"/>
    <w:rsid w:val="00BF6C16"/>
    <w:rsid w:val="00C02403"/>
    <w:rsid w:val="00C02905"/>
    <w:rsid w:val="00C03464"/>
    <w:rsid w:val="00C05784"/>
    <w:rsid w:val="00C10E24"/>
    <w:rsid w:val="00C218F1"/>
    <w:rsid w:val="00C226F1"/>
    <w:rsid w:val="00C22B1C"/>
    <w:rsid w:val="00C34F3A"/>
    <w:rsid w:val="00C350F8"/>
    <w:rsid w:val="00C35628"/>
    <w:rsid w:val="00C359EC"/>
    <w:rsid w:val="00C367B1"/>
    <w:rsid w:val="00C449B0"/>
    <w:rsid w:val="00C45079"/>
    <w:rsid w:val="00C547DD"/>
    <w:rsid w:val="00C56333"/>
    <w:rsid w:val="00C60F53"/>
    <w:rsid w:val="00C66A5E"/>
    <w:rsid w:val="00C67E1C"/>
    <w:rsid w:val="00C7362C"/>
    <w:rsid w:val="00C73C9C"/>
    <w:rsid w:val="00C77915"/>
    <w:rsid w:val="00C77F9C"/>
    <w:rsid w:val="00C81DF0"/>
    <w:rsid w:val="00C858CD"/>
    <w:rsid w:val="00C876F3"/>
    <w:rsid w:val="00C903BC"/>
    <w:rsid w:val="00C918D7"/>
    <w:rsid w:val="00C93E5E"/>
    <w:rsid w:val="00C94318"/>
    <w:rsid w:val="00CA1E45"/>
    <w:rsid w:val="00CA6E91"/>
    <w:rsid w:val="00CB15B2"/>
    <w:rsid w:val="00CB40C8"/>
    <w:rsid w:val="00CB7BE5"/>
    <w:rsid w:val="00CC1025"/>
    <w:rsid w:val="00CC2386"/>
    <w:rsid w:val="00CD666E"/>
    <w:rsid w:val="00CD79AE"/>
    <w:rsid w:val="00CE2E5F"/>
    <w:rsid w:val="00CE3A9D"/>
    <w:rsid w:val="00CF54A9"/>
    <w:rsid w:val="00D02355"/>
    <w:rsid w:val="00D026BE"/>
    <w:rsid w:val="00D046F6"/>
    <w:rsid w:val="00D07CA1"/>
    <w:rsid w:val="00D12B24"/>
    <w:rsid w:val="00D22E2F"/>
    <w:rsid w:val="00D2669F"/>
    <w:rsid w:val="00D3332F"/>
    <w:rsid w:val="00D3369A"/>
    <w:rsid w:val="00D33A9D"/>
    <w:rsid w:val="00D34DDF"/>
    <w:rsid w:val="00D368B6"/>
    <w:rsid w:val="00D36D16"/>
    <w:rsid w:val="00D36DC7"/>
    <w:rsid w:val="00D415AB"/>
    <w:rsid w:val="00D44A0A"/>
    <w:rsid w:val="00D5102B"/>
    <w:rsid w:val="00D541DD"/>
    <w:rsid w:val="00D56C41"/>
    <w:rsid w:val="00D624F1"/>
    <w:rsid w:val="00D659B3"/>
    <w:rsid w:val="00D664FC"/>
    <w:rsid w:val="00D7118B"/>
    <w:rsid w:val="00D772D2"/>
    <w:rsid w:val="00D80902"/>
    <w:rsid w:val="00D868F5"/>
    <w:rsid w:val="00D87A0A"/>
    <w:rsid w:val="00D906E5"/>
    <w:rsid w:val="00D92025"/>
    <w:rsid w:val="00DA0D30"/>
    <w:rsid w:val="00DA377F"/>
    <w:rsid w:val="00DA5D03"/>
    <w:rsid w:val="00DB1B95"/>
    <w:rsid w:val="00DB2AD8"/>
    <w:rsid w:val="00DB6677"/>
    <w:rsid w:val="00DB6F55"/>
    <w:rsid w:val="00DC149E"/>
    <w:rsid w:val="00DC1C01"/>
    <w:rsid w:val="00DC52AF"/>
    <w:rsid w:val="00DC5700"/>
    <w:rsid w:val="00DC5FC0"/>
    <w:rsid w:val="00DC6A0E"/>
    <w:rsid w:val="00DD5E29"/>
    <w:rsid w:val="00DD6495"/>
    <w:rsid w:val="00DE37C6"/>
    <w:rsid w:val="00DE3ACA"/>
    <w:rsid w:val="00DE6A53"/>
    <w:rsid w:val="00DF0947"/>
    <w:rsid w:val="00DF0B6F"/>
    <w:rsid w:val="00DF1A17"/>
    <w:rsid w:val="00DF7626"/>
    <w:rsid w:val="00E00F74"/>
    <w:rsid w:val="00E064FD"/>
    <w:rsid w:val="00E14CD5"/>
    <w:rsid w:val="00E17AA8"/>
    <w:rsid w:val="00E25618"/>
    <w:rsid w:val="00E2722D"/>
    <w:rsid w:val="00E31955"/>
    <w:rsid w:val="00E31B30"/>
    <w:rsid w:val="00E37A3C"/>
    <w:rsid w:val="00E37F9C"/>
    <w:rsid w:val="00E40F1B"/>
    <w:rsid w:val="00E413F6"/>
    <w:rsid w:val="00E41C4C"/>
    <w:rsid w:val="00E47144"/>
    <w:rsid w:val="00E520E6"/>
    <w:rsid w:val="00E53B7F"/>
    <w:rsid w:val="00E57D5B"/>
    <w:rsid w:val="00E60246"/>
    <w:rsid w:val="00E644F1"/>
    <w:rsid w:val="00E66DB5"/>
    <w:rsid w:val="00E71A70"/>
    <w:rsid w:val="00E74A88"/>
    <w:rsid w:val="00E754B6"/>
    <w:rsid w:val="00E776BC"/>
    <w:rsid w:val="00E77A22"/>
    <w:rsid w:val="00E80482"/>
    <w:rsid w:val="00E84AC5"/>
    <w:rsid w:val="00E8514B"/>
    <w:rsid w:val="00E86229"/>
    <w:rsid w:val="00E9096E"/>
    <w:rsid w:val="00EA2F09"/>
    <w:rsid w:val="00EA63D8"/>
    <w:rsid w:val="00EB3316"/>
    <w:rsid w:val="00EB34FA"/>
    <w:rsid w:val="00EB45EC"/>
    <w:rsid w:val="00EC0307"/>
    <w:rsid w:val="00EC12F8"/>
    <w:rsid w:val="00ED1233"/>
    <w:rsid w:val="00ED2289"/>
    <w:rsid w:val="00ED6026"/>
    <w:rsid w:val="00EE07B9"/>
    <w:rsid w:val="00EE39A6"/>
    <w:rsid w:val="00EE6582"/>
    <w:rsid w:val="00EE6BAF"/>
    <w:rsid w:val="00EF0E0D"/>
    <w:rsid w:val="00EF2B34"/>
    <w:rsid w:val="00EF2B70"/>
    <w:rsid w:val="00EF3875"/>
    <w:rsid w:val="00EF4EAB"/>
    <w:rsid w:val="00EF7A57"/>
    <w:rsid w:val="00F0677A"/>
    <w:rsid w:val="00F12980"/>
    <w:rsid w:val="00F2041C"/>
    <w:rsid w:val="00F22889"/>
    <w:rsid w:val="00F23414"/>
    <w:rsid w:val="00F23D53"/>
    <w:rsid w:val="00F27AFA"/>
    <w:rsid w:val="00F456BF"/>
    <w:rsid w:val="00F45D6E"/>
    <w:rsid w:val="00F46AD4"/>
    <w:rsid w:val="00F51082"/>
    <w:rsid w:val="00F5127C"/>
    <w:rsid w:val="00F55E6E"/>
    <w:rsid w:val="00F57A32"/>
    <w:rsid w:val="00F61390"/>
    <w:rsid w:val="00F70441"/>
    <w:rsid w:val="00F70FE9"/>
    <w:rsid w:val="00F71667"/>
    <w:rsid w:val="00F731E3"/>
    <w:rsid w:val="00F84EDA"/>
    <w:rsid w:val="00F85435"/>
    <w:rsid w:val="00F8599A"/>
    <w:rsid w:val="00F91C66"/>
    <w:rsid w:val="00FA3522"/>
    <w:rsid w:val="00FA3B47"/>
    <w:rsid w:val="00FB07AC"/>
    <w:rsid w:val="00FB1791"/>
    <w:rsid w:val="00FB3D79"/>
    <w:rsid w:val="00FB735F"/>
    <w:rsid w:val="00FC22C6"/>
    <w:rsid w:val="00FC3B57"/>
    <w:rsid w:val="00FC3C76"/>
    <w:rsid w:val="00FC4120"/>
    <w:rsid w:val="00FC673C"/>
    <w:rsid w:val="00FC70CC"/>
    <w:rsid w:val="00FD1CC1"/>
    <w:rsid w:val="00FD50E9"/>
    <w:rsid w:val="00FE2D38"/>
    <w:rsid w:val="00FE3BDF"/>
    <w:rsid w:val="00FF0EFB"/>
    <w:rsid w:val="00FF440C"/>
    <w:rsid w:val="00FF7BD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9208A0"/>
  <w14:defaultImageDpi w14:val="300"/>
  <w15:chartTrackingRefBased/>
  <w15:docId w15:val="{A9E4263B-5479-453F-9FED-FFD07A2E3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overflowPunct w:val="0"/>
      <w:autoSpaceDE w:val="0"/>
      <w:autoSpaceDN w:val="0"/>
      <w:adjustRightInd w:val="0"/>
      <w:textAlignment w:val="baseline"/>
    </w:pPr>
    <w:rPr>
      <w:rFonts w:ascii="Times New Roman" w:hAnsi="Times New Roman"/>
      <w:lang w:eastAsia="fr-FR"/>
    </w:rPr>
  </w:style>
  <w:style w:type="paragraph" w:styleId="Heading1">
    <w:name w:val="heading 1"/>
    <w:basedOn w:val="Normal"/>
    <w:next w:val="Normal"/>
    <w:qFormat/>
    <w:pPr>
      <w:keepNext/>
      <w:spacing w:before="240" w:after="240"/>
      <w:outlineLvl w:val="0"/>
    </w:pPr>
    <w:rPr>
      <w:b/>
      <w:kern w:val="28"/>
      <w:sz w:val="24"/>
    </w:rPr>
  </w:style>
  <w:style w:type="paragraph" w:styleId="Heading2">
    <w:name w:val="heading 2"/>
    <w:basedOn w:val="Normal"/>
    <w:next w:val="Normal"/>
    <w:qFormat/>
    <w:pPr>
      <w:keepNext/>
      <w:spacing w:before="120" w:after="120"/>
      <w:outlineLvl w:val="1"/>
    </w:pPr>
    <w:rPr>
      <w:b/>
    </w:rPr>
  </w:style>
  <w:style w:type="paragraph" w:styleId="Heading3">
    <w:name w:val="heading 3"/>
    <w:basedOn w:val="Normal"/>
    <w:next w:val="Normal"/>
    <w:qFormat/>
    <w:pPr>
      <w:keepNext/>
      <w:spacing w:before="60" w:after="6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uthors">
    <w:name w:val="2_Authors"/>
    <w:basedOn w:val="Normal"/>
    <w:qFormat/>
    <w:pPr>
      <w:spacing w:before="240" w:after="240"/>
      <w:jc w:val="center"/>
    </w:pPr>
    <w:rPr>
      <w:b/>
      <w:sz w:val="24"/>
    </w:rPr>
  </w:style>
  <w:style w:type="paragraph" w:customStyle="1" w:styleId="3Affiliations">
    <w:name w:val="3_Affiliations"/>
    <w:basedOn w:val="Normal"/>
    <w:qFormat/>
    <w:rsid w:val="00BA534A"/>
    <w:pPr>
      <w:jc w:val="center"/>
    </w:pPr>
    <w:rPr>
      <w:i/>
      <w:color w:val="000000"/>
    </w:rPr>
  </w:style>
  <w:style w:type="paragraph" w:customStyle="1" w:styleId="1TITLE">
    <w:name w:val="1_TITLE"/>
    <w:basedOn w:val="Normal"/>
    <w:qFormat/>
    <w:rsid w:val="00297324"/>
    <w:pPr>
      <w:spacing w:before="1200" w:after="240"/>
      <w:jc w:val="center"/>
    </w:pPr>
    <w:rPr>
      <w:b/>
      <w:kern w:val="28"/>
      <w:sz w:val="28"/>
    </w:rPr>
  </w:style>
  <w:style w:type="paragraph" w:customStyle="1" w:styleId="4HeaderSpacer">
    <w:name w:val="4_Header_Spacer"/>
    <w:basedOn w:val="Normal"/>
    <w:qFormat/>
    <w:rsid w:val="003C3DD9"/>
    <w:pPr>
      <w:spacing w:before="220"/>
    </w:pPr>
    <w:rPr>
      <w:noProof/>
      <w:sz w:val="22"/>
    </w:rPr>
  </w:style>
  <w:style w:type="paragraph" w:customStyle="1" w:styleId="5AbstractHeader">
    <w:name w:val="5_Abstract_Header"/>
    <w:basedOn w:val="Heading2"/>
    <w:qFormat/>
    <w:rsid w:val="00C449B0"/>
    <w:pPr>
      <w:spacing w:before="0"/>
    </w:pPr>
    <w:rPr>
      <w:noProof/>
    </w:rPr>
  </w:style>
  <w:style w:type="paragraph" w:customStyle="1" w:styleId="6AbstractText">
    <w:name w:val="6_Abstract_Text"/>
    <w:basedOn w:val="Normal"/>
    <w:qFormat/>
    <w:rsid w:val="000F1108"/>
    <w:pPr>
      <w:spacing w:before="60" w:after="60"/>
      <w:jc w:val="both"/>
    </w:pPr>
    <w:rPr>
      <w:i/>
      <w:noProof/>
    </w:rPr>
  </w:style>
  <w:style w:type="paragraph" w:customStyle="1" w:styleId="7KeywordHeader">
    <w:name w:val="7_Keyword_Header"/>
    <w:basedOn w:val="Heading3"/>
    <w:qFormat/>
    <w:rsid w:val="002C5888"/>
    <w:rPr>
      <w:noProof/>
    </w:rPr>
  </w:style>
  <w:style w:type="paragraph" w:customStyle="1" w:styleId="8KeywordList">
    <w:name w:val="8_Keyword_List"/>
    <w:qFormat/>
    <w:rsid w:val="007938BB"/>
    <w:rPr>
      <w:rFonts w:ascii="Times New Roman" w:hAnsi="Times New Roman"/>
      <w:noProof/>
      <w:lang w:eastAsia="fr-FR"/>
    </w:rPr>
  </w:style>
  <w:style w:type="paragraph" w:customStyle="1" w:styleId="ALevelOneHeader">
    <w:name w:val="A_Level_One_Header"/>
    <w:basedOn w:val="Heading1"/>
    <w:qFormat/>
    <w:rsid w:val="0001095E"/>
    <w:rPr>
      <w:noProof/>
    </w:rPr>
  </w:style>
  <w:style w:type="paragraph" w:customStyle="1" w:styleId="DBodyText">
    <w:name w:val="D_Body_Text"/>
    <w:basedOn w:val="Normal"/>
    <w:link w:val="DBodyTextChar"/>
    <w:qFormat/>
    <w:rsid w:val="000F1108"/>
    <w:pPr>
      <w:spacing w:before="60" w:after="60"/>
      <w:jc w:val="both"/>
    </w:pPr>
    <w:rPr>
      <w:noProof/>
    </w:rPr>
  </w:style>
  <w:style w:type="paragraph" w:customStyle="1" w:styleId="BLevelTwoHeader">
    <w:name w:val="B_Level_Two_Header"/>
    <w:basedOn w:val="Heading2"/>
    <w:qFormat/>
    <w:rsid w:val="00C94318"/>
    <w:rPr>
      <w:noProof/>
    </w:rPr>
  </w:style>
  <w:style w:type="paragraph" w:customStyle="1" w:styleId="CLevelThreeHeader">
    <w:name w:val="C_Level_Three_Header"/>
    <w:basedOn w:val="Heading3"/>
    <w:qFormat/>
    <w:rsid w:val="005E14AB"/>
    <w:rPr>
      <w:noProof/>
    </w:rPr>
  </w:style>
  <w:style w:type="paragraph" w:customStyle="1" w:styleId="DTableTitle">
    <w:name w:val="D_Table_Title"/>
    <w:basedOn w:val="Normal"/>
    <w:qFormat/>
    <w:rsid w:val="005C35B6"/>
    <w:pPr>
      <w:spacing w:before="240" w:after="120"/>
      <w:jc w:val="center"/>
    </w:pPr>
    <w:rPr>
      <w:i/>
      <w:noProof/>
    </w:rPr>
  </w:style>
  <w:style w:type="paragraph" w:customStyle="1" w:styleId="DBulletlevel1">
    <w:name w:val="D_Bullet_level_1"/>
    <w:basedOn w:val="Normal"/>
    <w:qFormat/>
    <w:rsid w:val="00C77915"/>
    <w:pPr>
      <w:numPr>
        <w:numId w:val="15"/>
      </w:numPr>
      <w:spacing w:before="60" w:after="60"/>
      <w:ind w:left="648"/>
    </w:pPr>
    <w:rPr>
      <w:noProof/>
    </w:rPr>
  </w:style>
  <w:style w:type="paragraph" w:customStyle="1" w:styleId="DBulletlevel2">
    <w:name w:val="D_Bullet_level_2"/>
    <w:basedOn w:val="Normal"/>
    <w:qFormat/>
    <w:rsid w:val="00C77915"/>
    <w:pPr>
      <w:numPr>
        <w:numId w:val="2"/>
      </w:numPr>
      <w:spacing w:before="60" w:after="60"/>
    </w:pPr>
    <w:rPr>
      <w:noProof/>
    </w:rPr>
  </w:style>
  <w:style w:type="paragraph" w:customStyle="1" w:styleId="DEnumeratedList">
    <w:name w:val="D_Enumerated_List"/>
    <w:basedOn w:val="Normal"/>
    <w:qFormat/>
    <w:rsid w:val="00B6688E"/>
    <w:pPr>
      <w:numPr>
        <w:numId w:val="3"/>
      </w:numPr>
      <w:spacing w:before="60" w:after="60"/>
    </w:pPr>
    <w:rPr>
      <w:noProof/>
    </w:rPr>
  </w:style>
  <w:style w:type="paragraph" w:customStyle="1" w:styleId="DTableHeader">
    <w:name w:val="D_Table_Header"/>
    <w:basedOn w:val="Normal"/>
    <w:qFormat/>
    <w:rsid w:val="00A41081"/>
    <w:rPr>
      <w:b/>
      <w:noProof/>
    </w:rPr>
  </w:style>
  <w:style w:type="paragraph" w:customStyle="1" w:styleId="DFigureLegend">
    <w:name w:val="D_Figure_Legend"/>
    <w:basedOn w:val="Normal"/>
    <w:qFormat/>
    <w:rsid w:val="00A41081"/>
    <w:pPr>
      <w:spacing w:before="120" w:after="240"/>
      <w:jc w:val="center"/>
    </w:pPr>
    <w:rPr>
      <w:i/>
      <w:noProof/>
    </w:rPr>
  </w:style>
  <w:style w:type="paragraph" w:customStyle="1" w:styleId="EReferenceHeader">
    <w:name w:val="E_Reference_Header"/>
    <w:basedOn w:val="ALevelOneHeader"/>
    <w:qFormat/>
    <w:rsid w:val="009F27E7"/>
  </w:style>
  <w:style w:type="paragraph" w:customStyle="1" w:styleId="FCorrespondenceheader">
    <w:name w:val="F_Correspondence_header"/>
    <w:basedOn w:val="Heading2"/>
    <w:qFormat/>
    <w:rsid w:val="004178D9"/>
    <w:rPr>
      <w:noProof/>
    </w:rPr>
  </w:style>
  <w:style w:type="paragraph" w:customStyle="1" w:styleId="FCorrespondencetext">
    <w:name w:val="F_Correspondence_text"/>
    <w:basedOn w:val="Normal"/>
    <w:qFormat/>
    <w:rsid w:val="003940F5"/>
    <w:pPr>
      <w:spacing w:before="60"/>
    </w:pPr>
    <w:rPr>
      <w:noProof/>
      <w:sz w:val="18"/>
      <w:szCs w:val="18"/>
    </w:rPr>
  </w:style>
  <w:style w:type="character" w:styleId="Hyperlink">
    <w:name w:val="Hyperlink"/>
    <w:basedOn w:val="DefaultParagraphFont"/>
    <w:rsid w:val="007E7F70"/>
    <w:rPr>
      <w:color w:val="0563C1" w:themeColor="hyperlink"/>
      <w:u w:val="single"/>
    </w:rPr>
  </w:style>
  <w:style w:type="character" w:styleId="CommentReference">
    <w:name w:val="annotation reference"/>
    <w:basedOn w:val="DefaultParagraphFont"/>
    <w:rsid w:val="00876A67"/>
    <w:rPr>
      <w:sz w:val="16"/>
      <w:szCs w:val="16"/>
    </w:rPr>
  </w:style>
  <w:style w:type="paragraph" w:styleId="CommentText">
    <w:name w:val="annotation text"/>
    <w:basedOn w:val="Normal"/>
    <w:link w:val="CommentTextChar"/>
    <w:rsid w:val="00876A67"/>
  </w:style>
  <w:style w:type="character" w:customStyle="1" w:styleId="CommentTextChar">
    <w:name w:val="Comment Text Char"/>
    <w:basedOn w:val="DefaultParagraphFont"/>
    <w:link w:val="CommentText"/>
    <w:rsid w:val="00876A67"/>
    <w:rPr>
      <w:rFonts w:ascii="Times New Roman" w:hAnsi="Times New Roman"/>
      <w:lang w:eastAsia="fr-FR"/>
    </w:rPr>
  </w:style>
  <w:style w:type="paragraph" w:styleId="CommentSubject">
    <w:name w:val="annotation subject"/>
    <w:basedOn w:val="CommentText"/>
    <w:next w:val="CommentText"/>
    <w:link w:val="CommentSubjectChar"/>
    <w:rsid w:val="00876A67"/>
    <w:rPr>
      <w:b/>
      <w:bCs/>
    </w:rPr>
  </w:style>
  <w:style w:type="character" w:customStyle="1" w:styleId="CommentSubjectChar">
    <w:name w:val="Comment Subject Char"/>
    <w:basedOn w:val="CommentTextChar"/>
    <w:link w:val="CommentSubject"/>
    <w:rsid w:val="00876A67"/>
    <w:rPr>
      <w:rFonts w:ascii="Times New Roman" w:hAnsi="Times New Roman"/>
      <w:b/>
      <w:bCs/>
      <w:lang w:eastAsia="fr-FR"/>
    </w:rPr>
  </w:style>
  <w:style w:type="paragraph" w:styleId="BalloonText">
    <w:name w:val="Balloon Text"/>
    <w:basedOn w:val="Normal"/>
    <w:link w:val="BalloonTextChar"/>
    <w:rsid w:val="00876A67"/>
    <w:rPr>
      <w:rFonts w:ascii="Segoe UI" w:hAnsi="Segoe UI" w:cs="Segoe UI"/>
      <w:sz w:val="18"/>
      <w:szCs w:val="18"/>
    </w:rPr>
  </w:style>
  <w:style w:type="character" w:customStyle="1" w:styleId="BalloonTextChar">
    <w:name w:val="Balloon Text Char"/>
    <w:basedOn w:val="DefaultParagraphFont"/>
    <w:link w:val="BalloonText"/>
    <w:rsid w:val="00876A67"/>
    <w:rPr>
      <w:rFonts w:ascii="Segoe UI" w:hAnsi="Segoe UI" w:cs="Segoe UI"/>
      <w:sz w:val="18"/>
      <w:szCs w:val="18"/>
      <w:lang w:eastAsia="fr-FR"/>
    </w:rPr>
  </w:style>
  <w:style w:type="paragraph" w:customStyle="1" w:styleId="EndNoteBibliographyTitle">
    <w:name w:val="EndNote Bibliography Title"/>
    <w:basedOn w:val="Normal"/>
    <w:link w:val="EndNoteBibliographyTitleChar"/>
    <w:rsid w:val="00511081"/>
    <w:pPr>
      <w:jc w:val="center"/>
    </w:pPr>
    <w:rPr>
      <w:noProof/>
      <w:lang w:val="fr-FR"/>
    </w:rPr>
  </w:style>
  <w:style w:type="character" w:customStyle="1" w:styleId="DBodyTextChar">
    <w:name w:val="D_Body_Text Char"/>
    <w:basedOn w:val="DefaultParagraphFont"/>
    <w:link w:val="DBodyText"/>
    <w:rsid w:val="00511081"/>
    <w:rPr>
      <w:rFonts w:ascii="Times New Roman" w:hAnsi="Times New Roman"/>
      <w:noProof/>
      <w:lang w:eastAsia="fr-FR"/>
    </w:rPr>
  </w:style>
  <w:style w:type="character" w:customStyle="1" w:styleId="EndNoteBibliographyTitleChar">
    <w:name w:val="EndNote Bibliography Title Char"/>
    <w:basedOn w:val="DBodyTextChar"/>
    <w:link w:val="EndNoteBibliographyTitle"/>
    <w:rsid w:val="00511081"/>
    <w:rPr>
      <w:rFonts w:ascii="Times New Roman" w:hAnsi="Times New Roman"/>
      <w:noProof/>
      <w:lang w:val="fr-FR" w:eastAsia="fr-FR"/>
    </w:rPr>
  </w:style>
  <w:style w:type="paragraph" w:customStyle="1" w:styleId="EndNoteBibliography">
    <w:name w:val="EndNote Bibliography"/>
    <w:basedOn w:val="Normal"/>
    <w:link w:val="EndNoteBibliographyChar"/>
    <w:rsid w:val="00511081"/>
    <w:rPr>
      <w:noProof/>
      <w:lang w:val="fr-FR"/>
    </w:rPr>
  </w:style>
  <w:style w:type="character" w:customStyle="1" w:styleId="EndNoteBibliographyChar">
    <w:name w:val="EndNote Bibliography Char"/>
    <w:basedOn w:val="DBodyTextChar"/>
    <w:link w:val="EndNoteBibliography"/>
    <w:rsid w:val="00511081"/>
    <w:rPr>
      <w:rFonts w:ascii="Times New Roman" w:hAnsi="Times New Roman"/>
      <w:noProof/>
      <w:lang w:val="fr-FR" w:eastAsia="fr-FR"/>
    </w:rPr>
  </w:style>
  <w:style w:type="character" w:styleId="FollowedHyperlink">
    <w:name w:val="FollowedHyperlink"/>
    <w:basedOn w:val="DefaultParagraphFont"/>
    <w:rsid w:val="00281339"/>
    <w:rPr>
      <w:color w:val="954F72" w:themeColor="followedHyperlink"/>
      <w:u w:val="single"/>
    </w:rPr>
  </w:style>
  <w:style w:type="character" w:styleId="PlaceholderText">
    <w:name w:val="Placeholder Text"/>
    <w:basedOn w:val="DefaultParagraphFont"/>
    <w:uiPriority w:val="99"/>
    <w:unhideWhenUsed/>
    <w:rsid w:val="009D4DDC"/>
    <w:rPr>
      <w:color w:val="808080"/>
    </w:rPr>
  </w:style>
  <w:style w:type="paragraph" w:customStyle="1" w:styleId="EndNoteCategoryHeading">
    <w:name w:val="EndNote Category Heading"/>
    <w:basedOn w:val="Normal"/>
    <w:link w:val="EndNoteCategoryHeadingChar"/>
    <w:rsid w:val="00F5127C"/>
    <w:pPr>
      <w:spacing w:before="120" w:after="120"/>
    </w:pPr>
    <w:rPr>
      <w:b/>
      <w:noProof/>
      <w:lang w:val="fr-FR"/>
    </w:rPr>
  </w:style>
  <w:style w:type="character" w:customStyle="1" w:styleId="EndNoteCategoryHeadingChar">
    <w:name w:val="EndNote Category Heading Char"/>
    <w:basedOn w:val="DBodyTextChar"/>
    <w:link w:val="EndNoteCategoryHeading"/>
    <w:rsid w:val="00F5127C"/>
    <w:rPr>
      <w:rFonts w:ascii="Times New Roman" w:hAnsi="Times New Roman"/>
      <w:b/>
      <w:noProof/>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6202">
      <w:bodyDiv w:val="1"/>
      <w:marLeft w:val="0"/>
      <w:marRight w:val="0"/>
      <w:marTop w:val="0"/>
      <w:marBottom w:val="0"/>
      <w:divBdr>
        <w:top w:val="none" w:sz="0" w:space="0" w:color="auto"/>
        <w:left w:val="none" w:sz="0" w:space="0" w:color="auto"/>
        <w:bottom w:val="none" w:sz="0" w:space="0" w:color="auto"/>
        <w:right w:val="none" w:sz="0" w:space="0" w:color="auto"/>
      </w:divBdr>
      <w:divsChild>
        <w:div w:id="80181433">
          <w:marLeft w:val="0"/>
          <w:marRight w:val="0"/>
          <w:marTop w:val="0"/>
          <w:marBottom w:val="0"/>
          <w:divBdr>
            <w:top w:val="none" w:sz="0" w:space="0" w:color="auto"/>
            <w:left w:val="none" w:sz="0" w:space="0" w:color="auto"/>
            <w:bottom w:val="none" w:sz="0" w:space="0" w:color="auto"/>
            <w:right w:val="none" w:sz="0" w:space="0" w:color="auto"/>
          </w:divBdr>
        </w:div>
      </w:divsChild>
    </w:div>
    <w:div w:id="221411564">
      <w:bodyDiv w:val="1"/>
      <w:marLeft w:val="0"/>
      <w:marRight w:val="0"/>
      <w:marTop w:val="0"/>
      <w:marBottom w:val="0"/>
      <w:divBdr>
        <w:top w:val="none" w:sz="0" w:space="0" w:color="auto"/>
        <w:left w:val="none" w:sz="0" w:space="0" w:color="auto"/>
        <w:bottom w:val="none" w:sz="0" w:space="0" w:color="auto"/>
        <w:right w:val="none" w:sz="0" w:space="0" w:color="auto"/>
      </w:divBdr>
    </w:div>
    <w:div w:id="243879185">
      <w:bodyDiv w:val="1"/>
      <w:marLeft w:val="0"/>
      <w:marRight w:val="0"/>
      <w:marTop w:val="0"/>
      <w:marBottom w:val="0"/>
      <w:divBdr>
        <w:top w:val="none" w:sz="0" w:space="0" w:color="auto"/>
        <w:left w:val="none" w:sz="0" w:space="0" w:color="auto"/>
        <w:bottom w:val="none" w:sz="0" w:space="0" w:color="auto"/>
        <w:right w:val="none" w:sz="0" w:space="0" w:color="auto"/>
      </w:divBdr>
      <w:divsChild>
        <w:div w:id="1452898729">
          <w:marLeft w:val="720"/>
          <w:marRight w:val="0"/>
          <w:marTop w:val="0"/>
          <w:marBottom w:val="0"/>
          <w:divBdr>
            <w:top w:val="none" w:sz="0" w:space="0" w:color="auto"/>
            <w:left w:val="none" w:sz="0" w:space="0" w:color="auto"/>
            <w:bottom w:val="none" w:sz="0" w:space="0" w:color="auto"/>
            <w:right w:val="none" w:sz="0" w:space="0" w:color="auto"/>
          </w:divBdr>
        </w:div>
        <w:div w:id="1434861832">
          <w:marLeft w:val="720"/>
          <w:marRight w:val="0"/>
          <w:marTop w:val="0"/>
          <w:marBottom w:val="0"/>
          <w:divBdr>
            <w:top w:val="none" w:sz="0" w:space="0" w:color="auto"/>
            <w:left w:val="none" w:sz="0" w:space="0" w:color="auto"/>
            <w:bottom w:val="none" w:sz="0" w:space="0" w:color="auto"/>
            <w:right w:val="none" w:sz="0" w:space="0" w:color="auto"/>
          </w:divBdr>
        </w:div>
        <w:div w:id="378944863">
          <w:marLeft w:val="720"/>
          <w:marRight w:val="0"/>
          <w:marTop w:val="0"/>
          <w:marBottom w:val="0"/>
          <w:divBdr>
            <w:top w:val="none" w:sz="0" w:space="0" w:color="auto"/>
            <w:left w:val="none" w:sz="0" w:space="0" w:color="auto"/>
            <w:bottom w:val="none" w:sz="0" w:space="0" w:color="auto"/>
            <w:right w:val="none" w:sz="0" w:space="0" w:color="auto"/>
          </w:divBdr>
        </w:div>
        <w:div w:id="1299531819">
          <w:marLeft w:val="720"/>
          <w:marRight w:val="0"/>
          <w:marTop w:val="0"/>
          <w:marBottom w:val="0"/>
          <w:divBdr>
            <w:top w:val="none" w:sz="0" w:space="0" w:color="auto"/>
            <w:left w:val="none" w:sz="0" w:space="0" w:color="auto"/>
            <w:bottom w:val="none" w:sz="0" w:space="0" w:color="auto"/>
            <w:right w:val="none" w:sz="0" w:space="0" w:color="auto"/>
          </w:divBdr>
        </w:div>
        <w:div w:id="2146969342">
          <w:marLeft w:val="720"/>
          <w:marRight w:val="0"/>
          <w:marTop w:val="0"/>
          <w:marBottom w:val="0"/>
          <w:divBdr>
            <w:top w:val="none" w:sz="0" w:space="0" w:color="auto"/>
            <w:left w:val="none" w:sz="0" w:space="0" w:color="auto"/>
            <w:bottom w:val="none" w:sz="0" w:space="0" w:color="auto"/>
            <w:right w:val="none" w:sz="0" w:space="0" w:color="auto"/>
          </w:divBdr>
        </w:div>
        <w:div w:id="1201161261">
          <w:marLeft w:val="720"/>
          <w:marRight w:val="0"/>
          <w:marTop w:val="0"/>
          <w:marBottom w:val="0"/>
          <w:divBdr>
            <w:top w:val="none" w:sz="0" w:space="0" w:color="auto"/>
            <w:left w:val="none" w:sz="0" w:space="0" w:color="auto"/>
            <w:bottom w:val="none" w:sz="0" w:space="0" w:color="auto"/>
            <w:right w:val="none" w:sz="0" w:space="0" w:color="auto"/>
          </w:divBdr>
        </w:div>
        <w:div w:id="187258367">
          <w:marLeft w:val="720"/>
          <w:marRight w:val="0"/>
          <w:marTop w:val="0"/>
          <w:marBottom w:val="0"/>
          <w:divBdr>
            <w:top w:val="none" w:sz="0" w:space="0" w:color="auto"/>
            <w:left w:val="none" w:sz="0" w:space="0" w:color="auto"/>
            <w:bottom w:val="none" w:sz="0" w:space="0" w:color="auto"/>
            <w:right w:val="none" w:sz="0" w:space="0" w:color="auto"/>
          </w:divBdr>
        </w:div>
        <w:div w:id="94253824">
          <w:marLeft w:val="720"/>
          <w:marRight w:val="0"/>
          <w:marTop w:val="0"/>
          <w:marBottom w:val="0"/>
          <w:divBdr>
            <w:top w:val="none" w:sz="0" w:space="0" w:color="auto"/>
            <w:left w:val="none" w:sz="0" w:space="0" w:color="auto"/>
            <w:bottom w:val="none" w:sz="0" w:space="0" w:color="auto"/>
            <w:right w:val="none" w:sz="0" w:space="0" w:color="auto"/>
          </w:divBdr>
        </w:div>
        <w:div w:id="858785272">
          <w:marLeft w:val="720"/>
          <w:marRight w:val="0"/>
          <w:marTop w:val="0"/>
          <w:marBottom w:val="0"/>
          <w:divBdr>
            <w:top w:val="none" w:sz="0" w:space="0" w:color="auto"/>
            <w:left w:val="none" w:sz="0" w:space="0" w:color="auto"/>
            <w:bottom w:val="none" w:sz="0" w:space="0" w:color="auto"/>
            <w:right w:val="none" w:sz="0" w:space="0" w:color="auto"/>
          </w:divBdr>
        </w:div>
        <w:div w:id="1032264552">
          <w:marLeft w:val="720"/>
          <w:marRight w:val="0"/>
          <w:marTop w:val="0"/>
          <w:marBottom w:val="0"/>
          <w:divBdr>
            <w:top w:val="none" w:sz="0" w:space="0" w:color="auto"/>
            <w:left w:val="none" w:sz="0" w:space="0" w:color="auto"/>
            <w:bottom w:val="none" w:sz="0" w:space="0" w:color="auto"/>
            <w:right w:val="none" w:sz="0" w:space="0" w:color="auto"/>
          </w:divBdr>
        </w:div>
        <w:div w:id="1758987148">
          <w:marLeft w:val="720"/>
          <w:marRight w:val="0"/>
          <w:marTop w:val="0"/>
          <w:marBottom w:val="0"/>
          <w:divBdr>
            <w:top w:val="none" w:sz="0" w:space="0" w:color="auto"/>
            <w:left w:val="none" w:sz="0" w:space="0" w:color="auto"/>
            <w:bottom w:val="none" w:sz="0" w:space="0" w:color="auto"/>
            <w:right w:val="none" w:sz="0" w:space="0" w:color="auto"/>
          </w:divBdr>
        </w:div>
        <w:div w:id="620377405">
          <w:marLeft w:val="720"/>
          <w:marRight w:val="0"/>
          <w:marTop w:val="0"/>
          <w:marBottom w:val="0"/>
          <w:divBdr>
            <w:top w:val="none" w:sz="0" w:space="0" w:color="auto"/>
            <w:left w:val="none" w:sz="0" w:space="0" w:color="auto"/>
            <w:bottom w:val="none" w:sz="0" w:space="0" w:color="auto"/>
            <w:right w:val="none" w:sz="0" w:space="0" w:color="auto"/>
          </w:divBdr>
        </w:div>
      </w:divsChild>
    </w:div>
    <w:div w:id="340864226">
      <w:bodyDiv w:val="1"/>
      <w:marLeft w:val="0"/>
      <w:marRight w:val="0"/>
      <w:marTop w:val="0"/>
      <w:marBottom w:val="0"/>
      <w:divBdr>
        <w:top w:val="none" w:sz="0" w:space="0" w:color="auto"/>
        <w:left w:val="none" w:sz="0" w:space="0" w:color="auto"/>
        <w:bottom w:val="none" w:sz="0" w:space="0" w:color="auto"/>
        <w:right w:val="none" w:sz="0" w:space="0" w:color="auto"/>
      </w:divBdr>
      <w:divsChild>
        <w:div w:id="948659127">
          <w:marLeft w:val="0"/>
          <w:marRight w:val="0"/>
          <w:marTop w:val="0"/>
          <w:marBottom w:val="0"/>
          <w:divBdr>
            <w:top w:val="none" w:sz="0" w:space="0" w:color="auto"/>
            <w:left w:val="none" w:sz="0" w:space="0" w:color="auto"/>
            <w:bottom w:val="none" w:sz="0" w:space="0" w:color="auto"/>
            <w:right w:val="none" w:sz="0" w:space="0" w:color="auto"/>
          </w:divBdr>
        </w:div>
      </w:divsChild>
    </w:div>
    <w:div w:id="353387891">
      <w:bodyDiv w:val="1"/>
      <w:marLeft w:val="0"/>
      <w:marRight w:val="0"/>
      <w:marTop w:val="0"/>
      <w:marBottom w:val="0"/>
      <w:divBdr>
        <w:top w:val="none" w:sz="0" w:space="0" w:color="auto"/>
        <w:left w:val="none" w:sz="0" w:space="0" w:color="auto"/>
        <w:bottom w:val="none" w:sz="0" w:space="0" w:color="auto"/>
        <w:right w:val="none" w:sz="0" w:space="0" w:color="auto"/>
      </w:divBdr>
      <w:divsChild>
        <w:div w:id="1872836029">
          <w:marLeft w:val="0"/>
          <w:marRight w:val="0"/>
          <w:marTop w:val="0"/>
          <w:marBottom w:val="0"/>
          <w:divBdr>
            <w:top w:val="none" w:sz="0" w:space="0" w:color="auto"/>
            <w:left w:val="none" w:sz="0" w:space="0" w:color="auto"/>
            <w:bottom w:val="none" w:sz="0" w:space="0" w:color="auto"/>
            <w:right w:val="none" w:sz="0" w:space="0" w:color="auto"/>
          </w:divBdr>
          <w:divsChild>
            <w:div w:id="10004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2606">
      <w:bodyDiv w:val="1"/>
      <w:marLeft w:val="0"/>
      <w:marRight w:val="0"/>
      <w:marTop w:val="0"/>
      <w:marBottom w:val="0"/>
      <w:divBdr>
        <w:top w:val="none" w:sz="0" w:space="0" w:color="auto"/>
        <w:left w:val="none" w:sz="0" w:space="0" w:color="auto"/>
        <w:bottom w:val="none" w:sz="0" w:space="0" w:color="auto"/>
        <w:right w:val="none" w:sz="0" w:space="0" w:color="auto"/>
      </w:divBdr>
      <w:divsChild>
        <w:div w:id="1407147749">
          <w:marLeft w:val="4622"/>
          <w:marRight w:val="0"/>
          <w:marTop w:val="0"/>
          <w:marBottom w:val="0"/>
          <w:divBdr>
            <w:top w:val="none" w:sz="0" w:space="0" w:color="auto"/>
            <w:left w:val="none" w:sz="0" w:space="0" w:color="auto"/>
            <w:bottom w:val="none" w:sz="0" w:space="0" w:color="auto"/>
            <w:right w:val="none" w:sz="0" w:space="0" w:color="auto"/>
          </w:divBdr>
        </w:div>
      </w:divsChild>
    </w:div>
    <w:div w:id="803087343">
      <w:bodyDiv w:val="1"/>
      <w:marLeft w:val="0"/>
      <w:marRight w:val="0"/>
      <w:marTop w:val="0"/>
      <w:marBottom w:val="0"/>
      <w:divBdr>
        <w:top w:val="none" w:sz="0" w:space="0" w:color="auto"/>
        <w:left w:val="none" w:sz="0" w:space="0" w:color="auto"/>
        <w:bottom w:val="none" w:sz="0" w:space="0" w:color="auto"/>
        <w:right w:val="none" w:sz="0" w:space="0" w:color="auto"/>
      </w:divBdr>
      <w:divsChild>
        <w:div w:id="232398985">
          <w:marLeft w:val="0"/>
          <w:marRight w:val="0"/>
          <w:marTop w:val="0"/>
          <w:marBottom w:val="0"/>
          <w:divBdr>
            <w:top w:val="none" w:sz="0" w:space="0" w:color="auto"/>
            <w:left w:val="none" w:sz="0" w:space="0" w:color="auto"/>
            <w:bottom w:val="none" w:sz="0" w:space="0" w:color="auto"/>
            <w:right w:val="none" w:sz="0" w:space="0" w:color="auto"/>
          </w:divBdr>
        </w:div>
      </w:divsChild>
    </w:div>
    <w:div w:id="1339501333">
      <w:bodyDiv w:val="1"/>
      <w:marLeft w:val="0"/>
      <w:marRight w:val="0"/>
      <w:marTop w:val="0"/>
      <w:marBottom w:val="0"/>
      <w:divBdr>
        <w:top w:val="none" w:sz="0" w:space="0" w:color="auto"/>
        <w:left w:val="none" w:sz="0" w:space="0" w:color="auto"/>
        <w:bottom w:val="none" w:sz="0" w:space="0" w:color="auto"/>
        <w:right w:val="none" w:sz="0" w:space="0" w:color="auto"/>
      </w:divBdr>
      <w:divsChild>
        <w:div w:id="42410632">
          <w:marLeft w:val="0"/>
          <w:marRight w:val="0"/>
          <w:marTop w:val="0"/>
          <w:marBottom w:val="0"/>
          <w:divBdr>
            <w:top w:val="none" w:sz="0" w:space="0" w:color="auto"/>
            <w:left w:val="none" w:sz="0" w:space="0" w:color="auto"/>
            <w:bottom w:val="none" w:sz="0" w:space="0" w:color="auto"/>
            <w:right w:val="none" w:sz="0" w:space="0" w:color="auto"/>
          </w:divBdr>
        </w:div>
      </w:divsChild>
    </w:div>
    <w:div w:id="1513254523">
      <w:bodyDiv w:val="1"/>
      <w:marLeft w:val="0"/>
      <w:marRight w:val="0"/>
      <w:marTop w:val="0"/>
      <w:marBottom w:val="0"/>
      <w:divBdr>
        <w:top w:val="none" w:sz="0" w:space="0" w:color="auto"/>
        <w:left w:val="none" w:sz="0" w:space="0" w:color="auto"/>
        <w:bottom w:val="none" w:sz="0" w:space="0" w:color="auto"/>
        <w:right w:val="none" w:sz="0" w:space="0" w:color="auto"/>
      </w:divBdr>
    </w:div>
    <w:div w:id="1915972332">
      <w:bodyDiv w:val="1"/>
      <w:marLeft w:val="0"/>
      <w:marRight w:val="0"/>
      <w:marTop w:val="0"/>
      <w:marBottom w:val="0"/>
      <w:divBdr>
        <w:top w:val="none" w:sz="0" w:space="0" w:color="auto"/>
        <w:left w:val="none" w:sz="0" w:space="0" w:color="auto"/>
        <w:bottom w:val="none" w:sz="0" w:space="0" w:color="auto"/>
        <w:right w:val="none" w:sz="0" w:space="0" w:color="auto"/>
      </w:divBdr>
      <w:divsChild>
        <w:div w:id="441189268">
          <w:marLeft w:val="0"/>
          <w:marRight w:val="0"/>
          <w:marTop w:val="0"/>
          <w:marBottom w:val="0"/>
          <w:divBdr>
            <w:top w:val="none" w:sz="0" w:space="0" w:color="auto"/>
            <w:left w:val="none" w:sz="0" w:space="0" w:color="auto"/>
            <w:bottom w:val="none" w:sz="0" w:space="0" w:color="auto"/>
            <w:right w:val="none" w:sz="0" w:space="0" w:color="auto"/>
          </w:divBdr>
        </w:div>
        <w:div w:id="998464415">
          <w:marLeft w:val="0"/>
          <w:marRight w:val="0"/>
          <w:marTop w:val="0"/>
          <w:marBottom w:val="0"/>
          <w:divBdr>
            <w:top w:val="none" w:sz="0" w:space="0" w:color="auto"/>
            <w:left w:val="none" w:sz="0" w:space="0" w:color="auto"/>
            <w:bottom w:val="none" w:sz="0" w:space="0" w:color="auto"/>
            <w:right w:val="none" w:sz="0" w:space="0" w:color="auto"/>
          </w:divBdr>
        </w:div>
        <w:div w:id="271976406">
          <w:marLeft w:val="0"/>
          <w:marRight w:val="0"/>
          <w:marTop w:val="0"/>
          <w:marBottom w:val="0"/>
          <w:divBdr>
            <w:top w:val="none" w:sz="0" w:space="0" w:color="auto"/>
            <w:left w:val="none" w:sz="0" w:space="0" w:color="auto"/>
            <w:bottom w:val="none" w:sz="0" w:space="0" w:color="auto"/>
            <w:right w:val="none" w:sz="0" w:space="0" w:color="auto"/>
          </w:divBdr>
        </w:div>
        <w:div w:id="496771936">
          <w:marLeft w:val="0"/>
          <w:marRight w:val="0"/>
          <w:marTop w:val="0"/>
          <w:marBottom w:val="0"/>
          <w:divBdr>
            <w:top w:val="none" w:sz="0" w:space="0" w:color="auto"/>
            <w:left w:val="none" w:sz="0" w:space="0" w:color="auto"/>
            <w:bottom w:val="none" w:sz="0" w:space="0" w:color="auto"/>
            <w:right w:val="none" w:sz="0" w:space="0" w:color="auto"/>
          </w:divBdr>
        </w:div>
        <w:div w:id="698354898">
          <w:marLeft w:val="0"/>
          <w:marRight w:val="0"/>
          <w:marTop w:val="0"/>
          <w:marBottom w:val="0"/>
          <w:divBdr>
            <w:top w:val="none" w:sz="0" w:space="0" w:color="auto"/>
            <w:left w:val="none" w:sz="0" w:space="0" w:color="auto"/>
            <w:bottom w:val="none" w:sz="0" w:space="0" w:color="auto"/>
            <w:right w:val="none" w:sz="0" w:space="0" w:color="auto"/>
          </w:divBdr>
        </w:div>
        <w:div w:id="1837961086">
          <w:marLeft w:val="0"/>
          <w:marRight w:val="0"/>
          <w:marTop w:val="0"/>
          <w:marBottom w:val="0"/>
          <w:divBdr>
            <w:top w:val="none" w:sz="0" w:space="0" w:color="auto"/>
            <w:left w:val="none" w:sz="0" w:space="0" w:color="auto"/>
            <w:bottom w:val="none" w:sz="0" w:space="0" w:color="auto"/>
            <w:right w:val="none" w:sz="0" w:space="0" w:color="auto"/>
          </w:divBdr>
        </w:div>
        <w:div w:id="1312632259">
          <w:marLeft w:val="0"/>
          <w:marRight w:val="0"/>
          <w:marTop w:val="0"/>
          <w:marBottom w:val="0"/>
          <w:divBdr>
            <w:top w:val="none" w:sz="0" w:space="0" w:color="auto"/>
            <w:left w:val="none" w:sz="0" w:space="0" w:color="auto"/>
            <w:bottom w:val="none" w:sz="0" w:space="0" w:color="auto"/>
            <w:right w:val="none" w:sz="0" w:space="0" w:color="auto"/>
          </w:divBdr>
        </w:div>
        <w:div w:id="666905592">
          <w:marLeft w:val="0"/>
          <w:marRight w:val="0"/>
          <w:marTop w:val="0"/>
          <w:marBottom w:val="0"/>
          <w:divBdr>
            <w:top w:val="none" w:sz="0" w:space="0" w:color="auto"/>
            <w:left w:val="none" w:sz="0" w:space="0" w:color="auto"/>
            <w:bottom w:val="none" w:sz="0" w:space="0" w:color="auto"/>
            <w:right w:val="none" w:sz="0" w:space="0" w:color="auto"/>
          </w:divBdr>
        </w:div>
        <w:div w:id="1406880072">
          <w:marLeft w:val="0"/>
          <w:marRight w:val="0"/>
          <w:marTop w:val="0"/>
          <w:marBottom w:val="0"/>
          <w:divBdr>
            <w:top w:val="none" w:sz="0" w:space="0" w:color="auto"/>
            <w:left w:val="none" w:sz="0" w:space="0" w:color="auto"/>
            <w:bottom w:val="none" w:sz="0" w:space="0" w:color="auto"/>
            <w:right w:val="none" w:sz="0" w:space="0" w:color="auto"/>
          </w:divBdr>
        </w:div>
        <w:div w:id="2006125542">
          <w:marLeft w:val="0"/>
          <w:marRight w:val="0"/>
          <w:marTop w:val="0"/>
          <w:marBottom w:val="0"/>
          <w:divBdr>
            <w:top w:val="none" w:sz="0" w:space="0" w:color="auto"/>
            <w:left w:val="none" w:sz="0" w:space="0" w:color="auto"/>
            <w:bottom w:val="none" w:sz="0" w:space="0" w:color="auto"/>
            <w:right w:val="none" w:sz="0" w:space="0" w:color="auto"/>
          </w:divBdr>
        </w:div>
        <w:div w:id="81294919">
          <w:marLeft w:val="0"/>
          <w:marRight w:val="0"/>
          <w:marTop w:val="0"/>
          <w:marBottom w:val="0"/>
          <w:divBdr>
            <w:top w:val="none" w:sz="0" w:space="0" w:color="auto"/>
            <w:left w:val="none" w:sz="0" w:space="0" w:color="auto"/>
            <w:bottom w:val="none" w:sz="0" w:space="0" w:color="auto"/>
            <w:right w:val="none" w:sz="0" w:space="0" w:color="auto"/>
          </w:divBdr>
        </w:div>
        <w:div w:id="513225788">
          <w:marLeft w:val="0"/>
          <w:marRight w:val="0"/>
          <w:marTop w:val="0"/>
          <w:marBottom w:val="0"/>
          <w:divBdr>
            <w:top w:val="none" w:sz="0" w:space="0" w:color="auto"/>
            <w:left w:val="none" w:sz="0" w:space="0" w:color="auto"/>
            <w:bottom w:val="none" w:sz="0" w:space="0" w:color="auto"/>
            <w:right w:val="none" w:sz="0" w:space="0" w:color="auto"/>
          </w:divBdr>
        </w:div>
        <w:div w:id="2106534409">
          <w:marLeft w:val="0"/>
          <w:marRight w:val="0"/>
          <w:marTop w:val="0"/>
          <w:marBottom w:val="0"/>
          <w:divBdr>
            <w:top w:val="none" w:sz="0" w:space="0" w:color="auto"/>
            <w:left w:val="none" w:sz="0" w:space="0" w:color="auto"/>
            <w:bottom w:val="none" w:sz="0" w:space="0" w:color="auto"/>
            <w:right w:val="none" w:sz="0" w:space="0" w:color="auto"/>
          </w:divBdr>
        </w:div>
        <w:div w:id="805582708">
          <w:marLeft w:val="0"/>
          <w:marRight w:val="0"/>
          <w:marTop w:val="0"/>
          <w:marBottom w:val="0"/>
          <w:divBdr>
            <w:top w:val="none" w:sz="0" w:space="0" w:color="auto"/>
            <w:left w:val="none" w:sz="0" w:space="0" w:color="auto"/>
            <w:bottom w:val="none" w:sz="0" w:space="0" w:color="auto"/>
            <w:right w:val="none" w:sz="0" w:space="0" w:color="auto"/>
          </w:divBdr>
        </w:div>
        <w:div w:id="2027176236">
          <w:marLeft w:val="0"/>
          <w:marRight w:val="0"/>
          <w:marTop w:val="0"/>
          <w:marBottom w:val="0"/>
          <w:divBdr>
            <w:top w:val="none" w:sz="0" w:space="0" w:color="auto"/>
            <w:left w:val="none" w:sz="0" w:space="0" w:color="auto"/>
            <w:bottom w:val="none" w:sz="0" w:space="0" w:color="auto"/>
            <w:right w:val="none" w:sz="0" w:space="0" w:color="auto"/>
          </w:divBdr>
        </w:div>
        <w:div w:id="1494951216">
          <w:marLeft w:val="0"/>
          <w:marRight w:val="0"/>
          <w:marTop w:val="0"/>
          <w:marBottom w:val="0"/>
          <w:divBdr>
            <w:top w:val="none" w:sz="0" w:space="0" w:color="auto"/>
            <w:left w:val="none" w:sz="0" w:space="0" w:color="auto"/>
            <w:bottom w:val="none" w:sz="0" w:space="0" w:color="auto"/>
            <w:right w:val="none" w:sz="0" w:space="0" w:color="auto"/>
          </w:divBdr>
        </w:div>
        <w:div w:id="1026640557">
          <w:marLeft w:val="0"/>
          <w:marRight w:val="0"/>
          <w:marTop w:val="0"/>
          <w:marBottom w:val="0"/>
          <w:divBdr>
            <w:top w:val="none" w:sz="0" w:space="0" w:color="auto"/>
            <w:left w:val="none" w:sz="0" w:space="0" w:color="auto"/>
            <w:bottom w:val="none" w:sz="0" w:space="0" w:color="auto"/>
            <w:right w:val="none" w:sz="0" w:space="0" w:color="auto"/>
          </w:divBdr>
        </w:div>
        <w:div w:id="2054502447">
          <w:marLeft w:val="0"/>
          <w:marRight w:val="0"/>
          <w:marTop w:val="0"/>
          <w:marBottom w:val="0"/>
          <w:divBdr>
            <w:top w:val="none" w:sz="0" w:space="0" w:color="auto"/>
            <w:left w:val="none" w:sz="0" w:space="0" w:color="auto"/>
            <w:bottom w:val="none" w:sz="0" w:space="0" w:color="auto"/>
            <w:right w:val="none" w:sz="0" w:space="0" w:color="auto"/>
          </w:divBdr>
        </w:div>
        <w:div w:id="1872106079">
          <w:marLeft w:val="0"/>
          <w:marRight w:val="0"/>
          <w:marTop w:val="0"/>
          <w:marBottom w:val="0"/>
          <w:divBdr>
            <w:top w:val="none" w:sz="0" w:space="0" w:color="auto"/>
            <w:left w:val="none" w:sz="0" w:space="0" w:color="auto"/>
            <w:bottom w:val="none" w:sz="0" w:space="0" w:color="auto"/>
            <w:right w:val="none" w:sz="0" w:space="0" w:color="auto"/>
          </w:divBdr>
        </w:div>
        <w:div w:id="1563102817">
          <w:marLeft w:val="0"/>
          <w:marRight w:val="0"/>
          <w:marTop w:val="0"/>
          <w:marBottom w:val="0"/>
          <w:divBdr>
            <w:top w:val="none" w:sz="0" w:space="0" w:color="auto"/>
            <w:left w:val="none" w:sz="0" w:space="0" w:color="auto"/>
            <w:bottom w:val="none" w:sz="0" w:space="0" w:color="auto"/>
            <w:right w:val="none" w:sz="0" w:space="0" w:color="auto"/>
          </w:divBdr>
        </w:div>
        <w:div w:id="531499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di%20Working%20Folder\MedInfo2017%20Planning%20committee\MedInfo%20Templates%20from%20Sarkar\2015_MEDINFO_Template_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955CC-8CD1-004B-9FA1-92C47A847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C:\Adi Working Folder\MedInfo2017 Planning committee\MedInfo Templates from Sarkar\2015_MEDINFO_Template_Master.dot</Template>
  <TotalTime>331</TotalTime>
  <Pages>5</Pages>
  <Words>7820</Words>
  <Characters>44577</Characters>
  <Application>Microsoft Macintosh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2015 MEDINFO Template</vt:lpstr>
    </vt:vector>
  </TitlesOfParts>
  <Manager/>
  <Company>IMIA</Company>
  <LinksUpToDate>false</LinksUpToDate>
  <CharactersWithSpaces>52293</CharactersWithSpaces>
  <SharedDoc>false</SharedDoc>
  <HyperlinkBase/>
  <HLinks>
    <vt:vector size="6" baseType="variant">
      <vt:variant>
        <vt:i4>5832826</vt:i4>
      </vt:variant>
      <vt:variant>
        <vt:i4>3151</vt:i4>
      </vt:variant>
      <vt:variant>
        <vt:i4>1025</vt:i4>
      </vt:variant>
      <vt:variant>
        <vt:i4>1</vt:i4>
      </vt:variant>
      <vt:variant>
        <vt:lpwstr>SBI_319-(AVATAR02)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MEDINFO Template</dc:title>
  <dc:subject/>
  <dc:creator>Adi Gundlapalli</dc:creator>
  <cp:keywords/>
  <dc:description/>
  <cp:lastModifiedBy>kevin.cohen@gmail.com</cp:lastModifiedBy>
  <cp:revision>196</cp:revision>
  <cp:lastPrinted>2003-07-19T03:59:00Z</cp:lastPrinted>
  <dcterms:created xsi:type="dcterms:W3CDTF">2017-03-24T00:58:00Z</dcterms:created>
  <dcterms:modified xsi:type="dcterms:W3CDTF">2017-04-14T02:33:00Z</dcterms:modified>
  <cp:category/>
</cp:coreProperties>
</file>