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F3864"/>
          <w:sz w:val="48"/>
          <w:szCs w:val="48"/>
        </w:rPr>
        <w:t xml:space="preserve">PARAMOUNT PICTURES</w:t>
      </w:r>
    </w:p>
    <w:p>
      <w:pPr>
        <w:spacing w:after="120" w:before="0"/>
        <w:jc w:val="center"/>
      </w:pPr>
      <w:r>
        <w:rPr>
          <w:rFonts w:ascii="Arial" w:cs="Arial" w:eastAsia="Arial" w:hAnsi="Arial"/>
          <w:color w:val="2E5FA3"/>
          <w:sz w:val="36"/>
          <w:szCs w:val="36"/>
        </w:rPr>
        <w:t xml:space="preserve">Oracle Fusion Integration</w:t>
      </w:r>
    </w:p>
    <w:p>
      <w:pPr>
        <w:pBdr>
          <w:top w:val="single" w:color="2E5FA3" w:sz="8"/>
          <w:bottom w:val="single" w:color="2E5FA3" w:sz="8"/>
        </w:pBdr>
        <w:spacing w:after="200" w:before="200"/>
        <w:jc w:val="center"/>
      </w:pPr>
      <w:r>
        <w:rPr>
          <w:rFonts w:ascii="Arial" w:cs="Arial" w:eastAsia="Arial" w:hAnsi="Arial"/>
          <w:b/>
          <w:bCs/>
          <w:color w:val="1F3864"/>
          <w:sz w:val="40"/>
          <w:szCs w:val="40"/>
        </w:rPr>
        <w:t xml:space="preserve">Finance Gateway &amp; Revenue Split Architecture</w:t>
      </w:r>
    </w:p>
    <w:p>
      <w:pPr>
        <w:spacing w:after="400" w:before="0"/>
        <w:jc w:val="center"/>
      </w:pPr>
      <w:r>
        <w:rPr>
          <w:rFonts w:ascii="Arial" w:cs="Arial" w:eastAsia="Arial" w:hAnsi="Arial"/>
          <w:color w:val="444444"/>
          <w:sz w:val="24"/>
          <w:szCs w:val="24"/>
        </w:rPr>
        <w:t xml:space="preserve">O2C / AR Integration Workstream — Internal Knowledge Transfer</w:t>
      </w:r>
    </w:p>
    <w:p>
      <w:pPr>
        <w:spacing w:after="120" w:before="0"/>
        <w:jc w:val="center"/>
      </w:pPr>
      <w:r>
        <w:rPr>
          <w:rFonts w:ascii="Arial" w:cs="Arial" w:eastAsia="Arial" w:hAnsi="Arial"/>
          <w:b/>
          <w:bCs/>
          <w:color w:val="1F3864"/>
          <w:sz w:val="24"/>
          <w:szCs w:val="24"/>
        </w:rPr>
        <w:t xml:space="preserve">10/1 Go-Live: October 1, 2026</w:t>
      </w:r>
    </w:p>
    <w:p>
      <w:pPr>
        <w:spacing w:after="120" w:before="0"/>
        <w:jc w:val="center"/>
      </w:pPr>
      <w:r>
        <w:rPr>
          <w:rFonts w:ascii="Arial" w:cs="Arial" w:eastAsia="Arial" w:hAnsi="Arial"/>
          <w:color w:val="666666"/>
          <w:sz w:val="20"/>
          <w:szCs w:val="20"/>
        </w:rPr>
        <w:t xml:space="preserve">Source: O2C-AR KT Session 1 recording — June 2026</w:t>
      </w:r>
    </w:p>
    <w:p>
      <w:pPr>
        <w:spacing w:after="120" w:before="0"/>
        <w:jc w:val="center"/>
      </w:pPr>
      <w:r>
        <w:rPr>
          <w:rFonts w:ascii="Arial" w:cs="Arial" w:eastAsia="Arial" w:hAnsi="Arial"/>
          <w:b/>
          <w:bCs/>
          <w:color w:val="2E5FA3"/>
          <w:sz w:val="20"/>
          <w:szCs w:val="20"/>
        </w:rPr>
        <w:t xml:space="preserve">Revision 1 — Session 2 content (splitter use cases, pass backs) pending</w:t>
      </w:r>
    </w:p>
    <w:p>
      <w:pPr>
        <w:spacing w:after="0" w:before="240"/>
        <w:jc w:val="center"/>
      </w:pPr>
      <w:r>
        <w:rPr>
          <w:rFonts w:ascii="Arial" w:cs="Arial" w:eastAsia="Arial" w:hAnsi="Arial"/>
          <w:b/>
          <w:bCs/>
          <w:color w:val="C00000"/>
          <w:sz w:val="20"/>
          <w:szCs w:val="20"/>
        </w:rPr>
        <w:t xml:space="preserve">CONFIDENTIAL — Internal Use Only</w:t>
      </w:r>
    </w:p>
    <w:p>
      <w:r>
        <w:br w:type="pag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1 — Purpose &amp; Context</w:t>
      </w:r>
    </w:p>
    <w:p>
      <w:pPr>
        <w:pStyle w:val="Heading2"/>
        <w:pBdr>
          <w:bottom w:val="single" w:color="2E5FA3" w:sz="4"/>
        </w:pBdr>
        <w:spacing w:after="120" w:before="280"/>
      </w:pPr>
      <w:r>
        <w:rPr>
          <w:rFonts w:ascii="Arial" w:cs="Arial" w:eastAsia="Arial" w:hAnsi="Arial"/>
          <w:b/>
          <w:bCs/>
          <w:color w:val="1F3864"/>
          <w:sz w:val="28"/>
          <w:szCs w:val="28"/>
        </w:rPr>
        <w:t xml:space="preserve">1.1  What This Document Covers</w:t>
      </w:r>
    </w:p>
    <w:p>
      <w:pPr>
        <w:spacing w:after="100" w:before="0"/>
      </w:pPr>
      <w:r>
        <w:rPr>
          <w:rFonts w:ascii="Arial" w:cs="Arial" w:eastAsia="Arial" w:hAnsi="Arial"/>
          <w:sz w:val="20"/>
          <w:szCs w:val="20"/>
        </w:rPr>
        <w:t xml:space="preserve">This handbook documents the Finance Gateway and Revenue Split architecture for Paramount Pictures' Oracle Fusion 10/1 go-live. It is drawn from the O2C-AR Knowledge Transfer (KT) Session 1, led by the Oracle Consulting Services (OCS) team to align all integration team members before boundary system conversations begin.</w:t>
      </w:r>
    </w:p>
    <w:p>
      <w:pPr>
        <w:spacing w:after="80" w:before="0"/>
      </w:pPr>
      <w:r>
        <w:t xml:space="preserve"/>
      </w:r>
    </w:p>
    <w:p>
      <w:pPr>
        <w:spacing w:after="100" w:before="0"/>
      </w:pPr>
      <w:r>
        <w:rPr>
          <w:rFonts w:ascii="Arial" w:cs="Arial" w:eastAsia="Arial" w:hAnsi="Arial"/>
          <w:sz w:val="20"/>
          <w:szCs w:val="20"/>
        </w:rPr>
        <w:t xml:space="preserve">The split architecture is one of the most complex and non-standard aspects of the Paramount Fusion implementation. Every member of the team who will interact with boundary system owners (Diane's team, individual application owners) must understand this architecture so the team delivers a consistent, prescriptive message — not re-deriving requirements that leadership has already resolved.</w:t>
      </w:r>
    </w:p>
    <w:p>
      <w:pPr>
        <w:spacing w:after="80" w:before="0"/>
      </w:pPr>
      <w:r>
        <w:t xml:space="preserve"/>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SCOPE NOTE: This document covers Session 1 content only.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Session 2 will cover the remaining five splitter-type use cases (walked through per boundary system), pass backs (content licensing accounting), and the standard split design (AR/AP balance sheet split).</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This document will be updated after Session 2.</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1.2  Key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7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Stephen (OCS)</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Presenter — Oracle implementation lead for Finance Gateway and splitting architecture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Rajesh (OCS)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Team lead — direct reports conducting boundary system sessions</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Kevin Butchowski</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O2C / AR Billing Integrations workstream lead — Paramount side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integration team</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Audience — will be leading individual boundary system design sessions</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1.3  Why This KT Session Was Held</w:t>
      </w:r>
    </w:p>
    <w:p>
      <w:pPr>
        <w:spacing w:after="100" w:before="0"/>
      </w:pPr>
      <w:r>
        <w:rPr>
          <w:rFonts w:ascii="Arial" w:cs="Arial" w:eastAsia="Arial" w:hAnsi="Arial"/>
          <w:sz w:val="20"/>
          <w:szCs w:val="20"/>
        </w:rPr>
        <w:t xml:space="preserve">The OCS team has been having boundary system conversations one system at a time. The concern: without a shared internal understanding of the architectural solution for cross-cutting requirements, different team members might give inconsistent answers, or worse, ask Paramount's subject matter experts questions that have already been answered at the leadership level (Diane Gill, Anne Hong, Ian Brotowski, Tony Bone).</w:t>
      </w:r>
    </w:p>
    <w:p>
      <w:pPr>
        <w:spacing w:after="80" w:before="0"/>
      </w:pPr>
      <w:r>
        <w:t xml:space="preserve"/>
      </w:r>
    </w:p>
    <w:p>
      <w:pPr>
        <w:spacing w:after="100" w:before="0"/>
      </w:pPr>
      <w:r>
        <w:rPr>
          <w:rFonts w:ascii="Arial" w:cs="Arial" w:eastAsia="Arial" w:hAnsi="Arial"/>
          <w:b/>
          <w:bCs/>
          <w:sz w:val="20"/>
          <w:szCs w:val="20"/>
        </w:rPr>
        <w:t xml:space="preserve">The directive: </w:t>
      </w:r>
      <w:r>
        <w:rPr>
          <w:rFonts w:ascii="Arial" w:cs="Arial" w:eastAsia="Arial" w:hAnsi="Arial"/>
          <w:sz w:val="20"/>
          <w:szCs w:val="20"/>
        </w:rPr>
        <w:t xml:space="preserve">When you go into a boundary system conversation, be prescriptive — 'We know about this requirement and here is how we are solving for it' — not exploratory — 'Tell us about your requirement.' This applies especially to splitting and allocation topics.</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2 — Why Revenue Splitting Is Non-Negotiable</w:t>
      </w:r>
    </w:p>
    <w:p>
      <w:pPr>
        <w:pStyle w:val="Heading2"/>
        <w:pBdr>
          <w:bottom w:val="single" w:color="2E5FA3" w:sz="4"/>
        </w:pBdr>
        <w:spacing w:after="120" w:before="280"/>
      </w:pPr>
      <w:r>
        <w:rPr>
          <w:rFonts w:ascii="Arial" w:cs="Arial" w:eastAsia="Arial" w:hAnsi="Arial"/>
          <w:b/>
          <w:bCs/>
          <w:color w:val="1F3864"/>
          <w:sz w:val="28"/>
          <w:szCs w:val="28"/>
        </w:rPr>
        <w:t xml:space="preserve">2.1  The Business Driver: Participation &amp; Residuals (PNR)</w:t>
      </w:r>
    </w:p>
    <w:p>
      <w:pPr>
        <w:spacing w:after="100" w:before="0"/>
      </w:pPr>
      <w:r>
        <w:rPr>
          <w:rFonts w:ascii="Arial" w:cs="Arial" w:eastAsia="Arial" w:hAnsi="Arial"/>
          <w:sz w:val="20"/>
          <w:szCs w:val="20"/>
        </w:rPr>
        <w:t xml:space="preserve">Revenue splitting down to the individual title and episode level is not an architectural preference — it is a contractual and legal obligation. The driver is the PNR (Participation and Residuals) system.</w:t>
      </w:r>
    </w:p>
    <w:p>
      <w:pPr>
        <w:spacing w:after="80" w:before="0"/>
      </w:pPr>
      <w:r>
        <w:t xml:space="preserve"/>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WHAT IS PNR?</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Paramount has contractual agreements with talent (actors, directors, writers, crew) that entitle them to</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a percentage of revenue or profit generated by specific titles or episodes.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Examples: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Tom Cruise: percentage of ALL worldwide revenues for the Top Gun franchise.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Bruce Willis (Friends cameo): percentage of revenue from the specific episodes he appeared in.</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A director: percentage of NET PROFIT on a given production.</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Talent agencies conduct formal audits of Paramount's financial records to verify these calculations.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CONSEQUENCE: If Paramount cannot show financial data at the correct title/episode level,</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they cannot calculate residuals accurately, cannot pay talent correctly, and are exposed to</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audit failures and breach of contract. The split is a contractual and legal non-negotiable.</w:t>
      </w:r>
    </w:p>
    <w:p>
      <w:pPr>
        <w:spacing w:after="80" w:before="0"/>
      </w:pPr>
      <w:r>
        <w:t xml:space="preserve"/>
      </w:r>
    </w:p>
    <w:p>
      <w:pPr>
        <w:spacing w:after="100" w:before="0"/>
      </w:pPr>
      <w:r>
        <w:rPr>
          <w:rFonts w:ascii="Arial" w:cs="Arial" w:eastAsia="Arial" w:hAnsi="Arial"/>
          <w:sz w:val="20"/>
          <w:szCs w:val="20"/>
        </w:rPr>
        <w:t xml:space="preserve">This explains why the Fusion title segment (COA Segment 7) has 865,000 values — a number that would be rejected as unreasonable in any other Oracle Fusion deployment, but is absolutely required here.</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2.2  The Split Requirement — Revenue AND Expense</w:t>
      </w:r>
    </w:p>
    <w:p>
      <w:pPr>
        <w:spacing w:after="100" w:before="0"/>
      </w:pPr>
      <w:r>
        <w:rPr>
          <w:rFonts w:ascii="Arial" w:cs="Arial" w:eastAsia="Arial" w:hAnsi="Arial"/>
          <w:sz w:val="20"/>
          <w:szCs w:val="20"/>
        </w:rPr>
        <w:t xml:space="preserve">The split applies to both sides of the P&amp;L:</w:t>
      </w:r>
    </w:p>
    <w:p>
      <w:pPr>
        <w:pStyle w:val="ListParagraph"/>
        <w:numPr>
          <w:ilvl w:val="0"/>
          <w:numId w:val="2"/>
        </w:numPr>
        <w:spacing w:after="60" w:before="0"/>
      </w:pPr>
      <w:r>
        <w:rPr>
          <w:rFonts w:ascii="Arial" w:cs="Arial" w:eastAsia="Arial" w:hAnsi="Arial"/>
          <w:b w:val="false"/>
          <w:bCs w:val="false"/>
          <w:color w:val="000000"/>
          <w:sz w:val="20"/>
          <w:szCs w:val="20"/>
        </w:rPr>
        <w:t xml:space="preserve">Revenue: incoming boundary system revenue must be split down to the correct title/episode level before posting to Fusion.</w:t>
      </w:r>
    </w:p>
    <w:p>
      <w:pPr>
        <w:pStyle w:val="ListParagraph"/>
        <w:numPr>
          <w:ilvl w:val="0"/>
          <w:numId w:val="2"/>
        </w:numPr>
        <w:spacing w:after="60" w:before="0"/>
      </w:pPr>
      <w:r>
        <w:rPr>
          <w:rFonts w:ascii="Arial" w:cs="Arial" w:eastAsia="Arial" w:hAnsi="Arial"/>
          <w:b w:val="false"/>
          <w:bCs w:val="false"/>
          <w:color w:val="000000"/>
          <w:sz w:val="20"/>
          <w:szCs w:val="20"/>
        </w:rPr>
        <w:t xml:space="preserve">Expense: cost and expense buckets captured at a higher level (season, show) must be allocated down to episode level so that net profit per episode can be calculated for those talent agreements based on profitability rather than gross revenue.</w:t>
      </w:r>
    </w:p>
    <w:p>
      <w:pPr>
        <w:spacing w:after="80" w:before="0"/>
      </w:pPr>
      <w:r>
        <w:t xml:space="preserve"/>
      </w:r>
    </w:p>
    <w:p>
      <w:pPr>
        <w:spacing w:after="100" w:before="0"/>
      </w:pPr>
      <w:r>
        <w:rPr>
          <w:rFonts w:ascii="Arial" w:cs="Arial" w:eastAsia="Arial" w:hAnsi="Arial"/>
          <w:sz w:val="20"/>
          <w:szCs w:val="20"/>
        </w:rPr>
        <w:t xml:space="preserve">Both are required to support the PNR calculation. The two are handled differently (split for revenue, allocation engine for expense) but serve the same downstream purpose.</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2.3  The Split in SAP Today vs.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Aspect</w:t>
            </w:r>
          </w:p>
        </w:tc>
        <w:tc>
          <w:tcPr>
            <w:tcW w:type="dxa" w:w="30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SAP (Current)</w:t>
            </w:r>
          </w:p>
        </w:tc>
        <w:tc>
          <w:tcPr>
            <w:tcW w:type="dxa" w:w="30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Oracle Fusion (Target)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When split occurs</w:t>
            </w:r>
          </w:p>
        </w:tc>
        <w:tc>
          <w:tcPr>
            <w:tcW w:type="dxa" w:w="30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Post-posting: data enters SAP unsplit, then custom splitter runs as a separate step</w:t>
            </w:r>
          </w:p>
        </w:tc>
        <w:tc>
          <w:tcPr>
            <w:tcW w:type="dxa" w:w="30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Pre-posting: Finance Gateway executes split BEFORE data reaches Fusion financials</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Where split data lives</w:t>
            </w:r>
          </w:p>
        </w:tc>
        <w:tc>
          <w:tcPr>
            <w:tcW w:type="dxa" w:w="30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Both pre-split AND post-split data visible in SAP documents/screens</w:t>
            </w:r>
          </w:p>
        </w:tc>
        <w:tc>
          <w:tcPr>
            <w:tcW w:type="dxa" w:w="30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Only post-split data in Fusion; pre-split records stay in Finance Gateway tables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Audit traceability</w:t>
            </w:r>
          </w:p>
        </w:tc>
        <w:tc>
          <w:tcPr>
            <w:tcW w:type="dxa" w:w="30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document chain links pre- and post-split</w:t>
            </w:r>
          </w:p>
        </w:tc>
        <w:tc>
          <w:tcPr>
            <w:tcW w:type="dxa" w:w="30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Gateway transaction ID links pre-split source line to all resulting post-split Fusion lines</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Standard split (AR/AP)</w:t>
            </w:r>
          </w:p>
        </w:tc>
        <w:tc>
          <w:tcPr>
            <w:tcW w:type="dxa" w:w="30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standard functionality (similar to AP auto-offsets but more powerful)</w:t>
            </w:r>
          </w:p>
        </w:tc>
        <w:tc>
          <w:tcPr>
            <w:tcW w:type="dxa" w:w="30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 — no out-of-box Fusion equivalent; design in progress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Allocation (expense)</w:t>
            </w:r>
          </w:p>
        </w:tc>
        <w:tc>
          <w:tcPr>
            <w:tcW w:type="dxa" w:w="30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 ABAP routine in SAP</w:t>
            </w:r>
          </w:p>
        </w:tc>
        <w:tc>
          <w:tcPr>
            <w:tcW w:type="dxa" w:w="30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 allocation engine — Fusion Allocation Manager or custom solution</w:t>
            </w:r>
          </w:p>
        </w:tc>
      </w:tr>
    </w:tbl>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color w:val="000000"/>
          <w:sz w:val="20"/>
          <w:szCs w:val="20"/>
        </w:rPr>
        <w:t xml:space="preserve">⚠  CHANGE MANAGEMENT: The shift from 'post-split visible in SAP' to 'pre-split only in Gateway' is a significant mindset change for Paramount users. They are accustomed to seeing the pre-split accounting entry in their ERP. In Fusion, they will only see the post-split result. The pre-split view requires querying the Finance Gateway data store. This must be communicated clearly during UAT and training.</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3 — Three Buckets of Splitting Functionality</w:t>
      </w:r>
    </w:p>
    <w:p>
      <w:pPr>
        <w:spacing w:after="100" w:before="0"/>
      </w:pPr>
      <w:r>
        <w:rPr>
          <w:rFonts w:ascii="Arial" w:cs="Arial" w:eastAsia="Arial" w:hAnsi="Arial"/>
          <w:sz w:val="20"/>
          <w:szCs w:val="20"/>
        </w:rPr>
        <w:t xml:space="preserve">When Paramount people say 'split' or 'splitter,' they typically mean one of three distinct things. Each has a different trigger, a different mechanism, and a different open/closed status in the Fusion solution design.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360"/>
      </w:tblGrid>
      <w:tr>
        <w:trPr>
          <w:tblHeader/>
        </w:trPr>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Bucket</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w:t>
            </w:r>
          </w:p>
        </w:tc>
        <w:tc>
          <w:tcPr>
            <w:tcW w:type="dxa" w:w="2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Mechanism</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 Custom Split</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Splits inbound boundary system revenue down to the correct COA title value (L3 episode or L2 show level)</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Revenue arrives from boundary system at a higher title level than where it needs to be posted</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 pre-processor — executes before Fusion posting</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 Standard Split</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Splits the balance sheet (AR receivable, AP payable) by title</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System-generated balance sheet entries when an AR invoice or AP payment is posted</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Design IN PROGRESS — no confirmed Fusion solution yet</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 Allocation</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Takes expense/cost sitting at a season or show level and pushes it down to individual episode titles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Periodic allocation run — business-triggered</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 allocation engine (Fusion Allocation Manager or custom)</w:t>
            </w:r>
          </w:p>
        </w:tc>
      </w:tr>
    </w:tbl>
    <w:p>
      <w:pPr>
        <w:spacing w:after="80" w:before="0"/>
      </w:pPr>
      <w:r>
        <w:t xml:space="preserve"/>
      </w:r>
    </w:p>
    <w:p>
      <w:pPr>
        <w:pStyle w:val="Heading3"/>
        <w:spacing w:after="80" w:before="200"/>
      </w:pPr>
      <w:r>
        <w:rPr>
          <w:rFonts w:ascii="Arial" w:cs="Arial" w:eastAsia="Arial" w:hAnsi="Arial"/>
          <w:b/>
          <w:bCs/>
          <w:color w:val="2E5FA3"/>
          <w:sz w:val="22"/>
          <w:szCs w:val="22"/>
        </w:rPr>
        <w:t xml:space="preserve">Bucket 1 — Custom Split (Revenue)</w:t>
      </w:r>
    </w:p>
    <w:p>
      <w:pPr>
        <w:spacing w:after="100" w:before="0"/>
      </w:pPr>
      <w:r>
        <w:rPr>
          <w:rFonts w:ascii="Arial" w:cs="Arial" w:eastAsia="Arial" w:hAnsi="Arial"/>
          <w:sz w:val="20"/>
          <w:szCs w:val="20"/>
        </w:rPr>
        <w:t xml:space="preserve">This is the primary focus of Session 1. Revenue data from boundary systems (MMO, MMS, MACCS, UIP, UPI, Elevation, AEC, etc.) arrives with a title reference at an aggregate level. Finance Gateway reads the title, identifies the split type required, and expands the single revenue line into multiple post-split lines — each with the correct episode-level or lower-level COA title segment value.</w:t>
      </w:r>
    </w:p>
    <w:p>
      <w:pPr>
        <w:spacing w:after="80" w:before="0"/>
      </w:pPr>
      <w:r>
        <w:t xml:space="preserve"/>
      </w:r>
    </w:p>
    <w:p>
      <w:pPr>
        <w:pBdr>
          <w:top w:val="single" w:color="2E5FA3" w:sz="4"/>
          <w:bottom w:val="none" w:color="FFFFFF" w:sz="0"/>
          <w:left w:val="thick" w:color="C00000" w:sz="12"/>
          <w:right w:val="none"/>
        </w:pBdr>
        <w:shd w:fill="E2EFDA" w:val="clear"/>
        <w:spacing w:after="2" w:before="120"/>
        <w:ind w:left="240" w:right="240"/>
      </w:pPr>
      <w:r>
        <w:rPr>
          <w:rFonts w:ascii="Arial" w:cs="Arial" w:eastAsia="Arial" w:hAnsi="Arial"/>
          <w:color w:val="000000"/>
          <w:sz w:val="20"/>
          <w:szCs w:val="20"/>
        </w:rPr>
        <w:t xml:space="preserve">FINANCE GATEWAY PROCESS FOR CUSTOM SPLIT:</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1. Boundary system revenue line arrives at Finance Gateway with a title ID (e.g., Survivor Season 11)</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2. Gateway identifies the splitter type required (based on nature of the revenue line)</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3. Gateway looks up the split ratios or episode list</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4. Gateway generates N output lines (one per episode, or per ratio bucket)</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5. Each output line carries the correct episode-level COA Segment 7 value</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6. Gateway tags all output lines with a pre-split transaction ID for audit traceability</w:t>
      </w:r>
    </w:p>
    <w:p>
      <w:pPr>
        <w:pBdr>
          <w:top w:val="none" w:color="FFFFFF" w:sz="0"/>
          <w:bottom w:val="none" w:color="FFFFFF" w:sz="0"/>
          <w:left w:val="thick" w:color="C00000" w:sz="12"/>
          <w:right w:val="none"/>
        </w:pBdr>
        <w:shd w:fill="E2EFDA" w:val="clear"/>
        <w:spacing w:after="2" w:before="2"/>
        <w:ind w:left="240" w:right="240"/>
      </w:pPr>
      <w:r>
        <w:rPr>
          <w:rFonts w:ascii="Arial" w:cs="Arial" w:eastAsia="Arial" w:hAnsi="Arial"/>
          <w:color w:val="000000"/>
          <w:sz w:val="20"/>
          <w:szCs w:val="20"/>
        </w:rPr>
        <w:t xml:space="preserve">7. Post-split lines are submitted to Fusion via FAH or FBDI</w:t>
      </w:r>
    </w:p>
    <w:p>
      <w:pPr>
        <w:pBdr>
          <w:top w:val="none" w:color="FFFFFF" w:sz="0"/>
          <w:bottom w:val="single" w:color="2E5FA3" w:sz="4"/>
          <w:left w:val="thick" w:color="C00000" w:sz="12"/>
          <w:right w:val="none"/>
        </w:pBdr>
        <w:shd w:fill="E2EFDA" w:val="clear"/>
        <w:spacing w:after="120" w:before="2"/>
        <w:ind w:left="240" w:right="240"/>
      </w:pPr>
      <w:r>
        <w:rPr>
          <w:rFonts w:ascii="Arial" w:cs="Arial" w:eastAsia="Arial" w:hAnsi="Arial"/>
          <w:color w:val="000000"/>
          <w:sz w:val="20"/>
          <w:szCs w:val="20"/>
        </w:rPr>
        <w:t xml:space="preserve">Only steps 5-7 appear in Fusion. Steps 1-4 are Gateway-internal.</w:t>
      </w:r>
    </w:p>
    <w:p>
      <w:pPr>
        <w:spacing w:after="80" w:before="0"/>
      </w:pPr>
      <w:r>
        <w:t xml:space="preserve"/>
      </w:r>
    </w:p>
    <w:p>
      <w:pPr>
        <w:pStyle w:val="Heading3"/>
        <w:spacing w:after="80" w:before="200"/>
      </w:pPr>
      <w:r>
        <w:rPr>
          <w:rFonts w:ascii="Arial" w:cs="Arial" w:eastAsia="Arial" w:hAnsi="Arial"/>
          <w:b/>
          <w:bCs/>
          <w:color w:val="2E5FA3"/>
          <w:sz w:val="22"/>
          <w:szCs w:val="22"/>
        </w:rPr>
        <w:t xml:space="preserve">Bucket 2 — Standard Split (Balance Sheet)</w:t>
      </w:r>
    </w:p>
    <w:p>
      <w:pPr>
        <w:pBdr>
          <w:top w:val="none"/>
          <w:bottom w:val="none"/>
          <w:left w:val="thick" w:color="C00000" w:sz="12"/>
          <w:right w:val="none"/>
        </w:pBdr>
        <w:shd w:fill="FFF2CC" w:val="clear"/>
        <w:spacing w:after="4" w:before="4"/>
        <w:ind w:left="240" w:right="240"/>
      </w:pPr>
      <w:r>
        <w:rPr>
          <w:rFonts w:ascii="Arial" w:cs="Arial" w:eastAsia="Arial" w:hAnsi="Arial"/>
          <w:color w:val="000000"/>
          <w:sz w:val="20"/>
          <w:szCs w:val="20"/>
        </w:rPr>
        <w:t xml:space="preserve">⚠  OPEN: The standard split design is not yet confirmed. Paramount's SAP environment uses standard SAP functionality (similar to auto-offset in AP) to split AR receivable and AP payable lines by title. Oracle Fusion does not have a direct equivalent. The OCS team is still working through the correct Fusion solution. Do NOT commit to a solution when this topic arises in boundary system sessions.</w:t>
      </w:r>
    </w:p>
    <w:p>
      <w:pPr>
        <w:spacing w:after="80" w:before="0"/>
      </w:pPr>
      <w:r>
        <w:t xml:space="preserve"/>
      </w:r>
    </w:p>
    <w:p>
      <w:pPr>
        <w:spacing w:after="100" w:before="0"/>
      </w:pPr>
      <w:r>
        <w:rPr>
          <w:rFonts w:ascii="Arial" w:cs="Arial" w:eastAsia="Arial" w:hAnsi="Arial"/>
          <w:sz w:val="20"/>
          <w:szCs w:val="20"/>
        </w:rPr>
        <w:t xml:space="preserve">When asked about the standard split, the correct message is: "We understand this requirement — it applies to the AR receivable and AP payable balance sheet lines. We are working through the right Fusion mechanism to solve for this and will have an answer shortly."</w:t>
      </w:r>
    </w:p>
    <w:p>
      <w:pPr>
        <w:spacing w:after="80" w:before="0"/>
      </w:pPr>
      <w:r>
        <w:t xml:space="preserve"/>
      </w:r>
    </w:p>
    <w:p>
      <w:pPr>
        <w:pStyle w:val="Heading3"/>
        <w:spacing w:after="80" w:before="200"/>
      </w:pPr>
      <w:r>
        <w:rPr>
          <w:rFonts w:ascii="Arial" w:cs="Arial" w:eastAsia="Arial" w:hAnsi="Arial"/>
          <w:b/>
          <w:bCs/>
          <w:color w:val="2E5FA3"/>
          <w:sz w:val="22"/>
          <w:szCs w:val="22"/>
        </w:rPr>
        <w:t xml:space="preserve">Bucket 3 — Allocation (Expense)</w:t>
      </w:r>
    </w:p>
    <w:p>
      <w:pPr>
        <w:spacing w:after="100" w:before="0"/>
      </w:pPr>
      <w:r>
        <w:rPr>
          <w:rFonts w:ascii="Arial" w:cs="Arial" w:eastAsia="Arial" w:hAnsi="Arial"/>
          <w:sz w:val="20"/>
          <w:szCs w:val="20"/>
        </w:rPr>
        <w:t xml:space="preserve">Expense amounts captured at the season or show level (e.g., season-level production advertising costs posted to a '9945' cost-capture title record) need to be pushed down to individual episode titles so net profit per episode is calculable. This is handled by an allocation engine that runs periodically:</w:t>
      </w:r>
    </w:p>
    <w:p>
      <w:pPr>
        <w:pStyle w:val="ListParagraph"/>
        <w:numPr>
          <w:ilvl w:val="0"/>
          <w:numId w:val="2"/>
        </w:numPr>
        <w:spacing w:after="60" w:before="0"/>
      </w:pPr>
      <w:r>
        <w:rPr>
          <w:rFonts w:ascii="Arial" w:cs="Arial" w:eastAsia="Arial" w:hAnsi="Arial"/>
          <w:b w:val="false"/>
          <w:bCs w:val="false"/>
          <w:color w:val="000000"/>
          <w:sz w:val="20"/>
          <w:szCs w:val="20"/>
        </w:rPr>
        <w:t xml:space="preserve">Identifies cost-bucket title records (non-sellable flag = true, e.g., '9945' records)</w:t>
      </w:r>
    </w:p>
    <w:p>
      <w:pPr>
        <w:pStyle w:val="ListParagraph"/>
        <w:numPr>
          <w:ilvl w:val="0"/>
          <w:numId w:val="2"/>
        </w:numPr>
        <w:spacing w:after="60" w:before="0"/>
      </w:pPr>
      <w:r>
        <w:rPr>
          <w:rFonts w:ascii="Arial" w:cs="Arial" w:eastAsia="Arial" w:hAnsi="Arial"/>
          <w:b w:val="false"/>
          <w:bCs w:val="false"/>
          <w:color w:val="000000"/>
          <w:sz w:val="20"/>
          <w:szCs w:val="20"/>
        </w:rPr>
        <w:t xml:space="preserve">Determines the episode set within that season (sellable title records)</w:t>
      </w:r>
    </w:p>
    <w:p>
      <w:pPr>
        <w:pStyle w:val="ListParagraph"/>
        <w:numPr>
          <w:ilvl w:val="0"/>
          <w:numId w:val="2"/>
        </w:numPr>
        <w:spacing w:after="60" w:before="0"/>
      </w:pPr>
      <w:r>
        <w:rPr>
          <w:rFonts w:ascii="Arial" w:cs="Arial" w:eastAsia="Arial" w:hAnsi="Arial"/>
          <w:b w:val="false"/>
          <w:bCs w:val="false"/>
          <w:color w:val="000000"/>
          <w:sz w:val="20"/>
          <w:szCs w:val="20"/>
        </w:rPr>
        <w:t xml:space="preserve">Calculates the split: equal per episode, or by another rule</w:t>
      </w:r>
    </w:p>
    <w:p>
      <w:pPr>
        <w:pStyle w:val="ListParagraph"/>
        <w:numPr>
          <w:ilvl w:val="0"/>
          <w:numId w:val="2"/>
        </w:numPr>
        <w:spacing w:after="60" w:before="0"/>
      </w:pPr>
      <w:r>
        <w:rPr>
          <w:rFonts w:ascii="Arial" w:cs="Arial" w:eastAsia="Arial" w:hAnsi="Arial"/>
          <w:b w:val="false"/>
          <w:bCs w:val="false"/>
          <w:color w:val="000000"/>
          <w:sz w:val="20"/>
          <w:szCs w:val="20"/>
        </w:rPr>
        <w:t xml:space="preserve">Generates allocation journal entries from the cost-bucket title to the individual episode titles</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4 — Title Segment Architecture (COA Segment 7)</w:t>
      </w:r>
    </w:p>
    <w:p>
      <w:pPr>
        <w:pStyle w:val="Heading2"/>
        <w:pBdr>
          <w:bottom w:val="single" w:color="2E5FA3" w:sz="4"/>
        </w:pBdr>
        <w:spacing w:after="120" w:before="280"/>
      </w:pPr>
      <w:r>
        <w:rPr>
          <w:rFonts w:ascii="Arial" w:cs="Arial" w:eastAsia="Arial" w:hAnsi="Arial"/>
          <w:b/>
          <w:bCs/>
          <w:color w:val="1F3864"/>
          <w:sz w:val="28"/>
          <w:szCs w:val="28"/>
        </w:rPr>
        <w:t xml:space="preserve">4.1  The 15-Digit Title Segment</w:t>
      </w:r>
    </w:p>
    <w:p>
      <w:pPr>
        <w:spacing w:after="100" w:before="0"/>
      </w:pPr>
      <w:r>
        <w:rPr>
          <w:rFonts w:ascii="Arial" w:cs="Arial" w:eastAsia="Arial" w:hAnsi="Arial"/>
          <w:sz w:val="20"/>
          <w:szCs w:val="20"/>
        </w:rPr>
        <w:t xml:space="preserve">COA Segment 7 is the Title segment. It is 15 digits and encodes the full MPM (Media Product Master) hierarchy that existed as multiple separate segments in Paramount's SAP code block. In Fusion, it is a single concatenated 15-character segment.</w:t>
      </w:r>
    </w:p>
    <w:p>
      <w:pPr>
        <w:spacing w:after="80" w:before="0"/>
      </w:pPr>
      <w:r>
        <w:t xml:space="preserve"/>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15-DIGIT TITLE STRUCTURE: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Digits  1–6  :  SHOW  (the series or theatrical title)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Digits  7–9  :  SEASON  (season number; 000 for theatrical/movie titles)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Digits 10–13 :  EPISODE  (episode number; 0000 for theatrical/movie titles)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Digits 14–15 :  CLIP / EDIT  (future use; currently 00 for most records)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There are currently 865,000 title values in the COA value set.</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Title master data is managed in EDM (Enterprise Data Management).</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EDM feeds Title Publisher, which distributes Fusion title IDs to downstream systems.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IMPORTANT TERMINOLOGY:</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In Fusion: use 'Fusion title ID' (the 15-digit COA value)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In GPS: the GPS number is a different identifier — linked to the Fusion ID via Title Publisher</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  'Edit version' is below the title level (not in COA) — see Section 5</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4.2  Title Types — Theatrical vs. Episodic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Content Type</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Digits 1–6</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Digits 7–9</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Digits 10–13</w:t>
            </w:r>
          </w:p>
        </w:tc>
        <w:tc>
          <w:tcPr>
            <w:tcW w:type="dxa" w:w="1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Example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Theatrical (movie)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Show code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0000</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Top Gun: 101160000000000</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Theatrical (movie)</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Show code</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0000</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Top Gun Maverick: 101170000000000</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Episodic — season level</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Show code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Season #</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0000</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Survivor S11: 300994011000000</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Episodic — episode level</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Show code</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Season #</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Episode #</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Survivor S11 Ep3: 300994011000300</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Cost-bucket record (9945)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Show code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Season #</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9945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Survivor S11 cost: 300994011994500</w:t>
            </w:r>
          </w:p>
        </w:tc>
      </w:tr>
    </w:tbl>
    <w:p>
      <w:pPr>
        <w:spacing w:after="80" w:before="0"/>
      </w:pPr>
      <w:r>
        <w:t xml:space="preserve"/>
      </w:r>
    </w:p>
    <w:p>
      <w:pPr>
        <w:spacing w:after="100" w:before="0"/>
      </w:pPr>
      <w:r>
        <w:rPr>
          <w:rFonts w:ascii="Arial" w:cs="Arial" w:eastAsia="Arial" w:hAnsi="Arial"/>
          <w:sz w:val="20"/>
          <w:szCs w:val="20"/>
        </w:rPr>
        <w:t xml:space="preserve">Theatrical titles only use the first 6 digits — the rest are zeros. One title = one COA value for the entire movie. Episodic content may have dozens to hundreds of COA values per show (one per episode per season).</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4.3  Title Attribution Metadata</w:t>
      </w:r>
    </w:p>
    <w:p>
      <w:pPr>
        <w:spacing w:after="100" w:before="0"/>
      </w:pPr>
      <w:r>
        <w:rPr>
          <w:rFonts w:ascii="Arial" w:cs="Arial" w:eastAsia="Arial" w:hAnsi="Arial"/>
          <w:sz w:val="20"/>
          <w:szCs w:val="20"/>
        </w:rPr>
        <w:t xml:space="preserve">Each title COA value carries attribution metadata in the Title Publisher / EDM data set. Key attributes used in split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Attribute</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Values / Notes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Product Type</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Feature Film, Episodic Series, Documentary, etc. — determines split methodology</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Sell / Non-Sell Flag</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SELL = revenue/cost title; NON-SELL = cost-capture bucket (e.g., 9945 records). Non-sell excluded from episode count in episodic splits.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IP Owner</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Legal entity that owns the intellectual property</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Brand</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Paramount Pictures, CBS, Nickelodeon, etc.</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Legal Entity Owner</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Which Fusion Business Unit / company code should carry this title's P&amp;L</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Division Owner</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Divisional sub-owner within the legal entity</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Release Date</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Original theatrical or series premiere date</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4.4  Title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w:t>
            </w:r>
          </w:p>
        </w:tc>
        <w:tc>
          <w:tcPr>
            <w:tcW w:type="dxa" w:w="6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EDM (Enterprise Data Management)</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Paramount creates or updates a title. EDM is the master data system of record for all title values.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Publisher</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EDM pushes the Fusion title ID to Title Publisher. Title Publisher distributes the ID to all downstream systems that need to know about it.</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GPS (Global Product System)</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Publisher updates GPS with the Fusion title ID. GPS also holds edit version records linked to the title.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COA</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COA value set is updated with the new title ID. The value must exist in Fusion before a transaction can post against it.</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Gateway's split lookup tables are populated with the title hierarchy, episode list, and ratio tables needed to execute splits.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Boundary systems</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Boundary systems (MMO, MMS, etc.) reference GPS/Fusion title IDs when sending data — they must use the Fusion title ID, not legacy MPM codes.</w:t>
            </w:r>
          </w:p>
        </w:tc>
      </w:tr>
    </w:tbl>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5 — Edit Versions, SKUs, and Physical Distribution</w:t>
      </w:r>
    </w:p>
    <w:p>
      <w:pPr>
        <w:pStyle w:val="Heading2"/>
        <w:pBdr>
          <w:bottom w:val="single" w:color="2E5FA3" w:sz="4"/>
        </w:pBdr>
        <w:spacing w:after="120" w:before="280"/>
      </w:pPr>
      <w:r>
        <w:rPr>
          <w:rFonts w:ascii="Arial" w:cs="Arial" w:eastAsia="Arial" w:hAnsi="Arial"/>
          <w:b/>
          <w:bCs/>
          <w:color w:val="1F3864"/>
          <w:sz w:val="28"/>
          <w:szCs w:val="28"/>
        </w:rPr>
        <w:t xml:space="preserve">5.1  What Is an Edit Version?</w:t>
      </w:r>
    </w:p>
    <w:p>
      <w:pPr>
        <w:spacing w:after="100" w:before="0"/>
      </w:pPr>
      <w:r>
        <w:rPr>
          <w:rFonts w:ascii="Arial" w:cs="Arial" w:eastAsia="Arial" w:hAnsi="Arial"/>
          <w:sz w:val="20"/>
          <w:szCs w:val="20"/>
        </w:rPr>
        <w:t xml:space="preserve">An edit version is a modified cut of a theatrical film made for a specific distribution channel or market. It is BELOW the title level — not a separate COA value, but a separate record in GPS linked back to the parent title.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Edit Version Example</w:t>
            </w:r>
          </w:p>
        </w:tc>
        <w:tc>
          <w:tcPr>
            <w:tcW w:type="dxa" w:w="6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Top Gun — China Theatrical</w:t>
            </w:r>
          </w:p>
        </w:tc>
        <w:tc>
          <w:tcPr>
            <w:tcW w:type="dxa" w:w="6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Cut specifically for Chinese theatrical distribution; certain scenes removed to comply with Chinese content regulations</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Top Gun — Airline Version</w:t>
            </w:r>
          </w:p>
        </w:tc>
        <w:tc>
          <w:tcPr>
            <w:tcW w:type="dxa" w:w="6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Language dubbed or scenes removed for in-flight viewing on commercial airlines (family-appropriate content)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Top Gun Maverick — China Theatrical</w:t>
            </w:r>
          </w:p>
        </w:tc>
        <w:tc>
          <w:tcPr>
            <w:tcW w:type="dxa" w:w="6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Same concept for the sequel</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Top Gun Maverick — Airline Version</w:t>
            </w:r>
          </w:p>
        </w:tc>
        <w:tc>
          <w:tcPr>
            <w:tcW w:type="dxa" w:w="6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Airline-appropriate cut of the sequel</w:t>
            </w:r>
          </w:p>
        </w:tc>
      </w:tr>
    </w:tbl>
    <w:p>
      <w:pPr>
        <w:spacing w:after="80" w:before="0"/>
      </w:pPr>
      <w:r>
        <w:t xml:space="preserve"/>
      </w:r>
    </w:p>
    <w:p>
      <w:pPr>
        <w:spacing w:after="100" w:before="0"/>
      </w:pPr>
      <w:r>
        <w:rPr>
          <w:rFonts w:ascii="Arial" w:cs="Arial" w:eastAsia="Arial" w:hAnsi="Arial"/>
          <w:b/>
          <w:bCs/>
          <w:sz w:val="20"/>
          <w:szCs w:val="20"/>
        </w:rPr>
        <w:t xml:space="preserve">Key point: </w:t>
      </w:r>
      <w:r>
        <w:rPr>
          <w:rFonts w:ascii="Arial" w:cs="Arial" w:eastAsia="Arial" w:hAnsi="Arial"/>
          <w:sz w:val="20"/>
          <w:szCs w:val="20"/>
        </w:rPr>
        <w:t xml:space="preserve">Edit versions are managed by Paramount's content editing team and registered in GPS. They are NOT separate COA segment values — they are sub-title identifiers used for physical and digital distribution tracking. One original title can have many edit versions.</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5.2  What Is a SKU?</w:t>
      </w:r>
    </w:p>
    <w:p>
      <w:pPr>
        <w:spacing w:after="100" w:before="0"/>
      </w:pPr>
      <w:r>
        <w:rPr>
          <w:rFonts w:ascii="Arial" w:cs="Arial" w:eastAsia="Arial" w:hAnsi="Arial"/>
          <w:sz w:val="20"/>
          <w:szCs w:val="20"/>
        </w:rPr>
        <w:t xml:space="preserve">A SKU (Stock-Keeping Unit) is a physical distribution bundle — the actual product sold at retail (Best Buy, Amazon, etc.). A SKU is assigned by the distributor, not by Paramount.</w:t>
      </w:r>
    </w:p>
    <w:p>
      <w:pPr>
        <w:spacing w:after="80" w:before="0"/>
      </w:pPr>
      <w:r>
        <w:t xml:space="preserve"/>
      </w:r>
    </w:p>
    <w:p>
      <w:pPr>
        <w:pStyle w:val="ListParagraph"/>
        <w:numPr>
          <w:ilvl w:val="0"/>
          <w:numId w:val="2"/>
        </w:numPr>
        <w:spacing w:after="60" w:before="0"/>
      </w:pPr>
      <w:r>
        <w:rPr>
          <w:rFonts w:ascii="Arial" w:cs="Arial" w:eastAsia="Arial" w:hAnsi="Arial"/>
          <w:b w:val="false"/>
          <w:bCs w:val="false"/>
          <w:color w:val="000000"/>
          <w:sz w:val="20"/>
          <w:szCs w:val="20"/>
        </w:rPr>
        <w:t xml:space="preserve">A SKU might bundle: Top Gun (original) + Top Gun Maverick + a bonus disc — sold as one DVD pack.</w:t>
      </w:r>
    </w:p>
    <w:p>
      <w:pPr>
        <w:pStyle w:val="ListParagraph"/>
        <w:numPr>
          <w:ilvl w:val="0"/>
          <w:numId w:val="2"/>
        </w:numPr>
        <w:spacing w:after="60" w:before="0"/>
      </w:pPr>
      <w:r>
        <w:rPr>
          <w:rFonts w:ascii="Arial" w:cs="Arial" w:eastAsia="Arial" w:hAnsi="Arial"/>
          <w:b w:val="false"/>
          <w:bCs w:val="false"/>
          <w:color w:val="000000"/>
          <w:sz w:val="20"/>
          <w:szCs w:val="20"/>
        </w:rPr>
        <w:t xml:space="preserve">One SKU can contain multiple edit versions of multiple titles.</w:t>
      </w:r>
    </w:p>
    <w:p>
      <w:pPr>
        <w:pStyle w:val="ListParagraph"/>
        <w:numPr>
          <w:ilvl w:val="0"/>
          <w:numId w:val="2"/>
        </w:numPr>
        <w:spacing w:after="60" w:before="0"/>
      </w:pPr>
      <w:r>
        <w:rPr>
          <w:rFonts w:ascii="Arial" w:cs="Arial" w:eastAsia="Arial" w:hAnsi="Arial"/>
          <w:b w:val="false"/>
          <w:bCs w:val="false"/>
          <w:color w:val="000000"/>
          <w:sz w:val="20"/>
          <w:szCs w:val="20"/>
        </w:rPr>
        <w:t xml:space="preserve">The SKU → edit version → title relationship is what the Finance Gateway uses to resolve which COA title values get the revenue credit when a physical distribution sale is reported.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Level</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Managed By</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 Fusion COA?</w:t>
            </w:r>
          </w:p>
        </w:tc>
        <w:tc>
          <w:tcPr>
            <w:tcW w:type="dxa" w:w="2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(15-digit)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Paramount / EDM</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Segment 7</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Financial reporting and P&amp;L; required for PNR</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Edit Version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Paramount content team / GPS</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 GPS record only</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Tracks which cut was distributed to which market</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SKU</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Distributor (Elevation, AEC)</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 distributor reference only</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Physical product bundle identifier for shipping and retail</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5.3  Physical Distribution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Partner</w:t>
            </w:r>
          </w:p>
        </w:tc>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Integration</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Territory</w:t>
            </w:r>
          </w:p>
        </w:tc>
        <w:tc>
          <w:tcPr>
            <w:tcW w:type="dxa" w:w="3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Elevation</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INT346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International</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Manages physical DVD/Blu-ray replication and distribution internationally. Assigns SKUs to Paramount content for international retail markets.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AEC (Alliance Entertainment)</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Domestic (US)</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Manages domestic physical distribution. Assigns SKUs for US retail markets.</w:t>
            </w:r>
          </w:p>
        </w:tc>
      </w:tr>
    </w:tbl>
    <w:p>
      <w:pPr>
        <w:spacing w:after="80" w:before="0"/>
      </w:pPr>
      <w:r>
        <w:t xml:space="preserve"/>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HOW THE BOMB RATIO SPLIT WORKS FOR PHYSICAL DISTRIBUTION: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When Elevation reports revenue against a SKU (e.g., 'SKU 99876 sold 10,000 units'),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the Finance Gateway must:</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1. Look up the SKU to find its component edit versions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2. Look up each edit version to find its parent title(s)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3. Apply the BOB (bomb) ratio table to split the SKU revenue across the contributing titles</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4. Post the resulting per-title revenue lines to Fusion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The BOB ratio table holds the percentage split per title within a given SKU or bundle.</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These ratios are maintained by Paramount and can vary by SKU / title combination.</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The ratio for one bundle may be 60/40; another may be 70/30 or 100/0.</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6 — Two Split Methodologies</w:t>
      </w:r>
    </w:p>
    <w:p>
      <w:pPr>
        <w:pStyle w:val="Heading2"/>
        <w:pBdr>
          <w:bottom w:val="single" w:color="2E5FA3" w:sz="4"/>
        </w:pBdr>
        <w:spacing w:after="120" w:before="280"/>
      </w:pPr>
      <w:r>
        <w:rPr>
          <w:rFonts w:ascii="Arial" w:cs="Arial" w:eastAsia="Arial" w:hAnsi="Arial"/>
          <w:b/>
          <w:bCs/>
          <w:color w:val="1F3864"/>
          <w:sz w:val="28"/>
          <w:szCs w:val="28"/>
        </w:rPr>
        <w:t xml:space="preserve">6.1  Overview</w:t>
      </w:r>
    </w:p>
    <w:p>
      <w:pPr>
        <w:spacing w:after="100" w:before="0"/>
      </w:pPr>
      <w:r>
        <w:rPr>
          <w:rFonts w:ascii="Arial" w:cs="Arial" w:eastAsia="Arial" w:hAnsi="Arial"/>
          <w:sz w:val="20"/>
          <w:szCs w:val="20"/>
        </w:rPr>
        <w:t xml:space="preserve">All custom split scenarios reduce to one of two methodologies. The nature of the incoming revenue line determines which methodology applies.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Methodology</w:t>
            </w:r>
          </w:p>
        </w:tc>
        <w:tc>
          <w:tcPr>
            <w:tcW w:type="dxa" w:w="3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How It Works</w:t>
            </w:r>
          </w:p>
        </w:tc>
        <w:tc>
          <w:tcPr>
            <w:tcW w:type="dxa" w:w="3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Primary Use Case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Episodic Split</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Divide the revenue equally across all episodes in a season (or weighted by episode, based on rules). Episode count is derived from the sellable title COA values for that show/season.</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Digital distribution revenue, TV content licensing, streaming royalties — where the revenue relates to episodic TV content and needs to be allocated to individual episodes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BOB Ratio Split (Bomb Ratio)</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Divide the revenue according to a pre-built ratio table. Ratios are stored in Finance Gateway lookup tables and may vary by title, bundle, or distribution channel.</w:t>
            </w:r>
          </w:p>
        </w:tc>
        <w:tc>
          <w:tcPr>
            <w:tcW w:type="dxa" w:w="3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Physical distribution (DVD/Blu-ray SKU bundles), some theatrical scenarios, any case where equal episode split is not appropriate and a configured ratio table drives the allocation</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6.2  Episodic Split — How It Works</w:t>
      </w:r>
    </w:p>
    <w:p>
      <w:pPr>
        <w:spacing w:after="100" w:before="0"/>
      </w:pPr>
      <w:r>
        <w:rPr>
          <w:rFonts w:ascii="Arial" w:cs="Arial" w:eastAsia="Arial" w:hAnsi="Arial"/>
          <w:sz w:val="20"/>
          <w:szCs w:val="20"/>
        </w:rPr>
        <w:t xml:space="preserve">The episodic split is used when revenue relates to a season or series and must be allocated to individual episodes. The Gateway:</w:t>
      </w:r>
    </w:p>
    <w:p>
      <w:pPr>
        <w:pStyle w:val="ListParagraph"/>
        <w:numPr>
          <w:ilvl w:val="0"/>
          <w:numId w:val="3"/>
        </w:numPr>
        <w:spacing w:after="60" w:before="0"/>
      </w:pPr>
      <w:r>
        <w:rPr>
          <w:rFonts w:ascii="Arial" w:cs="Arial" w:eastAsia="Arial" w:hAnsi="Arial"/>
          <w:b w:val="false"/>
          <w:bCs w:val="false"/>
          <w:color w:val="000000"/>
          <w:sz w:val="20"/>
          <w:szCs w:val="20"/>
        </w:rPr>
        <w:t xml:space="preserve">Receives the revenue line with a parent/season-level title (e.g., Survivor Season 11)</w:t>
      </w:r>
    </w:p>
    <w:p>
      <w:pPr>
        <w:pStyle w:val="ListParagraph"/>
        <w:numPr>
          <w:ilvl w:val="0"/>
          <w:numId w:val="3"/>
        </w:numPr>
        <w:spacing w:after="60" w:before="0"/>
      </w:pPr>
      <w:r>
        <w:rPr>
          <w:rFonts w:ascii="Arial" w:cs="Arial" w:eastAsia="Arial" w:hAnsi="Arial"/>
          <w:b w:val="false"/>
          <w:bCs w:val="false"/>
          <w:color w:val="000000"/>
          <w:sz w:val="20"/>
          <w:szCs w:val="20"/>
        </w:rPr>
        <w:t xml:space="preserve">Queries the COA title value set to find all SELLABLE episode records under that season (digits 1-9 matching, digits 10-13 &gt; 0000, sell-flag = true)</w:t>
      </w:r>
    </w:p>
    <w:p>
      <w:pPr>
        <w:pStyle w:val="ListParagraph"/>
        <w:numPr>
          <w:ilvl w:val="0"/>
          <w:numId w:val="3"/>
        </w:numPr>
        <w:spacing w:after="60" w:before="0"/>
      </w:pPr>
      <w:r>
        <w:rPr>
          <w:rFonts w:ascii="Arial" w:cs="Arial" w:eastAsia="Arial" w:hAnsi="Arial"/>
          <w:b w:val="false"/>
          <w:bCs w:val="false"/>
          <w:color w:val="000000"/>
          <w:sz w:val="20"/>
          <w:szCs w:val="20"/>
        </w:rPr>
        <w:t xml:space="preserve">Excludes cost-bucket records (9945-style, non-sell flag = true) from the episode count</w:t>
      </w:r>
    </w:p>
    <w:p>
      <w:pPr>
        <w:pStyle w:val="ListParagraph"/>
        <w:numPr>
          <w:ilvl w:val="0"/>
          <w:numId w:val="3"/>
        </w:numPr>
        <w:spacing w:after="60" w:before="0"/>
      </w:pPr>
      <w:r>
        <w:rPr>
          <w:rFonts w:ascii="Arial" w:cs="Arial" w:eastAsia="Arial" w:hAnsi="Arial"/>
          <w:b w:val="false"/>
          <w:bCs w:val="false"/>
          <w:color w:val="000000"/>
          <w:sz w:val="20"/>
          <w:szCs w:val="20"/>
        </w:rPr>
        <w:t xml:space="preserve">Calculates each episode's share: line amount divided by episode count (or by a weighting rule if configured)</w:t>
      </w:r>
    </w:p>
    <w:p>
      <w:pPr>
        <w:pStyle w:val="ListParagraph"/>
        <w:numPr>
          <w:ilvl w:val="0"/>
          <w:numId w:val="3"/>
        </w:numPr>
        <w:spacing w:after="60" w:before="0"/>
      </w:pPr>
      <w:r>
        <w:rPr>
          <w:rFonts w:ascii="Arial" w:cs="Arial" w:eastAsia="Arial" w:hAnsi="Arial"/>
          <w:b w:val="false"/>
          <w:bCs w:val="false"/>
          <w:color w:val="000000"/>
          <w:sz w:val="20"/>
          <w:szCs w:val="20"/>
        </w:rPr>
        <w:t xml:space="preserve">Generates one output line per episode with the episode-level COA Segment 7 value</w:t>
      </w:r>
    </w:p>
    <w:p>
      <w:pPr>
        <w:spacing w:after="80" w:before="0"/>
      </w:pPr>
      <w:r>
        <w:t xml:space="preserve"/>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IMPORTANT: Cost-bucket records (9945-style titles) must be EXCLUDED from the episode count.</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These are non-sellable placeholder records used to hold season-level cost.</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They are identified by the NON-SELL flag in the title attribution data.</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If accidentally included in the episode count, the per-episode split calculation will be wrong.</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6.3  BOB Ratio Split — How It Works</w:t>
      </w:r>
    </w:p>
    <w:p>
      <w:pPr>
        <w:spacing w:after="100" w:before="0"/>
      </w:pPr>
      <w:r>
        <w:rPr>
          <w:rFonts w:ascii="Arial" w:cs="Arial" w:eastAsia="Arial" w:hAnsi="Arial"/>
          <w:sz w:val="20"/>
          <w:szCs w:val="20"/>
        </w:rPr>
        <w:t xml:space="preserve">The BOB (bomb) ratio split is used when a pre-configured percentage table governs how revenue is divided. The Gateway:</w:t>
      </w:r>
    </w:p>
    <w:p>
      <w:pPr>
        <w:pStyle w:val="ListParagraph"/>
        <w:numPr>
          <w:ilvl w:val="0"/>
          <w:numId w:val="3"/>
        </w:numPr>
        <w:spacing w:after="60" w:before="0"/>
      </w:pPr>
      <w:r>
        <w:rPr>
          <w:rFonts w:ascii="Arial" w:cs="Arial" w:eastAsia="Arial" w:hAnsi="Arial"/>
          <w:b w:val="false"/>
          <w:bCs w:val="false"/>
          <w:color w:val="000000"/>
          <w:sz w:val="20"/>
          <w:szCs w:val="20"/>
        </w:rPr>
        <w:t xml:space="preserve">Receives the revenue line with a SKU or bundle identifier</w:t>
      </w:r>
    </w:p>
    <w:p>
      <w:pPr>
        <w:pStyle w:val="ListParagraph"/>
        <w:numPr>
          <w:ilvl w:val="0"/>
          <w:numId w:val="3"/>
        </w:numPr>
        <w:spacing w:after="60" w:before="0"/>
      </w:pPr>
      <w:r>
        <w:rPr>
          <w:rFonts w:ascii="Arial" w:cs="Arial" w:eastAsia="Arial" w:hAnsi="Arial"/>
          <w:b w:val="false"/>
          <w:bCs w:val="false"/>
          <w:color w:val="000000"/>
          <w:sz w:val="20"/>
          <w:szCs w:val="20"/>
        </w:rPr>
        <w:t xml:space="preserve">Looks up the SKU in the ratio table to find the component titles and their percentages</w:t>
      </w:r>
    </w:p>
    <w:p>
      <w:pPr>
        <w:pStyle w:val="ListParagraph"/>
        <w:numPr>
          <w:ilvl w:val="0"/>
          <w:numId w:val="3"/>
        </w:numPr>
        <w:spacing w:after="60" w:before="0"/>
      </w:pPr>
      <w:r>
        <w:rPr>
          <w:rFonts w:ascii="Arial" w:cs="Arial" w:eastAsia="Arial" w:hAnsi="Arial"/>
          <w:b w:val="false"/>
          <w:bCs w:val="false"/>
          <w:color w:val="000000"/>
          <w:sz w:val="20"/>
          <w:szCs w:val="20"/>
        </w:rPr>
        <w:t xml:space="preserve">Applies each percentage to the total line amount</w:t>
      </w:r>
    </w:p>
    <w:p>
      <w:pPr>
        <w:pStyle w:val="ListParagraph"/>
        <w:numPr>
          <w:ilvl w:val="0"/>
          <w:numId w:val="3"/>
        </w:numPr>
        <w:spacing w:after="60" w:before="0"/>
      </w:pPr>
      <w:r>
        <w:rPr>
          <w:rFonts w:ascii="Arial" w:cs="Arial" w:eastAsia="Arial" w:hAnsi="Arial"/>
          <w:b w:val="false"/>
          <w:bCs w:val="false"/>
          <w:color w:val="000000"/>
          <w:sz w:val="20"/>
          <w:szCs w:val="20"/>
        </w:rPr>
        <w:t xml:space="preserve">Generates one output line per title with the correct COA Segment 7 value and calculated amount</w:t>
      </w:r>
    </w:p>
    <w:p>
      <w:pPr>
        <w:spacing w:after="80" w:before="0"/>
      </w:pPr>
      <w:r>
        <w:t xml:space="preserve"/>
      </w:r>
    </w:p>
    <w:p>
      <w:pPr>
        <w:spacing w:after="100" w:before="0"/>
      </w:pPr>
      <w:r>
        <w:rPr>
          <w:rFonts w:ascii="Arial" w:cs="Arial" w:eastAsia="Arial" w:hAnsi="Arial"/>
          <w:sz w:val="20"/>
          <w:szCs w:val="20"/>
        </w:rPr>
        <w:t xml:space="preserve">Ratios can vary by SKU and by title. A two-disc bundle might be 50/50; a bundle with a major blockbuster and a smaller title might be 80/20. Ratios are maintained by Paramount's finance team and loaded into Finance Gateway lookup tables.</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6.4  Five Splitter Types (Session 2 Detail Pending)</w:t>
      </w:r>
    </w:p>
    <w:p>
      <w:pPr>
        <w:pBdr>
          <w:top w:val="none"/>
          <w:bottom w:val="none"/>
          <w:left w:val="thick" w:color="C00000" w:sz="12"/>
          <w:right w:val="none"/>
        </w:pBdr>
        <w:shd w:fill="FFF2CC" w:val="clear"/>
        <w:spacing w:after="4" w:before="4"/>
        <w:ind w:left="240" w:right="240"/>
      </w:pPr>
      <w:r>
        <w:rPr>
          <w:rFonts w:ascii="Arial" w:cs="Arial" w:eastAsia="Arial" w:hAnsi="Arial"/>
          <w:color w:val="000000"/>
          <w:sz w:val="20"/>
          <w:szCs w:val="20"/>
        </w:rPr>
        <w:t xml:space="preserve">NOTE: The full walkthrough of the five splitter-type scenarios (five conditional cases that map to the two methodologies above) was not completed in Session 1 due to time. Session 2 will cover each splitter type per boundary system. This document will be updated after Session 2.</w:t>
      </w:r>
    </w:p>
    <w:p>
      <w:pPr>
        <w:spacing w:after="80" w:before="0"/>
      </w:pPr>
      <w:r>
        <w:t xml:space="preserve"/>
      </w:r>
    </w:p>
    <w:p>
      <w:pPr>
        <w:spacing w:after="100" w:before="0"/>
      </w:pPr>
      <w:r>
        <w:rPr>
          <w:rFonts w:ascii="Arial" w:cs="Arial" w:eastAsia="Arial" w:hAnsi="Arial"/>
          <w:sz w:val="20"/>
          <w:szCs w:val="20"/>
        </w:rPr>
        <w:t xml:space="preserve">What was confirmed: there are five distinct conditional scenarios that trigger a split. Each scenario leads to either an episodic split or a BOB ratio split. The nature of the revenue line (what boundary system it came from, what type of content it relates to, what title level it arrives at) determines the scenario.</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7 — Finance Gateway Architecture</w:t>
      </w:r>
    </w:p>
    <w:p>
      <w:pPr>
        <w:pStyle w:val="Heading2"/>
        <w:pBdr>
          <w:bottom w:val="single" w:color="2E5FA3" w:sz="4"/>
        </w:pBdr>
        <w:spacing w:after="120" w:before="280"/>
      </w:pPr>
      <w:r>
        <w:rPr>
          <w:rFonts w:ascii="Arial" w:cs="Arial" w:eastAsia="Arial" w:hAnsi="Arial"/>
          <w:b/>
          <w:bCs/>
          <w:color w:val="1F3864"/>
          <w:sz w:val="28"/>
          <w:szCs w:val="28"/>
        </w:rPr>
        <w:t xml:space="preserve">7.1  What Is Finance Gateway?</w:t>
      </w:r>
    </w:p>
    <w:p>
      <w:pPr>
        <w:spacing w:after="100" w:before="0"/>
      </w:pPr>
      <w:r>
        <w:rPr>
          <w:rFonts w:ascii="Arial" w:cs="Arial" w:eastAsia="Arial" w:hAnsi="Arial"/>
          <w:sz w:val="20"/>
          <w:szCs w:val="20"/>
        </w:rPr>
        <w:t xml:space="preserve">Finance Gateway is a custom-built middleware layer designed specifically for the Paramount Fusion implementation. It sits between the boundary systems (and OIC) and the Fusion sub-ledgers (AR, GL/FAH). It is the single architectural solution for all splitting, allocation, and consistent accounting derivation requirements that span multiple boundary systems.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Purpose</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Pre-process all boundary system financial data before it reaches Fusion. Execute custom splits, apply accounting rules, maintain pre-split traceability records.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Inbound</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Revenue and GL data from boundary systems, delivered via OIC (Oracle Integration Cloud)</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Outbound to AR</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Post-split AR invoice lines via FBDI (File-Based Data Import)</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Outbound to GL</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Post-split GL journal lines via FAH (Financial Accounting Hub)</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Data persistence</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Gateway tables retain pre-split source records and the transaction IDs that link them to post-split Fusion entries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Scope</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Handles custom split (revenue), feeds into allocation engine for expense; standard split (balance sheet) solution TBD</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7.2  Gateway Data Flow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w:t>
            </w:r>
          </w:p>
        </w:tc>
        <w:tc>
          <w:tcPr>
            <w:tcW w:type="dxa" w:w="6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Boundary system</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Sends billing/revenue data to EAI or OIC (depending on system)</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OIC (Oracle Integration Cloud)</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Transforms raw boundary system file into a standardized format; performs any source-system-specific field mapping; routes to Finance Gateway</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 — Intake</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Receives standardized record; stores as pre-split record with generated transaction ID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 — Splitter</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Identifies splitter type (5 scenarios); looks up episode list or ratio table; generates N post-split lines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 — Output</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Routes post-split AR lines to FBDI; routes post-split GL lines to FAH; stores mapping between transaction ID and all resulting Fusion document numbers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AR (FBDI)</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Creates AR invoices from post-split AR lines; Fusion assigns invoice numbers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GL (FAH)</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Posts GL journal entries from post-split GL lines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8</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 — ACK</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Captures Fusion-assigned document numbers; links back to transaction ID; available for audit queries</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7.3  Pre-Split Traceability — Critical Design Requirement</w:t>
      </w:r>
    </w:p>
    <w:p>
      <w:pPr>
        <w:pBdr>
          <w:top w:val="single" w:color="2E5FA3" w:sz="4"/>
          <w:bottom w:val="none" w:color="FFFFFF" w:sz="0"/>
          <w:left w:val="thick" w:color="C00000" w:sz="12"/>
          <w:right w:val="none"/>
        </w:pBdr>
        <w:shd w:fill="FCE4D6" w:val="clear"/>
        <w:spacing w:after="2" w:before="120"/>
        <w:ind w:left="240" w:right="240"/>
      </w:pPr>
      <w:r>
        <w:rPr>
          <w:rFonts w:ascii="Arial" w:cs="Arial" w:eastAsia="Arial" w:hAnsi="Arial"/>
          <w:color w:val="000000"/>
          <w:sz w:val="20"/>
          <w:szCs w:val="20"/>
        </w:rPr>
        <w:t xml:space="preserve">REQUIREMENT: Finance Gateway must persist the relationship between pre-split source lines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and all resulting post-split Fusion document lines.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MECHANISM:</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 Gateway assigns a unique TRANSACTION ID to each incoming pre-split source record</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 All post-split output lines carry this same Transaction ID</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 After Fusion posts, the Gateway captures the Fusion document number for each post-split line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 The Gateway data store then allows a query: 'Show me everything that was split from source X'</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WHERE STORED IN FUSION:</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The Transaction ID will travel with the Fusion transaction as a sub-ledger reference field</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or DFF (Descriptive Flex Field) on the AR invoice or GL journal line.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Exact field TBD — must be confirmed in the DFF / reference fields architecture exercise.</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WHY IT MATTERS:</w:t>
      </w:r>
    </w:p>
    <w:p>
      <w:pPr>
        <w:pBdr>
          <w:top w:val="none" w:color="FFFFFF" w:sz="0"/>
          <w:bottom w:val="none" w:color="FFFFFF" w:sz="0"/>
          <w:left w:val="thick" w:color="C00000" w:sz="12"/>
          <w:right w:val="none"/>
        </w:pBdr>
        <w:shd w:fill="FCE4D6" w:val="clear"/>
        <w:spacing w:after="2" w:before="2"/>
        <w:ind w:left="240" w:right="240"/>
      </w:pPr>
      <w:r>
        <w:rPr>
          <w:rFonts w:ascii="Arial" w:cs="Arial" w:eastAsia="Arial" w:hAnsi="Arial"/>
          <w:color w:val="000000"/>
          <w:sz w:val="20"/>
          <w:szCs w:val="20"/>
        </w:rPr>
        <w:t xml:space="preserve">  Talent agency auditors need to trace: 'This residual payment was calculated from THESE revenue lines.'</w:t>
      </w:r>
    </w:p>
    <w:p>
      <w:pPr>
        <w:pBdr>
          <w:top w:val="none" w:color="FFFFFF" w:sz="0"/>
          <w:bottom w:val="single" w:color="2E5FA3" w:sz="4"/>
          <w:left w:val="thick" w:color="C00000" w:sz="12"/>
          <w:right w:val="none"/>
        </w:pBdr>
        <w:shd w:fill="FCE4D6" w:val="clear"/>
        <w:spacing w:after="120" w:before="2"/>
        <w:ind w:left="240" w:right="240"/>
      </w:pPr>
      <w:r>
        <w:rPr>
          <w:rFonts w:ascii="Arial" w:cs="Arial" w:eastAsia="Arial" w:hAnsi="Arial"/>
          <w:color w:val="000000"/>
          <w:sz w:val="20"/>
          <w:szCs w:val="20"/>
        </w:rPr>
        <w:t xml:space="preserve">  Without the Gateway traceability chain, that audit trail is incomplete.</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7.4  Transformation Ownership — OIC vs. EAI vs.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Layer</w:t>
            </w:r>
          </w:p>
        </w:tc>
        <w:tc>
          <w:tcPr>
            <w:tcW w:type="dxa" w:w="7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Responsibility</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EAI (Enterprise Application Integration)</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File pickup from SFTP, encryption/decryption, file routing. Minimal business logic. EAI delivers raw files to OIC or Finance Gateway.</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OIC (Oracle Integration Cloud)</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Source-system-specific transformation: field mapping, format conversion, AR/GL split routing (for MMS). All transformation logic should be in OIC, not EAI.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Cross-system splitting logic, ratio table lookups, episode list lookups, pre-split record persistence, transaction ID assignment, output routing to FBDI/FAH.</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FAH (Financial Accounting Hub)</w:t>
            </w:r>
          </w:p>
        </w:tc>
        <w:tc>
          <w:tcPr>
            <w:tcW w:type="dxa" w:w="7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Receives GL-only journal files. Posts journal entries. Applies SLA (Subledger Accounting) rules for additional accounting derivation.</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Fusion AR (FBDI)</w:t>
            </w:r>
          </w:p>
        </w:tc>
        <w:tc>
          <w:tcPr>
            <w:tcW w:type="dxa" w:w="7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Receives post-split AR billing files. Creates AR invoices. Runs Avalara tax calculation at posting.</w:t>
            </w:r>
          </w:p>
        </w:tc>
      </w:tr>
    </w:tbl>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8 — Cost-Bucket Records (9945 Pattern)</w:t>
      </w:r>
    </w:p>
    <w:p>
      <w:pPr>
        <w:pStyle w:val="Heading2"/>
        <w:pBdr>
          <w:bottom w:val="single" w:color="2E5FA3" w:sz="4"/>
        </w:pBdr>
        <w:spacing w:after="120" w:before="280"/>
      </w:pPr>
      <w:r>
        <w:rPr>
          <w:rFonts w:ascii="Arial" w:cs="Arial" w:eastAsia="Arial" w:hAnsi="Arial"/>
          <w:b/>
          <w:bCs/>
          <w:color w:val="1F3864"/>
          <w:sz w:val="28"/>
          <w:szCs w:val="28"/>
        </w:rPr>
        <w:t xml:space="preserve">8.1  What Are 9945 Records?</w:t>
      </w:r>
    </w:p>
    <w:p>
      <w:pPr>
        <w:spacing w:after="100" w:before="0"/>
      </w:pPr>
      <w:r>
        <w:rPr>
          <w:rFonts w:ascii="Arial" w:cs="Arial" w:eastAsia="Arial" w:hAnsi="Arial"/>
          <w:sz w:val="20"/>
          <w:szCs w:val="20"/>
        </w:rPr>
        <w:t xml:space="preserve">In the legacy SAP MPM structure, certain title codes used a special episode number pattern (conventionally '9945' or similar non-sequential high numbers) to designate a COST-CAPTURE BUCKET at the season level. These are not real episodes — they are placeholders to hold season-level costs that have not yet been allocated to individual episodes.</w:t>
      </w:r>
    </w:p>
    <w:p>
      <w:pPr>
        <w:spacing w:after="80" w:before="0"/>
      </w:pPr>
      <w:r>
        <w:t xml:space="preserve"/>
      </w:r>
    </w:p>
    <w:p>
      <w:pPr>
        <w:pBdr>
          <w:top w:val="single" w:color="2E5FA3" w:sz="4"/>
          <w:bottom w:val="none" w:color="FFFFFF" w:sz="0"/>
          <w:left w:val="thick" w:color="C00000" w:sz="12"/>
          <w:right w:val="none"/>
        </w:pBdr>
        <w:shd w:fill="D6E4F0" w:val="clear"/>
        <w:spacing w:after="2" w:before="120"/>
        <w:ind w:left="240" w:right="240"/>
      </w:pPr>
      <w:r>
        <w:rPr>
          <w:rFonts w:ascii="Arial" w:cs="Arial" w:eastAsia="Arial" w:hAnsi="Arial"/>
          <w:color w:val="000000"/>
          <w:sz w:val="20"/>
          <w:szCs w:val="20"/>
        </w:rPr>
        <w:t xml:space="preserve">EXAMPLE: Survivor Season 11</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Real episode titles (sellable):       300994011000100  (Survivor S11 Ep01)</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300994011000200  (Survivor S11 Ep02)</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300994011000300  (Survivor S11 Ep03)</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 (through all episodes in the season)</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Cost-bucket record (non-sellable):    300994011994500  (Survivor S11 — Season Cost Bucket)</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The cost-bucket record has the SAME show (digits 1-6) and season (digits 7-9) prefix,</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but the episode digits (10-13) are 9945 — marking it as a non-sellable cost accumulator.</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 </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SELL/NON-SELL FLAG: The title attribution on the 9945 record is flagged NON-SELL.</w:t>
      </w:r>
    </w:p>
    <w:p>
      <w:pPr>
        <w:pBdr>
          <w:top w:val="none" w:color="FFFFFF" w:sz="0"/>
          <w:bottom w:val="none" w:color="FFFFFF" w:sz="0"/>
          <w:left w:val="thick" w:color="C00000" w:sz="12"/>
          <w:right w:val="none"/>
        </w:pBdr>
        <w:shd w:fill="D6E4F0" w:val="clear"/>
        <w:spacing w:after="2" w:before="2"/>
        <w:ind w:left="240" w:right="240"/>
      </w:pPr>
      <w:r>
        <w:rPr>
          <w:rFonts w:ascii="Arial" w:cs="Arial" w:eastAsia="Arial" w:hAnsi="Arial"/>
          <w:color w:val="000000"/>
          <w:sz w:val="20"/>
          <w:szCs w:val="20"/>
        </w:rPr>
        <w:t xml:space="preserve">This flag is what the Finance Gateway and allocation engine use to identify cost buckets</w:t>
      </w:r>
    </w:p>
    <w:p>
      <w:pPr>
        <w:pBdr>
          <w:top w:val="none" w:color="FFFFFF" w:sz="0"/>
          <w:bottom w:val="single" w:color="2E5FA3" w:sz="4"/>
          <w:left w:val="thick" w:color="C00000" w:sz="12"/>
          <w:right w:val="none"/>
        </w:pBdr>
        <w:shd w:fill="D6E4F0" w:val="clear"/>
        <w:spacing w:after="120" w:before="2"/>
        <w:ind w:left="240" w:right="240"/>
      </w:pPr>
      <w:r>
        <w:rPr>
          <w:rFonts w:ascii="Arial" w:cs="Arial" w:eastAsia="Arial" w:hAnsi="Arial"/>
          <w:color w:val="000000"/>
          <w:sz w:val="20"/>
          <w:szCs w:val="20"/>
        </w:rPr>
        <w:t xml:space="preserve">and EXCLUDE them from episode counts in episodic splits.</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8.2  How Cost-Bucket Records Are Used</w:t>
      </w:r>
    </w:p>
    <w:p>
      <w:pPr>
        <w:pStyle w:val="ListParagraph"/>
        <w:numPr>
          <w:ilvl w:val="0"/>
          <w:numId w:val="2"/>
        </w:numPr>
        <w:spacing w:after="60" w:before="0"/>
      </w:pPr>
      <w:r>
        <w:rPr>
          <w:rFonts w:ascii="Arial" w:cs="Arial" w:eastAsia="Arial" w:hAnsi="Arial"/>
          <w:b w:val="false"/>
          <w:bCs w:val="false"/>
          <w:color w:val="000000"/>
          <w:sz w:val="20"/>
          <w:szCs w:val="20"/>
        </w:rPr>
        <w:t xml:space="preserve">Season-level advertising costs, overhead charges, and production expenses that cannot be attributed to a specific episode at the time of posting are booked against the 9945 record.</w:t>
      </w:r>
    </w:p>
    <w:p>
      <w:pPr>
        <w:pStyle w:val="ListParagraph"/>
        <w:numPr>
          <w:ilvl w:val="0"/>
          <w:numId w:val="2"/>
        </w:numPr>
        <w:spacing w:after="60" w:before="0"/>
      </w:pPr>
      <w:r>
        <w:rPr>
          <w:rFonts w:ascii="Arial" w:cs="Arial" w:eastAsia="Arial" w:hAnsi="Arial"/>
          <w:b w:val="false"/>
          <w:bCs w:val="false"/>
          <w:color w:val="000000"/>
          <w:sz w:val="20"/>
          <w:szCs w:val="20"/>
        </w:rPr>
        <w:t xml:space="preserve">Periodically (or as part of close), the allocation engine sweeps the 9945 records to identify accumulated costs.</w:t>
      </w:r>
    </w:p>
    <w:p>
      <w:pPr>
        <w:pStyle w:val="ListParagraph"/>
        <w:numPr>
          <w:ilvl w:val="0"/>
          <w:numId w:val="2"/>
        </w:numPr>
        <w:spacing w:after="60" w:before="0"/>
      </w:pPr>
      <w:r>
        <w:rPr>
          <w:rFonts w:ascii="Arial" w:cs="Arial" w:eastAsia="Arial" w:hAnsi="Arial"/>
          <w:b w:val="false"/>
          <w:bCs w:val="false"/>
          <w:color w:val="000000"/>
          <w:sz w:val="20"/>
          <w:szCs w:val="20"/>
        </w:rPr>
        <w:t xml:space="preserve">The engine calculates the allocation to individual episodes (equal per episode, or by a configured rule).</w:t>
      </w:r>
    </w:p>
    <w:p>
      <w:pPr>
        <w:pStyle w:val="ListParagraph"/>
        <w:numPr>
          <w:ilvl w:val="0"/>
          <w:numId w:val="2"/>
        </w:numPr>
        <w:spacing w:after="60" w:before="0"/>
      </w:pPr>
      <w:r>
        <w:rPr>
          <w:rFonts w:ascii="Arial" w:cs="Arial" w:eastAsia="Arial" w:hAnsi="Arial"/>
          <w:b w:val="false"/>
          <w:bCs w:val="false"/>
          <w:color w:val="000000"/>
          <w:sz w:val="20"/>
          <w:szCs w:val="20"/>
        </w:rPr>
        <w:t xml:space="preserve">Allocation journal entries debit each episode's COA value and credit the 9945 cost-bucket record, effectively moving the cost from the season bucket down to the episodes.</w:t>
      </w:r>
    </w:p>
    <w:p>
      <w:pPr>
        <w:pStyle w:val="ListParagraph"/>
        <w:numPr>
          <w:ilvl w:val="0"/>
          <w:numId w:val="2"/>
        </w:numPr>
        <w:spacing w:after="60" w:before="0"/>
      </w:pPr>
      <w:r>
        <w:rPr>
          <w:rFonts w:ascii="Arial" w:cs="Arial" w:eastAsia="Arial" w:hAnsi="Arial"/>
          <w:b w:val="false"/>
          <w:bCs w:val="false"/>
          <w:color w:val="000000"/>
          <w:sz w:val="20"/>
          <w:szCs w:val="20"/>
        </w:rPr>
        <w:t xml:space="preserve">After allocation, the 9945 record balance nets to zero — costs are now sitting at the episode level.</w:t>
      </w:r>
    </w:p>
    <w:p>
      <w:pPr>
        <w:spacing w:after="80" w:before="0"/>
      </w:pPr>
      <w:r>
        <w:t xml:space="preserve"/>
      </w:r>
    </w:p>
    <w:p>
      <w:pPr>
        <w:pBdr>
          <w:top w:val="none"/>
          <w:bottom w:val="none"/>
          <w:left w:val="thick" w:color="C00000" w:sz="12"/>
          <w:right w:val="none"/>
        </w:pBdr>
        <w:shd w:fill="FFF2CC" w:val="clear"/>
        <w:spacing w:after="4" w:before="4"/>
        <w:ind w:left="240" w:right="240"/>
      </w:pPr>
      <w:r>
        <w:rPr>
          <w:rFonts w:ascii="Arial" w:cs="Arial" w:eastAsia="Arial" w:hAnsi="Arial"/>
          <w:color w:val="000000"/>
          <w:sz w:val="20"/>
          <w:szCs w:val="20"/>
        </w:rPr>
        <w:t xml:space="preserve">⚠  CRITICAL: Finance Gateway's episodic split logic must NEVER count 9945 cost-bucket records in the episode denominator. Including them would dilute the per-episode revenue share, producing incorrect residual calculations. The NON-SELL flag filter is the control that prevents this.</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9 — Open Items &amp; Pending Session 2 Content</w:t>
      </w:r>
    </w:p>
    <w:p>
      <w:pPr>
        <w:pStyle w:val="Heading2"/>
        <w:pBdr>
          <w:bottom w:val="single" w:color="2E5FA3" w:sz="4"/>
        </w:pBdr>
        <w:spacing w:after="120" w:before="280"/>
      </w:pPr>
      <w:r>
        <w:rPr>
          <w:rFonts w:ascii="Arial" w:cs="Arial" w:eastAsia="Arial" w:hAnsi="Arial"/>
          <w:b/>
          <w:bCs/>
          <w:color w:val="1F3864"/>
          <w:sz w:val="28"/>
          <w:szCs w:val="28"/>
        </w:rPr>
        <w:t xml:space="preserve">9.1  Open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200"/>
        <w:gridCol w:w="2560"/>
      </w:tblGrid>
      <w:tr>
        <w:trPr>
          <w:tblHeader/>
        </w:trPr>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2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Standard split (balance sheet) solution — AR receivable and AP payable split by title. No out-of-box Fusion equivalent to SAP standard splitter.</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architecture team</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 PROGRESS — no confirmed solution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 transaction ID storage in Fusion — DFF or sub-ledger reference field; which attribute; consistent across AR and GL</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Kevin Butchowski + DFF exercise</w:t>
            </w:r>
          </w:p>
        </w:tc>
        <w:tc>
          <w:tcPr>
            <w:tcW w:type="dxa" w:w="2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Pending overarching ref fields meeting</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Allocation engine selection — Fusion Allocation Manager vs. custom solution for expense allocation to episodes</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 Paramount Finance</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TBD</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Five splitter types — full per-boundary-system walkthrough</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Session 2</w:t>
            </w:r>
          </w:p>
        </w:tc>
        <w:tc>
          <w:tcPr>
            <w:tcW w:type="dxa" w:w="2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COVERED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Pass backs (content licensing accounting) — cross-system pattern for how content licensing revenue flows back through Finance Gateway</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Session 2</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COVERED</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w:t>
            </w:r>
          </w:p>
        </w:tc>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BOB ratio table maintenance process — who updates ratios, how often, approval workflow</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Paramount Finance / IT</w:t>
            </w:r>
          </w:p>
        </w:tc>
        <w:tc>
          <w:tcPr>
            <w:tcW w:type="dxa" w:w="2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discussed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w:t>
            </w:r>
          </w:p>
        </w:tc>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Episode count at time-of-split vs. time-of-allocation — if episodes are added after a season begins, how are splits handled for prior periods</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OCS + Finance Gateway design</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yet discussed</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9.2  Session 2 Agenda (Scheduled — Date TBD)</w:t>
      </w:r>
    </w:p>
    <w:p>
      <w:pPr>
        <w:pStyle w:val="ListParagraph"/>
        <w:numPr>
          <w:ilvl w:val="0"/>
          <w:numId w:val="2"/>
        </w:numPr>
        <w:spacing w:after="60" w:before="0"/>
      </w:pPr>
      <w:r>
        <w:rPr>
          <w:rFonts w:ascii="Arial" w:cs="Arial" w:eastAsia="Arial" w:hAnsi="Arial"/>
          <w:b w:val="false"/>
          <w:bCs w:val="false"/>
          <w:color w:val="000000"/>
          <w:sz w:val="20"/>
          <w:szCs w:val="20"/>
        </w:rPr>
        <w:t xml:space="preserve">Five splitter type scenarios — walked through per boundary system context</w:t>
      </w:r>
    </w:p>
    <w:p>
      <w:pPr>
        <w:pStyle w:val="ListParagraph"/>
        <w:numPr>
          <w:ilvl w:val="0"/>
          <w:numId w:val="2"/>
        </w:numPr>
        <w:spacing w:after="60" w:before="0"/>
      </w:pPr>
      <w:r>
        <w:rPr>
          <w:rFonts w:ascii="Arial" w:cs="Arial" w:eastAsia="Arial" w:hAnsi="Arial"/>
          <w:b w:val="false"/>
          <w:bCs w:val="false"/>
          <w:color w:val="000000"/>
          <w:sz w:val="20"/>
          <w:szCs w:val="20"/>
        </w:rPr>
        <w:t xml:space="preserve">Pass backs — content licensing accounting pattern requiring consistent cross-boundary treatment</w:t>
      </w:r>
    </w:p>
    <w:p>
      <w:pPr>
        <w:pStyle w:val="ListParagraph"/>
        <w:numPr>
          <w:ilvl w:val="0"/>
          <w:numId w:val="2"/>
        </w:numPr>
        <w:spacing w:after="60" w:before="0"/>
      </w:pPr>
      <w:r>
        <w:rPr>
          <w:rFonts w:ascii="Arial" w:cs="Arial" w:eastAsia="Arial" w:hAnsi="Arial"/>
          <w:b w:val="false"/>
          <w:bCs w:val="false"/>
          <w:color w:val="000000"/>
          <w:sz w:val="20"/>
          <w:szCs w:val="20"/>
        </w:rPr>
        <w:t xml:space="preserve">Standard split solution update — confirm design direction for AR/AP balance sheet split</w:t>
      </w:r>
    </w:p>
    <w:p>
      <w:pPr>
        <w:pStyle w:val="ListParagraph"/>
        <w:numPr>
          <w:ilvl w:val="0"/>
          <w:numId w:val="2"/>
        </w:numPr>
        <w:spacing w:after="60" w:before="0"/>
      </w:pPr>
      <w:r>
        <w:rPr>
          <w:rFonts w:ascii="Arial" w:cs="Arial" w:eastAsia="Arial" w:hAnsi="Arial"/>
          <w:b w:val="false"/>
          <w:bCs w:val="false"/>
          <w:color w:val="000000"/>
          <w:sz w:val="20"/>
          <w:szCs w:val="20"/>
        </w:rPr>
        <w:t xml:space="preserve">Q&amp;A on topics from Session 1</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36"/>
          <w:szCs w:val="36"/>
        </w:rPr>
        <w:t xml:space="preserve">Section 10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w:t>
            </w:r>
          </w:p>
        </w:tc>
        <w:tc>
          <w:tcPr>
            <w:tcW w:type="dxa" w:w="6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Definition</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AEC (Alliance Entertainment)</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US domestic physical DVD/Blu-ray distributor for Paramount content; assigns SKUs for domestic retail.</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Allocation Engine</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System (Fusion Allocation Manager or custom) that takes expense sitting at a season/show level and allocates it down to individual episode COA titles.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BOB Ratio / Bomb Ratio</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 table-driven revenue split methodology. Percentage ratios per title within a bundle/SKU are pre-configured in Finance Gateway lookup tables. Used primarily for physical distribution (DVD sets).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COA Segment 7 (Title)</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The 15-digit title segment of the Oracle Fusion chart of accounts. Encodes show (digits 1-6), season (7-9), episode (10-13), and clip/edit (14-15).</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Cost-Bucket Record (9945)</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 non-sellable title COA record used to accumulate season-level cost. Identified by the NON-SELL flag and a conventionally high episode number (e.g., 9945). Excluded from episodic split episode counts.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 Split</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Gateway-executed pre-processor that splits inbound boundary system revenue down to the correct COA title level before Fusion posting.</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EDM (Enterprise Data Management)</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Paramount's master data system for title values. Titles are created in EDM; EDM feeds Title Publisher.</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Edit Version</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 modified cut of a theatrical film made for a specific distribution channel (China theatrical, airline, etc.). Below the title level in GPS; linked back to the parent title COA value. Not a separate COA segment.</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Episodic Split</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 split methodology that divides revenue equally (or by weighting) across all sellable episode COA values within a season. Primary for digital/TV content.</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FAH (Financial Accounting Hub)</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Oracle Fusion component that receives GL-only journal files and posts accounting entries. Downstream of Finance Gateway for GL transactions.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FBDI (File-Based Data Import)</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Oracle Fusion mechanism for bulk-loading AR invoices. Downstream of Finance Gateway for AR transactions.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Gateway</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 middleware layer between boundary systems/OIC and Fusion sub-ledgers. Executes custom splits, stores pre-split records, assigns transaction IDs, routes output to FBDI and FAH.</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GPS (Global Product System)</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Paramount's global product catalog. Holds edit version records linked to Fusion title IDs. Connected to Title Publisher.</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MPM (Media Product Master)</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SAP legacy construct that tracked title hierarchy (product/season/episode) as separate code block segments. Replaced in Fusion by the 15-digit concatenated COA title segment.</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OIC (Oracle Integration Cloud)</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Integration middleware layer. Handles source-system-specific transformation and routes data to Finance Gateway. All transformation logic should be in OIC, not EAI.</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Pass Backs</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Content licensing accounting pattern — when Paramount receives revenue from a licensee, a corresponding pass-back accounting entry may be required. Cross-boundary-system requirement; details to be covered in Session 2.</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PNR (Participation &amp; Residuals)</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Paramount's system for calculating and paying contractual residual payments to talent (actors, directors, crew) based on title-level revenue or profit. The primary business driver for all revenue splitting.</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SKU (Stock-Keeping Unit)</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 physical distribution bundle (e.g., a DVD 2-pack). Assigned by the distributor (Elevation or AEC). Maps to a set of edit versions which map to Fusion title COA values.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Standard Split</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Splitting of balance sheet lines (AR receivable, AP payable) by title. SAP standard functionality covered this; Fusion equivalent is TBD.</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Title Publisher</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 application built by the implementation team. Receives title IDs from EDM and distributes them to all downstream systems (GPS, Fabric, Fusion COA, boundary systems).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Transaction ID (Gateway)</w:t>
            </w:r>
          </w:p>
        </w:tc>
        <w:tc>
          <w:tcPr>
            <w:tcW w:type="dxa" w:w="6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 unique identifier assigned by Finance Gateway to each pre-split source record. Carried on all resulting post-split Fusion lines to enable audit traceability from post-split back to pre-split.</w:t>
            </w:r>
          </w:p>
        </w:tc>
      </w:tr>
    </w:tbl>
    <w:p>
      <w:pPr>
        <w:spacing w:after="80" w:before="0"/>
      </w:pPr>
      <w:r>
        <w:t xml:space="preserve"/>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026"/>
      </w:tabs>
    </w:pPr>
    <w:r>
      <w:rPr>
        <w:rFonts w:ascii="Arial" w:cs="Arial" w:eastAsia="Arial" w:hAnsi="Arial"/>
        <w:color w:val="666666"/>
        <w:sz w:val="16"/>
        <w:szCs w:val="16"/>
      </w:rPr>
      <w:t xml:space="preserve">CONFIDENTIAL — Internal Use Only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tabs>
        <w:tab w:val="right" w:pos="9026"/>
      </w:tabs>
    </w:pPr>
    <w:r>
      <w:rPr>
        <w:rFonts w:ascii="Arial" w:cs="Arial" w:eastAsia="Arial" w:hAnsi="Arial"/>
        <w:color w:val="666666"/>
        <w:sz w:val="16"/>
        <w:szCs w:val="16"/>
      </w:rPr>
      <w:t xml:space="preserve">PARAMOUNT PICTURES  |  Oracle Fusion 10/1 Go-Live  |  Finance Gateway &amp; Revenue Split Architecture</w:t>
    </w:r>
    <w:r>
      <w:rPr>
        <w:rFonts w:ascii="Arial" w:cs="Arial" w:eastAsia="Arial" w:hAnsi="Arial"/>
        <w:color w:val="666666"/>
        <w:sz w:val="16"/>
        <w:szCs w:val="16"/>
      </w:rPr>
      <w:t xml:space="preserve">	Revision 1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2026-06-25T18:11:18.343Z</dcterms:created>
  <dcterms:modified xsi:type="dcterms:W3CDTF">2026-06-25T18:11:18.346Z</dcterms:modified>
</cp:coreProperties>
</file>

<file path=docProps/custom.xml><?xml version="1.0" encoding="utf-8"?>
<Properties xmlns="http://schemas.openxmlformats.org/officeDocument/2006/custom-properties" xmlns:vt="http://schemas.openxmlformats.org/officeDocument/2006/docPropsVTypes"/>
</file>