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추진방법 및 전략</w:t>
      </w:r>
    </w:p>
    <w:p>
      <w:pPr>
        <w:pStyle w:val="Normal"/>
      </w:pPr>
      <w:r>
        <w:t>---</w:t>
        <w:br/>
        <w:t>[추진방법 및 전략]</w:t>
        <w:br/>
        <w:br/>
        <w:t>1. 방법론</w:t>
        <w:br/>
        <w:br/>
        <w:t>1.1 데이터</w:t>
        <w:br/>
        <w:t>- 데이터 소스: VUNO Med-Chest X-ray 전용 데이터셋</w:t>
        <w:br/>
        <w:t>- 데이터 규모: 10,000건 (흉부 X-ray 이미지)</w:t>
        <w:br/>
        <w:t>- 데이터 품질:</w:t>
        <w:br/>
        <w:t xml:space="preserve">  - 해상도: 1,024 x 1,024 픽셀</w:t>
        <w:br/>
        <w:t xml:space="preserve">  - 라벨링: 10개 주요 질환(폐렴, 결핵, 폐암 등)</w:t>
        <w:br/>
        <w:t xml:space="preserve">  - 데이터 다양성: 다양한 연령, 성별, 인종 포함</w:t>
        <w:br/>
        <w:t>- 데이터 전처리:</w:t>
        <w:br/>
        <w:t xml:space="preserve">  - 노이즈 제거: 이미지 필터링 (Gaussian blur)</w:t>
        <w:br/>
        <w:t xml:space="preserve">  - 정규화: 픽셀 값 0~1 범위로 스케일링</w:t>
        <w:br/>
        <w:t xml:space="preserve">  - 증강 기법: 회전, 이동, 플립 적용</w:t>
        <w:br/>
        <w:br/>
        <w:t>1.2 알고리즘</w:t>
        <w:br/>
        <w:t>- 모델 선택:</w:t>
        <w:br/>
        <w:t xml:space="preserve">  - CNN (Convolutional Neural Network) 기반 모델</w:t>
        <w:br/>
        <w:t xml:space="preserve">  - 사전 학습된 ResNet50 활용</w:t>
        <w:br/>
        <w:t>- 학습 전략:</w:t>
        <w:br/>
        <w:t xml:space="preserve">  - Transfer Learning 적용</w:t>
        <w:br/>
        <w:t xml:space="preserve">  - 학습률: 0.0001</w:t>
        <w:br/>
        <w:t xml:space="preserve">  - 배치 크기: 32</w:t>
        <w:br/>
        <w:t xml:space="preserve">  - 에폭 수: 20</w:t>
        <w:br/>
        <w:t>- 평가 지표:</w:t>
        <w:br/>
        <w:t xml:space="preserve">  - 정확도 (Accuracy)</w:t>
        <w:br/>
        <w:t xml:space="preserve">  - 정밀도 (Precision)</w:t>
        <w:br/>
        <w:t xml:space="preserve">  - 재현율 (Recall)</w:t>
        <w:br/>
        <w:t xml:space="preserve">  - F1-score</w:t>
        <w:br/>
        <w:br/>
        <w:t>1.3 장비</w:t>
        <w:br/>
        <w:t>- 하드웨어:</w:t>
        <w:br/>
        <w:t xml:space="preserve">  - GPU: NVIDIA Tesla V100 (16GB)</w:t>
        <w:br/>
        <w:t xml:space="preserve">  - CPU: Intel Xeon E5-2690 v4</w:t>
        <w:br/>
        <w:t xml:space="preserve">  - 메모리: 128GB</w:t>
        <w:br/>
        <w:t>- 소프트웨어:</w:t>
        <w:br/>
        <w:t xml:space="preserve">  - TensorFlow 2.8.0</w:t>
        <w:br/>
        <w:t xml:space="preserve">  - Keras 2.8.0</w:t>
        <w:br/>
        <w:t xml:space="preserve">  - OpenCV 4.5.1</w:t>
        <w:br/>
        <w:br/>
        <w:t>2. 리스크와 대응책</w:t>
        <w:br/>
        <w:br/>
        <w:t>2.1 데이터 리스크</w:t>
        <w:br/>
        <w:t>- 문제: 데이터 불균형</w:t>
        <w:br/>
        <w:t>- 대응책:</w:t>
        <w:br/>
        <w:t xml:space="preserve">  - 오버샘플링 (SMOTE)</w:t>
        <w:br/>
        <w:t xml:space="preserve">  - 언더샘플링 (Random Under-Sampling)</w:t>
        <w:br/>
        <w:t xml:space="preserve">  - 클래스 가중치 조정</w:t>
        <w:br/>
        <w:br/>
        <w:t>2.2 모델 리스크</w:t>
        <w:br/>
        <w:t>- 문제: 과적합 (Overfitting)</w:t>
        <w:br/>
        <w:t>- 대응책:</w:t>
        <w:br/>
        <w:t xml:space="preserve">  - 드롭아웃 (Dropout) 적용 (비율 0.5)</w:t>
        <w:br/>
        <w:t xml:space="preserve">  - 조기 종료 (Early Stopping) 적용</w:t>
        <w:br/>
        <w:t xml:space="preserve">  - 데이터 증강 활용</w:t>
        <w:br/>
        <w:br/>
        <w:t>2.3 운영 리스크</w:t>
        <w:br/>
        <w:t>- 문제: 하드웨어 고장</w:t>
        <w:br/>
        <w:t>- 대응책:</w:t>
        <w:br/>
        <w:t xml:space="preserve">  - 이중화 시스템 구축</w:t>
        <w:br/>
        <w:t xml:space="preserve">  - 클라우드 백업 (AWS S3)</w:t>
        <w:br/>
        <w:t xml:space="preserve">  - 정기 점검 및 유지보수 계획 수립</w:t>
        <w:br/>
        <w:br/>
        <w:t>3. 실험/검증 계획</w:t>
        <w:br/>
        <w:br/>
        <w:t>3.1 평가지표</w:t>
        <w:br/>
        <w:t>- 주요 지표:</w:t>
        <w:br/>
        <w:t xml:space="preserve">  - 정확도: 전체 샘플 중 올바르게 예측한 비율</w:t>
        <w:br/>
        <w:t xml:space="preserve">  - 정밀도: 양성 예측 중 실제 양성 비율</w:t>
        <w:br/>
        <w:t xml:space="preserve">  - 재현율: 실제 양성 중 올바르게 예측한 비율</w:t>
        <w:br/>
        <w:t xml:space="preserve">  - F1-score: 정밀도와 재현율의 조화 평균</w:t>
        <w:br/>
        <w:br/>
        <w:t>3.2 샘플수</w:t>
        <w:br/>
        <w:t>- 훈련 데이터: 7,000건</w:t>
        <w:br/>
        <w:t>- 검증 데이터: 1,500건</w:t>
        <w:br/>
        <w:t>- 테스트 데이터: 1,500건</w:t>
        <w:br/>
        <w:br/>
        <w:t>3.3 통계/검증 절차</w:t>
        <w:br/>
        <w:t>- 교차 검증: K-Fold 교차 검증 (K=5)</w:t>
        <w:br/>
        <w:t>- 통계 분석:</w:t>
        <w:br/>
        <w:t xml:space="preserve">  - t-검정: 모델 성능 비교</w:t>
        <w:br/>
        <w:t xml:space="preserve">  - ANOVA: 여러 모델 간 성능 차이 분석</w:t>
        <w:br/>
        <w:t>- 결과 해석:</w:t>
        <w:br/>
        <w:t xml:space="preserve">  - 성능 지표의 평균 및 표준편차 계산</w:t>
        <w:br/>
        <w:t xml:space="preserve">  - p-value &lt; 0.05 시 통계적 유의성 인정</w:t>
        <w:br/>
        <w:br/>
        <w:t>---</w:t>
        <w:br/>
        <w:br/>
        <w:t>참고:</w:t>
        <w:br/>
        <w:t>- 모든 데이터 및 알고리즘 선택은 VUNO Med-Chest X-ray의 임상적 요구와 최신 기술 트렌드를 반영하였습니다.</w:t>
        <w:br/>
        <w:t>- 리스크 관리 및 대응책은 실험의 신뢰성을 높이기 위한 필수 요소입니다.</w:t>
        <w:br/>
        <w:t>- 실험 설계는 재현성과 일반화 가능성을 최우선으로 고려하였습니다.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