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경제적 성과창출의 기대효과</w:t>
      </w:r>
    </w:p>
    <w:p>
      <w:pPr>
        <w:pStyle w:val="Normal"/>
      </w:pPr>
      <w:r>
        <w:t>---</w:t>
        <w:br/>
        <w:t>[경제적 성과창출의 기대효과]</w:t>
        <w:br/>
        <w:br/>
        <w:t>1. 매출 전망</w:t>
        <w:br/>
        <w:t>- VUNO Med-Chest X-ray의 시장 진입으로 2023년 10억 원, 2024년 30억 원, 2025년 50억 원의 매출 예상.</w:t>
        <w:br/>
        <w:t>- 가정: 연평균 성장률 40%, 경쟁사 대비 15% 시장 점유율 확보.</w:t>
        <w:br/>
        <w:t>- 산식:</w:t>
        <w:br/>
        <w:t xml:space="preserve">  - 2023년 매출 = 10억 원</w:t>
        <w:br/>
        <w:t xml:space="preserve">  - 2024년 매출 = 10억 원 × (1 + 0.40) = 14억 원 (실제 30억 원)</w:t>
        <w:br/>
        <w:t xml:space="preserve">  - 2025년 매출 = 30억 원 × (1 + 0.40) = 42억 원 (실제 50억 원)</w:t>
        <w:br/>
        <w:br/>
        <w:t>2. 원가 구조</w:t>
        <w:br/>
        <w:t>- 직접비: 장비 및 재료비 40%, 인건비 30%</w:t>
        <w:br/>
        <w:t>- 간접비: 관리비 20%, 기타 10%</w:t>
        <w:br/>
        <w:t>- 총원가율: 70%</w:t>
        <w:br/>
        <w:t>- 산식:</w:t>
        <w:br/>
        <w:t xml:space="preserve">  - 직접비 = (40% × 50억 원) + (30% × 50억 원) = 35억 원</w:t>
        <w:br/>
        <w:t xml:space="preserve">  - 간접비 = (20% × 50억 원) + (10% × 50억 원) = 15억 원</w:t>
        <w:br/>
        <w:t xml:space="preserve">  - 총원가 = 35억 원 + 15억 원 = 50억 원</w:t>
        <w:br/>
        <w:t xml:space="preserve">  - 원가율 = 50억 원 / 50억 원 = 70%</w:t>
        <w:br/>
        <w:br/>
        <w:t>3. 영업이익</w:t>
        <w:br/>
        <w:t>- 영업이익률: 30%</w:t>
        <w:br/>
        <w:t>- 산식:</w:t>
        <w:br/>
        <w:t xml:space="preserve">  - 영업이익 = 매출 - 총원가</w:t>
        <w:br/>
        <w:t xml:space="preserve">  - 2023년: 10억 원 - 7억 원 = 3억 원</w:t>
        <w:br/>
        <w:t xml:space="preserve">  - 2024년: 30억 원 - 21억 원 = 9억 원</w:t>
        <w:br/>
        <w:t xml:space="preserve">  - 2025년: 50억 원 - 35억 원 = 15억 원</w:t>
        <w:br/>
        <w:br/>
        <w:t>4. ROI (투자수익률)</w:t>
        <w:br/>
        <w:t>- ROI 계산: (영업이익 / 투자비용) × 100</w:t>
        <w:br/>
        <w:t>- 가정: 총 투자비용 100억 원 (연구개발비, 설비투자 포함)</w:t>
        <w:br/>
        <w:t>- 산식:</w:t>
        <w:br/>
        <w:t xml:space="preserve">  - 2023년 ROI = (3억 원 / 100억 원) × 100 = 3%</w:t>
        <w:br/>
        <w:t xml:space="preserve">  - 2024년 ROI = (9억 원 / 100억 원) × 100 = 9%</w:t>
        <w:br/>
        <w:t xml:space="preserve">  - 2025년 ROI = (15억 원 / 100억 원) × 100 = 15%</w:t>
        <w:br/>
        <w:br/>
        <w:t>5. 고용효과</w:t>
        <w:br/>
        <w:t>- 직접 고용: 연구개발 및 생산 인력 20명</w:t>
        <w:br/>
        <w:t>- 간접 고용: 관련 산업 파급효과로 100명</w:t>
        <w:br/>
        <w:t>- 총 고용효과: 120명</w:t>
        <w:br/>
        <w:t>- 산식:</w:t>
        <w:br/>
        <w:t xml:space="preserve">  - 직접 고용 = 20명</w:t>
        <w:br/>
        <w:t xml:space="preserve">  - 간접 고용 = 100명</w:t>
        <w:br/>
        <w:t xml:space="preserve">  - 총 고용효과 = 20명 + 100명 = 120명</w:t>
        <w:br/>
        <w:br/>
        <w:t>---</w:t>
        <w:br/>
        <w:br/>
        <w:t>참고:</w:t>
        <w:br/>
        <w:t>- 본 분석은 보수적인 가정 하에 작성되었으며, 시장 상황 변화에 따라 변동될 수 있습니다.</w:t>
        <w:br/>
        <w:t>- ROI는 투자비용을 기준으로 계산되었으며, 실제 투자비용 변동 시 ROI도 조정될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