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추진방법 및 전략</w:t>
      </w:r>
    </w:p>
    <w:p>
      <w:pPr>
        <w:pStyle w:val="Normal"/>
      </w:pPr>
      <w:r>
        <w:t>[추진방법 및 전략]</w:t>
        <w:br/>
        <w:br/>
        <w:t>1. 방법론</w:t>
        <w:br/>
        <w:t>- 데이터 수집 및 전처리:</w:t>
        <w:br/>
        <w:t xml:space="preserve">  - X-ray 이미지 데이터 10,000건 수집 (해상도: 512x512 픽셀, 파일 형식: DICOM).</w:t>
        <w:br/>
        <w:t xml:space="preserve">  - 데이터 정제: 노이즈 제거, 결측치 처리 (OpenCV, Pandas 활용).</w:t>
        <w:br/>
        <w:t xml:space="preserve">  - 라벨링: 5개 주요 질환(폐렴, 결핵, 폐암, 심장질환, 정상)에 대한 주석 작업 (의료 전문가 참여).</w:t>
        <w:br/>
        <w:t xml:space="preserve">  - 데이터 분할: 70% 학습, 15% 검증, 15% 테스트.</w:t>
        <w:br/>
        <w:br/>
        <w:t>- 알고리즘 선택:</w:t>
        <w:br/>
        <w:t xml:space="preserve">  - CNN(Convolutional Neural Network) 기반 모델 사용.</w:t>
        <w:br/>
        <w:t xml:space="preserve">  - 모델 구조: ResNet50, 사전 학습된 가중치 활용.</w:t>
        <w:br/>
        <w:t xml:space="preserve">  - 전이 학습(Transfer Learning) 적용: X-ray 특성에 맞게 미세 조정.</w:t>
        <w:br/>
        <w:br/>
        <w:t>- 장비 및 인프라:</w:t>
        <w:br/>
        <w:t xml:space="preserve">  - GPU 서버: NVIDIA Tesla V100 4대 (총 16GB 메모리).</w:t>
        <w:br/>
        <w:t xml:space="preserve">  - 클라우드 플랫폼: AWS EC2 p3.2xlarge (GPU 지원).</w:t>
        <w:br/>
        <w:t xml:space="preserve">  - 데이터 저장소: S3 버킷 (대용량 데이터 관리).</w:t>
        <w:br/>
        <w:br/>
        <w:t>2. 리스크 및 대응책</w:t>
        <w:br/>
        <w:t>- 데이터 품질 리스크:</w:t>
        <w:br/>
        <w:t xml:space="preserve">  - 대응책: 데이터 정제 및 중복 제거 자동화 스크립트 개발.</w:t>
        <w:br/>
        <w:t xml:space="preserve">  - 모니터링: 주기적 데이터 품질 검사 (정확도, 일관성).</w:t>
        <w:br/>
        <w:br/>
        <w:t>- 모델 과적합 리스크:</w:t>
        <w:br/>
        <w:t xml:space="preserve">  - 대응책: 드롭아웃(Dropout) 적용, 조기 종료(Early Stopping) 기법 사용.</w:t>
        <w:br/>
        <w:t xml:space="preserve">  - 검증 데이터셋 활용: 모델 일반화 성능 평가.</w:t>
        <w:br/>
        <w:br/>
        <w:t>- 의료 데이터 보안 리스크:</w:t>
        <w:br/>
        <w:t xml:space="preserve">  - 대응책: 데이터 암호화 및 접근 제어 강화.</w:t>
        <w:br/>
        <w:t xml:space="preserve">  - 규정 준수: HIPAA, GDPR 등 관련 법규 준수.</w:t>
        <w:br/>
        <w:br/>
        <w:t>3. 실험/검증 계획</w:t>
        <w:br/>
        <w:t>- 평가지표:</w:t>
        <w:br/>
        <w:t xml:space="preserve">  - 정확도(Accuracy), 정밀도(Precision), 재현율(Recall), F1-score.</w:t>
        <w:br/>
        <w:t xml:space="preserve">  - ROC-AUC: 이진 분류 성능 평가.</w:t>
        <w:br/>
        <w:br/>
        <w:t>- 샘플 수:</w:t>
        <w:br/>
        <w:t xml:space="preserve">  - 총 10,000건 중 학습 7,000건, 검증 1,500건, 테스트 1,500건.</w:t>
        <w:br/>
        <w:br/>
        <w:t>- 통계/검증 절차:</w:t>
        <w:br/>
        <w:t xml:space="preserve">  - K-fold 교차 검증(5-fold) 적용: 모델 안정성 평가.</w:t>
        <w:br/>
        <w:t xml:space="preserve">  - 테스트 데이터셋으로 최종 성능 평가.</w:t>
        <w:br/>
        <w:t xml:space="preserve">  - 결과 비교: 기존 모델(VGG16)과 성능 비교 분석.</w:t>
        <w:br/>
        <w:br/>
        <w:t>4. 추가 고려사항</w:t>
        <w:br/>
        <w:t>- 모델 배포:</w:t>
        <w:br/>
        <w:t xml:space="preserve">  - REST API 서비스 구축: Flask 기반.</w:t>
        <w:br/>
        <w:t xml:space="preserve">  - 실시간 예측: 웹 애플리케이션 연동.</w:t>
        <w:br/>
        <w:br/>
        <w:t>- 지속적인 개선:</w:t>
        <w:br/>
        <w:t xml:space="preserve">  - 주기적 데이터 업데이트 및 모델 재학습 계획 수립.</w:t>
        <w:br/>
        <w:t xml:space="preserve">  - 사용자 피드백 반영: 의료 전문가와의 협업 강화.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