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신규사업 신설의 기대효과</w:t>
      </w:r>
    </w:p>
    <w:p>
      <w:pPr>
        <w:pStyle w:val="Normal"/>
      </w:pPr>
      <w:r>
        <w:t>신규사업 신설의 기대효과</w:t>
        <w:br/>
        <w:br/>
        <w:t>1. 시장 창출 효과</w:t>
        <w:br/>
        <w:t>VUNO Med-Chest X-ray 연구개발을 통해 2028년까지 국내 의료 영상 시장 내 15% 점유율 확보 예상. 이는 약 300억 원의 신규 시장 창출로 이어질 것으로 판단됨.</w:t>
        <w:br/>
        <w:br/>
        <w:t>2. 일자리 창출 효과</w:t>
        <w:br/>
        <w:t>연구개발 완료 후 3년간 약 150명의 신규 일자리 창출 예상. 이는 의료 영상 기술 관련 전문 인력 수요 증가에 따른 결과로, 지역 경제 활성화에도 기여할 것으로 보임.</w:t>
        <w:br/>
        <w:br/>
        <w:t>3. 수입대체 효과</w:t>
        <w:br/>
        <w:t>해외 의료 영상 장비 수입 의존도를 20% 감소시킬 것으로 예상. 이를 통해 약 100억 원의 수입대체 효과 발생.</w:t>
        <w:br/>
        <w:br/>
        <w:t>4. 수출 증대 효과</w:t>
        <w:br/>
        <w:t>2028년까지 VUNO Med-Chest X-ray 제품의 해외 수출액 500억 원 달성 목표. 이는 국내 기술의 글로벌 경쟁력 강화 및 시장 점유율 확대에 기여할 것으로 판단됨.</w:t>
        <w:br/>
        <w:br/>
        <w:t>5. 비용 절감 효과</w:t>
        <w:br/>
        <w:t>연구개발 완료 후 5년간 운영 비용 20% 절감 예상. 이는 연간 약 50억 원의 비용 절감으로, 기업의 재무 건전성 향상에 기여할 것으로 보임.</w:t>
        <w:br/>
        <w:br/>
        <w:t>종합 효과</w:t>
        <w:br/>
        <w:t>위 효과들을 종합하면, VUNO Med-Chest X-ray 연구개발은 2028년까지 약 1,250억 원의 경제적 효과를 창출할 것으로 예상됨. 이는 시장 창출, 일자리, 수입대체, 수출 증대, 비용 절감 등 다양한 측면에서 국가 경제에 긍정적인 영향을 미칠 것으로 판단됨.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